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cstheme="minorBidi"/>
          <w:sz w:val="28"/>
          <w:szCs w:val="21"/>
          <w:lang w:eastAsia="zh-CN" w:bidi="ar-SA"/>
        </w:rPr>
      </w:pPr>
      <w:r>
        <w:rPr>
          <w:rFonts w:hint="default" w:ascii="Times New Roman Bold" w:hAnsi="Times New Roman Bold" w:cs="Times New Roman Bold"/>
          <w:b/>
          <w:bCs/>
          <w:sz w:val="28"/>
          <w:szCs w:val="21"/>
          <w:lang w:eastAsia="zh-CN" w:bidi="ar-SA"/>
        </w:rPr>
        <w:t>Patterns in Pre-PyroCb Meteorological Condition Changes: A Comparative Regional Study</w:t>
      </w:r>
    </w:p>
    <w:p>
      <w:pPr>
        <w:bidi w:val="0"/>
        <w:rPr>
          <w:rFonts w:hint="default" w:ascii="Times New Roman Bold" w:hAnsi="Times New Roman Bold" w:cs="Times New Roman Bold"/>
          <w:b/>
          <w:bCs/>
          <w:sz w:val="24"/>
          <w:lang w:eastAsia="zh-CN" w:bidi="ar-SA"/>
        </w:rPr>
      </w:pPr>
      <w:r>
        <w:rPr>
          <w:rFonts w:hint="default" w:ascii="Times New Roman Bold" w:hAnsi="Times New Roman Bold" w:cs="Times New Roman Bold"/>
          <w:b/>
          <w:bCs/>
          <w:sz w:val="24"/>
          <w:lang w:eastAsia="zh-CN" w:bidi="ar-SA"/>
        </w:rPr>
        <w:t>1 I</w:t>
      </w:r>
      <w:r>
        <w:rPr>
          <w:rFonts w:hint="default" w:ascii="Times New Roman Bold" w:hAnsi="Times New Roman Bold" w:cs="Times New Roman Bold"/>
          <w:b/>
          <w:bCs/>
          <w:sz w:val="24"/>
          <w:lang w:eastAsia="zh-CN" w:bidi="ar-SA"/>
        </w:rPr>
        <w:t>ntroduction</w:t>
      </w:r>
    </w:p>
    <w:p>
      <w:pPr>
        <w:bidi w:val="0"/>
        <w:rPr>
          <w:rFonts w:hint="default" w:cstheme="minorBidi"/>
          <w:sz w:val="24"/>
          <w:lang w:eastAsia="zh-CN" w:bidi="ar-SA"/>
        </w:rPr>
      </w:pPr>
      <w:r>
        <w:rPr>
          <w:rFonts w:hint="default" w:cstheme="minorBidi"/>
          <w:sz w:val="24"/>
          <w:lang w:eastAsia="zh-CN" w:bidi="ar-SA"/>
        </w:rPr>
        <w:t>Pyrocumulonimbus (</w:t>
      </w:r>
      <w:r>
        <w:rPr>
          <w:rFonts w:hint="default" w:cstheme="minorBidi"/>
          <w:sz w:val="24"/>
          <w:lang w:eastAsia="zh-CN" w:bidi="ar-SA"/>
        </w:rPr>
        <w:t>PyroCb</w:t>
      </w:r>
      <w:r>
        <w:rPr>
          <w:rFonts w:hint="default" w:cstheme="minorBidi"/>
          <w:sz w:val="24"/>
          <w:lang w:eastAsia="zh-CN" w:bidi="ar-SA"/>
        </w:rPr>
        <w:t>) refers to the extreme dry thunderstorms triggered by intense surface heating by wildfires, which can generate strong updrafts and super efficient smoke chimney injecting wildfire emissions into upper troposphere and lower troposphere (UTLS). It has been confirmed by observations that the intense-</w:t>
      </w:r>
      <w:r>
        <w:rPr>
          <w:rFonts w:hint="default" w:cstheme="minorBidi"/>
          <w:sz w:val="24"/>
          <w:lang w:eastAsia="zh-CN" w:bidi="ar-SA"/>
        </w:rPr>
        <w:t>PyroCb</w:t>
      </w:r>
      <w:r>
        <w:rPr>
          <w:rFonts w:hint="default" w:cstheme="minorBidi"/>
          <w:sz w:val="24"/>
          <w:lang w:eastAsia="zh-CN" w:bidi="ar-SA"/>
        </w:rPr>
        <w:t xml:space="preserve">-induced aerosol disruption to the stratosphere is comparative to moderate volcanic eruptions. However, three contrasts between volcanic eruptions and PyroCb should be noted. First, volcanic eruptions are considered as a natural forcing on the climate system while </w:t>
      </w:r>
      <w:r>
        <w:rPr>
          <w:rFonts w:hint="default" w:cstheme="minorBidi"/>
          <w:sz w:val="24"/>
          <w:lang w:eastAsia="zh-CN" w:bidi="ar-SA"/>
        </w:rPr>
        <w:t>PyroCb events are related to increased wildfire</w:t>
      </w:r>
      <w:r>
        <w:rPr>
          <w:rFonts w:hint="default" w:cstheme="minorBidi"/>
          <w:sz w:val="24"/>
          <w:lang w:eastAsia="zh-CN" w:bidi="ar-SA"/>
        </w:rPr>
        <w:t xml:space="preserve"> activitie</w:t>
      </w:r>
      <w:r>
        <w:rPr>
          <w:rFonts w:hint="default" w:cstheme="minorBidi"/>
          <w:sz w:val="24"/>
          <w:lang w:eastAsia="zh-CN" w:bidi="ar-SA"/>
        </w:rPr>
        <w:t xml:space="preserve">s that is partially </w:t>
      </w:r>
      <w:r>
        <w:rPr>
          <w:rFonts w:hint="default" w:cstheme="minorBidi"/>
          <w:sz w:val="24"/>
          <w:lang w:eastAsia="zh-CN" w:bidi="ar-SA"/>
        </w:rPr>
        <w:t>attribute</w:t>
      </w:r>
      <w:r>
        <w:rPr>
          <w:rFonts w:hint="default" w:cstheme="minorBidi"/>
          <w:sz w:val="24"/>
          <w:lang w:eastAsia="zh-CN" w:bidi="ar-SA"/>
        </w:rPr>
        <w:t>d to anthropogenic climtate change</w:t>
      </w:r>
      <w:r>
        <w:rPr>
          <w:rFonts w:hint="default" w:cstheme="minorBidi"/>
          <w:sz w:val="24"/>
          <w:lang w:eastAsia="zh-CN" w:bidi="ar-SA"/>
        </w:rPr>
        <w:t xml:space="preserve">. Second, </w:t>
      </w:r>
      <w:r>
        <w:rPr>
          <w:rFonts w:hint="default" w:cstheme="minorBidi"/>
          <w:sz w:val="24"/>
          <w:lang w:eastAsia="zh-CN" w:bidi="ar-SA"/>
        </w:rPr>
        <w:t>volcan</w:t>
      </w:r>
      <w:r>
        <w:rPr>
          <w:rFonts w:hint="default" w:cstheme="minorBidi"/>
          <w:sz w:val="24"/>
          <w:lang w:eastAsia="zh-CN" w:bidi="ar-SA"/>
        </w:rPr>
        <w:t>oes</w:t>
      </w:r>
      <w:r>
        <w:rPr>
          <w:rFonts w:hint="default" w:cstheme="minorBidi"/>
          <w:sz w:val="24"/>
          <w:lang w:eastAsia="zh-CN" w:bidi="ar-SA"/>
        </w:rPr>
        <w:t xml:space="preserve"> erupt</w:t>
      </w:r>
      <w:r>
        <w:rPr>
          <w:rFonts w:hint="default" w:cstheme="minorBidi"/>
          <w:sz w:val="24"/>
          <w:lang w:eastAsia="zh-CN" w:bidi="ar-SA"/>
        </w:rPr>
        <w:t xml:space="preserve">s at a relatively low frequency while over 40 </w:t>
      </w:r>
      <w:r>
        <w:rPr>
          <w:rFonts w:hint="default" w:cstheme="minorBidi"/>
          <w:sz w:val="24"/>
          <w:lang w:eastAsia="zh-CN" w:bidi="ar-SA"/>
        </w:rPr>
        <w:t>PyroCb</w:t>
      </w:r>
      <w:r>
        <w:rPr>
          <w:rFonts w:hint="default" w:cstheme="minorBidi"/>
          <w:sz w:val="24"/>
          <w:lang w:eastAsia="zh-CN" w:bidi="ar-SA"/>
        </w:rPr>
        <w:t xml:space="preserve"> events </w:t>
      </w:r>
      <w:r>
        <w:rPr>
          <w:rFonts w:hint="default" w:cstheme="minorBidi"/>
          <w:sz w:val="24"/>
          <w:lang w:eastAsia="zh-CN" w:bidi="ar-SA"/>
        </w:rPr>
        <w:t>occur every year around the world. And there is a high probability that a lot</w:t>
      </w:r>
      <w:r>
        <w:rPr>
          <w:rFonts w:hint="default" w:cstheme="minorBidi"/>
          <w:sz w:val="24"/>
          <w:lang w:eastAsia="zh-CN" w:bidi="ar-SA"/>
        </w:rPr>
        <w:t xml:space="preserve"> more</w:t>
      </w:r>
      <w:r>
        <w:rPr>
          <w:rFonts w:hint="default" w:cstheme="minorBidi"/>
          <w:sz w:val="24"/>
          <w:lang w:eastAsia="zh-CN" w:bidi="ar-SA"/>
        </w:rPr>
        <w:t xml:space="preserve"> PyroCb</w:t>
      </w:r>
      <w:r>
        <w:rPr>
          <w:rFonts w:hint="default" w:cstheme="minorBidi"/>
          <w:sz w:val="24"/>
          <w:lang w:eastAsia="zh-CN" w:bidi="ar-SA"/>
        </w:rPr>
        <w:t xml:space="preserve"> </w:t>
      </w:r>
      <w:r>
        <w:rPr>
          <w:rFonts w:hint="default" w:cstheme="minorBidi"/>
          <w:sz w:val="24"/>
          <w:lang w:eastAsia="zh-CN" w:bidi="ar-SA"/>
        </w:rPr>
        <w:t>have never been detected due to the spatial and temporal (especially lack of nighttime observation) limitation of sattellite data</w:t>
      </w:r>
      <w:r>
        <w:rPr>
          <w:rFonts w:hint="default" w:cstheme="minorBidi"/>
          <w:sz w:val="24"/>
          <w:lang w:eastAsia="zh-CN" w:bidi="ar-SA"/>
        </w:rPr>
        <w:t xml:space="preserve"> or documented due to limited focus on collecting PyroCb records. Third, volcanic eruptions mainly inject reflective aerosols (sulfate aerosols) to the stratosphere, which have cooling effects. Conversely, PyroCb injects a considerable amount of organic carbon including black carbon (BC) and brown carbon (BrC) that absorb solar radiation and heat the stratosphere. A recent Science paper estimated that 10~25% of BC in the stratosphere over the past decade are from PyroCb source. There is also paper reporting that PyroCb can inrease the temperature in local stratosphere by up to 9 K. What’s more,</w:t>
      </w:r>
      <w:r>
        <w:rPr>
          <w:rFonts w:hint="default" w:cstheme="minorBidi"/>
          <w:sz w:val="24"/>
          <w:lang w:eastAsia="zh-CN" w:bidi="ar-SA"/>
        </w:rPr>
        <w:t xml:space="preserve"> PyroCb</w:t>
      </w:r>
      <w:r>
        <w:rPr>
          <w:rFonts w:hint="default" w:cstheme="minorBidi"/>
          <w:sz w:val="24"/>
          <w:lang w:eastAsia="zh-CN" w:bidi="ar-SA"/>
        </w:rPr>
        <w:t xml:space="preserve"> </w:t>
      </w:r>
      <w:r>
        <w:rPr>
          <w:rFonts w:hint="default" w:cstheme="minorBidi"/>
          <w:sz w:val="24"/>
          <w:lang w:eastAsia="zh-CN" w:bidi="ar-SA"/>
        </w:rPr>
        <w:t xml:space="preserve">aerosols that have </w:t>
      </w:r>
      <w:r>
        <w:rPr>
          <w:rFonts w:hint="default" w:cstheme="minorBidi"/>
          <w:sz w:val="24"/>
          <w:lang w:eastAsia="zh-CN" w:bidi="ar-SA"/>
        </w:rPr>
        <w:t>made it to</w:t>
      </w:r>
      <w:r>
        <w:rPr>
          <w:rFonts w:hint="default" w:cstheme="minorBidi"/>
          <w:sz w:val="24"/>
          <w:lang w:eastAsia="zh-CN" w:bidi="ar-SA"/>
        </w:rPr>
        <w:t xml:space="preserve"> </w:t>
      </w:r>
      <w:r>
        <w:rPr>
          <w:rFonts w:hint="default" w:cstheme="minorBidi"/>
          <w:sz w:val="24"/>
          <w:lang w:eastAsia="zh-CN" w:bidi="ar-SA"/>
        </w:rPr>
        <w:t xml:space="preserve">the </w:t>
      </w:r>
      <w:r>
        <w:rPr>
          <w:rFonts w:hint="default" w:cstheme="minorBidi"/>
          <w:sz w:val="24"/>
          <w:lang w:eastAsia="zh-CN" w:bidi="ar-SA"/>
        </w:rPr>
        <w:t>UTLS can rapidly spread across the globe and stay in the UTLS for a long time</w:t>
      </w:r>
      <w:r>
        <w:rPr>
          <w:rFonts w:hint="default" w:cstheme="minorBidi"/>
          <w:sz w:val="24"/>
          <w:lang w:eastAsia="zh-CN" w:bidi="ar-SA"/>
        </w:rPr>
        <w:t>. For example, the stratospheric aerosol anomaly caused by 2017 Northeast Pacific PyroCb events was detectable for over 8 months. Thus, there is no denying that PyroCb can produce large-scale and prolonged climatic impacts</w:t>
      </w:r>
      <w:r>
        <w:rPr>
          <w:rFonts w:hint="default" w:cstheme="minorBidi"/>
          <w:sz w:val="24"/>
          <w:lang w:eastAsia="zh-CN" w:bidi="ar-SA"/>
        </w:rPr>
        <w:t xml:space="preserve">. </w:t>
      </w:r>
      <w:r>
        <w:rPr>
          <w:rFonts w:hint="default" w:cstheme="minorBidi"/>
          <w:sz w:val="24"/>
          <w:lang w:eastAsia="zh-CN" w:bidi="ar-SA"/>
        </w:rPr>
        <w:t xml:space="preserve">Other than being an inreasingly important climate forcer under the background of enhanced wildfire activities, PyroCb is a deadly disaster for people nearby. During a PyroCb, the entrainment of dry air at base will further stokes the fire. The erratic wind fields can cause unpredictable wildfire spread. The lightning in the thunderstorm can ignite new fires far away. Hence, fire management agencies are trying hard to monitor PyroCb behaviors to reduce life and property loss. However, it is still challenging to predict when and where </w:t>
      </w:r>
      <w:r>
        <w:rPr>
          <w:rFonts w:hint="default" w:cstheme="minorBidi"/>
          <w:sz w:val="24"/>
          <w:lang w:eastAsia="zh-CN" w:bidi="ar-SA"/>
        </w:rPr>
        <w:t>PyroCb</w:t>
      </w:r>
      <w:r>
        <w:rPr>
          <w:rFonts w:hint="default" w:cstheme="minorBidi"/>
          <w:sz w:val="24"/>
          <w:lang w:eastAsia="zh-CN" w:bidi="ar-SA"/>
        </w:rPr>
        <w:t xml:space="preserve"> forms. Hence, understanding the development of PyroCb is critical for both climate projection and disaster loss reduction.</w:t>
      </w:r>
    </w:p>
    <w:p>
      <w:pPr>
        <w:bidi w:val="0"/>
        <w:rPr>
          <w:rFonts w:hint="default" w:cs="Times New Roman"/>
          <w:b w:val="0"/>
          <w:bCs w:val="0"/>
          <w:sz w:val="24"/>
          <w:lang w:eastAsia="zh-CN" w:bidi="ar-SA"/>
        </w:rPr>
      </w:pPr>
      <w:r>
        <w:rPr>
          <w:rFonts w:hint="default" w:cs="Times New Roman"/>
          <w:b w:val="0"/>
          <w:bCs w:val="0"/>
          <w:sz w:val="24"/>
          <w:lang w:eastAsia="zh-CN" w:bidi="ar-SA"/>
        </w:rPr>
        <w:t>C</w:t>
      </w:r>
      <w:r>
        <w:rPr>
          <w:rFonts w:hint="default" w:ascii="Times New Roman" w:hAnsi="Times New Roman" w:cs="Times New Roman"/>
          <w:b w:val="0"/>
          <w:bCs w:val="0"/>
          <w:sz w:val="24"/>
          <w:lang w:eastAsia="zh-CN" w:bidi="ar-SA"/>
        </w:rPr>
        <w:t xml:space="preserve">urrent </w:t>
      </w:r>
      <w:r>
        <w:rPr>
          <w:rFonts w:hint="default" w:cs="Times New Roman"/>
          <w:b w:val="0"/>
          <w:bCs w:val="0"/>
          <w:sz w:val="24"/>
          <w:lang w:eastAsia="zh-CN" w:bidi="ar-SA"/>
        </w:rPr>
        <w:t xml:space="preserve">scientific </w:t>
      </w:r>
      <w:r>
        <w:rPr>
          <w:rFonts w:hint="default" w:ascii="Times New Roman" w:hAnsi="Times New Roman" w:cs="Times New Roman"/>
          <w:b w:val="0"/>
          <w:bCs w:val="0"/>
          <w:sz w:val="24"/>
          <w:lang w:eastAsia="zh-CN" w:bidi="ar-SA"/>
        </w:rPr>
        <w:t>understanding of PyroCb formation</w:t>
      </w:r>
      <w:r>
        <w:rPr>
          <w:rFonts w:hint="default" w:cs="Times New Roman"/>
          <w:b w:val="0"/>
          <w:bCs w:val="0"/>
          <w:sz w:val="24"/>
          <w:lang w:eastAsia="zh-CN" w:bidi="ar-SA"/>
        </w:rPr>
        <w:t xml:space="preserve"> is still in the infancy although there is already some accumulation of insights gained from theoretical, simulational, statistical, observational, and machine-learning perspectives. Tory and Kepert, 2020 analytically solved Brigg’s bulk plume model and gave the formula of the firepower threshold for PyroCb development under any given atmospheric profile. Although this work uses simplified assumptions including predifined ratio between moist and heat contributed by wildfire and constant wind filed, the formula suggests that it requires more energy from the fire to overcome capping inversion and horizontal wind to raise the plume into UTLS.  Tarshish and Romps, 2022 found that despite extreme sensible heating from wildfires, latent heat release through condensation is still necessary for PyroCb formation. Based on  </w:t>
      </w:r>
      <w:r>
        <w:rPr>
          <w:rFonts w:hint="default" w:cs="Times New Roman"/>
          <w:b w:val="0"/>
          <w:bCs w:val="0"/>
          <w:sz w:val="24"/>
          <w:lang w:eastAsia="zh-CN" w:bidi="ar-SA"/>
        </w:rPr>
        <w:t>a</w:t>
      </w:r>
      <w:r>
        <w:rPr>
          <w:rFonts w:hint="default" w:cs="Times New Roman"/>
          <w:b w:val="0"/>
          <w:bCs w:val="0"/>
          <w:sz w:val="24"/>
          <w:lang w:eastAsia="zh-CN" w:bidi="ar-SA"/>
        </w:rPr>
        <w:t xml:space="preserve"> community</w:t>
      </w:r>
      <w:r>
        <w:rPr>
          <w:rFonts w:hint="default" w:cs="Times New Roman"/>
          <w:b w:val="0"/>
          <w:bCs w:val="0"/>
          <w:sz w:val="24"/>
          <w:lang w:eastAsia="zh-CN" w:bidi="ar-SA"/>
        </w:rPr>
        <w:t xml:space="preserve"> inventory of 26 intense pyroCb events</w:t>
      </w:r>
      <w:r>
        <w:rPr>
          <w:rFonts w:hint="default" w:cs="Times New Roman"/>
          <w:b w:val="0"/>
          <w:bCs w:val="0"/>
          <w:sz w:val="24"/>
          <w:lang w:eastAsia="zh-CN" w:bidi="ar-SA"/>
        </w:rPr>
        <w:t xml:space="preserve"> in</w:t>
      </w:r>
      <w:r>
        <w:rPr>
          <w:rFonts w:hint="default" w:cs="Times New Roman"/>
          <w:b w:val="0"/>
          <w:bCs w:val="0"/>
          <w:sz w:val="24"/>
          <w:lang w:eastAsia="zh-CN" w:bidi="ar-SA"/>
        </w:rPr>
        <w:t xml:space="preserve"> 2013</w:t>
      </w:r>
      <w:r>
        <w:rPr>
          <w:rFonts w:hint="default" w:cs="Times New Roman"/>
          <w:b w:val="0"/>
          <w:bCs w:val="0"/>
          <w:sz w:val="24"/>
          <w:lang w:eastAsia="zh-CN" w:bidi="ar-SA"/>
        </w:rPr>
        <w:t xml:space="preserve"> in </w:t>
      </w:r>
      <w:r>
        <w:rPr>
          <w:rFonts w:hint="default" w:cs="Times New Roman"/>
          <w:b w:val="0"/>
          <w:bCs w:val="0"/>
          <w:sz w:val="24"/>
          <w:lang w:eastAsia="zh-CN" w:bidi="ar-SA"/>
        </w:rPr>
        <w:t>western United States and Canada</w:t>
      </w:r>
      <w:r>
        <w:rPr>
          <w:rFonts w:hint="default" w:cs="Times New Roman"/>
          <w:b w:val="0"/>
          <w:bCs w:val="0"/>
          <w:sz w:val="24"/>
          <w:lang w:eastAsia="zh-CN" w:bidi="ar-SA"/>
        </w:rPr>
        <w:t xml:space="preserve">, </w:t>
      </w:r>
      <w:r>
        <w:rPr>
          <w:rFonts w:hint="default" w:cs="Times New Roman"/>
          <w:b w:val="0"/>
          <w:bCs w:val="0"/>
          <w:sz w:val="24"/>
          <w:lang w:eastAsia="zh-CN" w:bidi="ar-SA"/>
        </w:rPr>
        <w:t xml:space="preserve">a control </w:t>
      </w:r>
      <w:r>
        <w:rPr>
          <w:rFonts w:hint="default" w:cs="Times New Roman"/>
          <w:b w:val="0"/>
          <w:bCs w:val="0"/>
          <w:sz w:val="24"/>
          <w:lang w:eastAsia="zh-CN" w:bidi="ar-SA"/>
        </w:rPr>
        <w:t>dataset</w:t>
      </w:r>
      <w:r>
        <w:rPr>
          <w:rFonts w:hint="default" w:cs="Times New Roman"/>
          <w:b w:val="0"/>
          <w:bCs w:val="0"/>
          <w:sz w:val="24"/>
          <w:lang w:eastAsia="zh-CN" w:bidi="ar-SA"/>
        </w:rPr>
        <w:t xml:space="preserve"> of intense fire activity without</w:t>
      </w:r>
      <w:r>
        <w:rPr>
          <w:rFonts w:hint="default" w:cs="Times New Roman"/>
          <w:b w:val="0"/>
          <w:bCs w:val="0"/>
          <w:sz w:val="24"/>
          <w:lang w:eastAsia="zh-CN" w:bidi="ar-SA"/>
        </w:rPr>
        <w:t xml:space="preserve"> the development of</w:t>
      </w:r>
      <w:r>
        <w:rPr>
          <w:rFonts w:hint="default" w:cs="Times New Roman"/>
          <w:b w:val="0"/>
          <w:bCs w:val="0"/>
          <w:sz w:val="24"/>
          <w:lang w:eastAsia="zh-CN" w:bidi="ar-SA"/>
        </w:rPr>
        <w:t xml:space="preserve"> pyroCb</w:t>
      </w:r>
      <w:r>
        <w:rPr>
          <w:rFonts w:hint="default" w:cs="Times New Roman"/>
          <w:b w:val="0"/>
          <w:bCs w:val="0"/>
          <w:sz w:val="24"/>
          <w:lang w:eastAsia="zh-CN" w:bidi="ar-SA"/>
        </w:rPr>
        <w:t xml:space="preserve"> during the same wildfres as the pyroCb’s, and </w:t>
      </w:r>
      <w:r>
        <w:rPr>
          <w:rFonts w:hint="default" w:cs="Times New Roman"/>
          <w:b w:val="0"/>
          <w:bCs w:val="0"/>
          <w:sz w:val="24"/>
          <w:lang w:eastAsia="zh-CN" w:bidi="ar-SA"/>
        </w:rPr>
        <w:t>reanalyzed meteorological model output</w:t>
      </w:r>
      <w:r>
        <w:rPr>
          <w:rFonts w:hint="default" w:cs="Times New Roman"/>
          <w:b w:val="0"/>
          <w:bCs w:val="0"/>
          <w:sz w:val="24"/>
          <w:lang w:eastAsia="zh-CN" w:bidi="ar-SA"/>
        </w:rPr>
        <w:t xml:space="preserve">s, </w:t>
      </w:r>
      <w:r>
        <w:rPr>
          <w:rFonts w:hint="default" w:cs="Times New Roman"/>
          <w:b w:val="0"/>
          <w:bCs w:val="0"/>
          <w:sz w:val="24"/>
          <w:lang w:eastAsia="zh-CN" w:bidi="ar-SA"/>
        </w:rPr>
        <w:t>Peterson et al., 2017 summarised the meterological condition differences between</w:t>
      </w:r>
      <w:r>
        <w:rPr>
          <w:rFonts w:hint="default" w:cs="Times New Roman"/>
          <w:b w:val="0"/>
          <w:bCs w:val="0"/>
          <w:sz w:val="24"/>
          <w:lang w:eastAsia="zh-CN" w:bidi="ar-SA"/>
        </w:rPr>
        <w:t xml:space="preserve"> PyroCb events</w:t>
      </w:r>
      <w:r>
        <w:rPr>
          <w:rFonts w:hint="default" w:cs="Times New Roman"/>
          <w:b w:val="0"/>
          <w:bCs w:val="0"/>
          <w:sz w:val="24"/>
          <w:lang w:eastAsia="zh-CN" w:bidi="ar-SA"/>
        </w:rPr>
        <w:t xml:space="preserve"> and intense wildfires that failed to induce pyroCb. This is the first conceptual model for intense pyrocumulonimbus (pyroCb) development. It reveals that it is not effective to tell whether a wildfire weather can evolve into pyroCb by applying dry, hot, and windy surface criteria that are popular in wildfre studies. Instead, lower and mid- troposphere instability, middle troposphere humidity, and upper troposphere dynamics may be factors that distinguish </w:t>
      </w:r>
      <w:r>
        <w:rPr>
          <w:rFonts w:hint="default" w:cs="Times New Roman"/>
          <w:b w:val="0"/>
          <w:bCs w:val="0"/>
          <w:sz w:val="24"/>
          <w:lang w:eastAsia="zh-CN" w:bidi="ar-SA"/>
        </w:rPr>
        <w:t>pyroCb</w:t>
      </w:r>
      <w:r>
        <w:rPr>
          <w:rFonts w:hint="default" w:cs="Times New Roman"/>
          <w:b w:val="0"/>
          <w:bCs w:val="0"/>
          <w:sz w:val="24"/>
          <w:lang w:eastAsia="zh-CN" w:bidi="ar-SA"/>
        </w:rPr>
        <w:t xml:space="preserve"> from </w:t>
      </w:r>
      <w:r>
        <w:rPr>
          <w:rFonts w:hint="default" w:cs="Times New Roman"/>
          <w:b w:val="0"/>
          <w:bCs w:val="0"/>
          <w:sz w:val="24"/>
          <w:lang w:eastAsia="zh-CN" w:bidi="ar-SA"/>
        </w:rPr>
        <w:t>extreme wildfire weather without pyroCb. Also, this study pointed out that elevation of the wildfire surface can affect the meteorological requirements of pyroCb. Simulational studies tested the sensitivities of wildfire-generated smoke plume height on fire properties (e.g. geometry, burned area, firepower) and fuel properties (e.g., dryness, vegetation type, density), demonstrating the complexity of factors affecting pyroCb. Observational studies that intend to reveal the mechanism of pyroCb mainly adopted data from nearby weather radars which provides temporal resolution up to several minutes. Yet such studies were constrained to few sites and events. Recently, a machine learning team developed a machine learning pipeline called PYROCAST to forecast pyroCb in a given wildfire 6 hours in advance based on geostationary images and environmental parameters for 148 PyroCb events in 111 wildfires between 2018 and 2022 spanning North America, Australia, and Russia. The best algorithm they tried out predicted pyroCb with an AUC of 0.90 ± 0.04. This same team also developed a causal inference model to find the causes of pyroCb. However, the machine learning tool is like a black box with poor interpretability. And the causal model cannot take into account of the interactions between the fire and the weather, which damaged its reliability. Hence, there is still a pressing need to illuminate how pyroCb forms.</w:t>
      </w:r>
    </w:p>
    <w:p>
      <w:pPr>
        <w:bidi w:val="0"/>
        <w:rPr>
          <w:rFonts w:hint="default" w:cs="Times New Roman"/>
          <w:b w:val="0"/>
          <w:bCs w:val="0"/>
          <w:sz w:val="24"/>
          <w:lang w:eastAsia="zh-CN" w:bidi="ar-SA"/>
        </w:rPr>
      </w:pPr>
      <w:r>
        <w:rPr>
          <w:rFonts w:hint="default" w:cs="Times New Roman"/>
          <w:b w:val="0"/>
          <w:bCs w:val="0"/>
          <w:sz w:val="24"/>
          <w:lang w:eastAsia="zh-CN" w:bidi="ar-SA"/>
        </w:rPr>
        <w:t>Here I leverage the pyrocb database shared by the PYROCAST team and ERA5 hourly reanalysis</w:t>
      </w:r>
      <w:r>
        <w:rPr>
          <w:rFonts w:hint="default" w:cs="Times New Roman"/>
          <w:b w:val="0"/>
          <w:bCs w:val="0"/>
          <w:sz w:val="24"/>
          <w:lang w:eastAsia="zh-CN" w:bidi="ar-SA"/>
        </w:rPr>
        <w:t xml:space="preserve"> </w:t>
      </w:r>
      <w:r>
        <w:rPr>
          <w:rFonts w:hint="default" w:cs="Times New Roman"/>
          <w:b w:val="0"/>
          <w:bCs w:val="0"/>
          <w:sz w:val="24"/>
          <w:lang w:eastAsia="zh-CN" w:bidi="ar-SA"/>
        </w:rPr>
        <w:t xml:space="preserve">products to explore </w:t>
      </w:r>
      <w:r>
        <w:rPr>
          <w:rFonts w:hint="default" w:cs="Times New Roman"/>
          <w:b w:val="0"/>
          <w:bCs w:val="0"/>
          <w:sz w:val="24"/>
          <w:lang w:eastAsia="zh-CN" w:bidi="ar-SA"/>
        </w:rPr>
        <w:t>meteorological</w:t>
      </w:r>
      <w:r>
        <w:rPr>
          <w:rFonts w:hint="default" w:cs="Times New Roman"/>
          <w:b w:val="0"/>
          <w:bCs w:val="0"/>
          <w:sz w:val="24"/>
          <w:lang w:eastAsia="zh-CN" w:bidi="ar-SA"/>
        </w:rPr>
        <w:t xml:space="preserve"> factors conducive to pyroCb by analyzing the pattern of changes in </w:t>
      </w:r>
      <w:r>
        <w:rPr>
          <w:rFonts w:hint="default" w:cs="Times New Roman"/>
          <w:b w:val="0"/>
          <w:bCs w:val="0"/>
          <w:sz w:val="24"/>
          <w:lang w:eastAsia="zh-CN" w:bidi="ar-SA"/>
        </w:rPr>
        <w:t xml:space="preserve">meteorological </w:t>
      </w:r>
      <w:r>
        <w:rPr>
          <w:rFonts w:hint="default" w:cs="Times New Roman"/>
          <w:b w:val="0"/>
          <w:bCs w:val="0"/>
          <w:sz w:val="24"/>
          <w:lang w:eastAsia="zh-CN" w:bidi="ar-SA"/>
        </w:rPr>
        <w:t>parameter</w:t>
      </w:r>
      <w:r>
        <w:rPr>
          <w:rFonts w:hint="default" w:cs="Times New Roman"/>
          <w:b w:val="0"/>
          <w:bCs w:val="0"/>
          <w:sz w:val="24"/>
          <w:lang w:eastAsia="zh-CN" w:bidi="ar-SA"/>
        </w:rPr>
        <w:t>s</w:t>
      </w:r>
      <w:r>
        <w:rPr>
          <w:rFonts w:hint="default" w:cs="Times New Roman"/>
          <w:b w:val="0"/>
          <w:bCs w:val="0"/>
          <w:sz w:val="24"/>
          <w:lang w:eastAsia="zh-CN" w:bidi="ar-SA"/>
        </w:rPr>
        <w:t xml:space="preserve"> over the several hours before pyroCb, which may contain the key period for pyroCb development. To my knowledge, this is the first study that looks into the the common pattern of meteorological condition’s time series before a dataset of pyroCb events. Moreover, interregional comparison of the patterns are conducted to reveal potential regional differences.    </w:t>
      </w:r>
    </w:p>
    <w:p>
      <w:pPr>
        <w:bidi w:val="0"/>
        <w:rPr>
          <w:rFonts w:hint="default" w:ascii="Times New Roman Bold" w:hAnsi="Times New Roman Bold" w:cs="Times New Roman Bold"/>
          <w:b/>
          <w:bCs/>
          <w:sz w:val="24"/>
          <w:lang w:eastAsia="zh-CN" w:bidi="ar-SA"/>
        </w:rPr>
      </w:pPr>
      <w:r>
        <w:rPr>
          <w:rFonts w:hint="default" w:ascii="Times New Roman Bold" w:hAnsi="Times New Roman Bold" w:cs="Times New Roman Bold"/>
          <w:b/>
          <w:bCs/>
          <w:sz w:val="24"/>
          <w:lang w:eastAsia="zh-CN" w:bidi="ar-SA"/>
        </w:rPr>
        <w:t>2 Methods</w:t>
      </w:r>
    </w:p>
    <w:p>
      <w:pPr>
        <w:bidi w:val="0"/>
        <w:rPr>
          <w:rFonts w:hint="default" w:cs="Times New Roman"/>
          <w:b w:val="0"/>
          <w:bCs w:val="0"/>
          <w:color w:val="auto"/>
          <w:sz w:val="24"/>
          <w:u w:val="none"/>
          <w:lang w:eastAsia="zh-CN" w:bidi="ar-SA"/>
        </w:rPr>
      </w:pPr>
      <w:r>
        <w:rPr>
          <w:rFonts w:hint="default" w:cs="Times New Roman"/>
          <w:b w:val="0"/>
          <w:bCs w:val="0"/>
          <w:sz w:val="24"/>
          <w:lang w:eastAsia="zh-CN" w:bidi="ar-SA"/>
        </w:rPr>
        <w:t xml:space="preserve">This study incorporates an inventory </w:t>
      </w:r>
      <w:r>
        <w:rPr>
          <w:rFonts w:hint="default" w:cs="Times New Roman"/>
          <w:b w:val="0"/>
          <w:bCs w:val="0"/>
          <w:sz w:val="24"/>
          <w:lang w:eastAsia="zh-CN" w:bidi="ar-SA"/>
        </w:rPr>
        <w:t>collected by Tazi et al., 2022</w:t>
      </w:r>
      <w:r>
        <w:rPr>
          <w:rFonts w:hint="default" w:cs="Times New Roman"/>
          <w:b w:val="0"/>
          <w:bCs w:val="0"/>
          <w:sz w:val="24"/>
          <w:lang w:eastAsia="zh-CN" w:bidi="ar-SA"/>
        </w:rPr>
        <w:t xml:space="preserve"> consisting of 81 intense pyroCb events </w:t>
      </w:r>
      <w:r>
        <w:rPr>
          <w:rFonts w:hint="default" w:cs="Times New Roman"/>
          <w:b w:val="0"/>
          <w:bCs w:val="0"/>
          <w:sz w:val="24"/>
          <w:lang w:eastAsia="zh-CN" w:bidi="ar-SA"/>
        </w:rPr>
        <w:t>occured in the U.S., Canada, Australia, and Russia in 2018~2022</w:t>
      </w:r>
      <w:r>
        <w:rPr>
          <w:rFonts w:hint="default" w:cs="Times New Roman"/>
          <w:b w:val="0"/>
          <w:bCs w:val="0"/>
          <w:sz w:val="24"/>
          <w:lang w:eastAsia="zh-CN" w:bidi="ar-SA"/>
        </w:rPr>
        <w:t xml:space="preserve"> detected by satellite GEOS and HIMAWARI (https://spaceml.org/repo/project/63691212f97150000d504d4d). This inventory includes the location (latitude and longitude) of </w:t>
      </w:r>
      <w:r>
        <w:rPr>
          <w:rFonts w:hint="default" w:cs="Times New Roman"/>
          <w:b w:val="0"/>
          <w:bCs w:val="0"/>
          <w:sz w:val="24"/>
          <w:lang w:eastAsia="zh-CN" w:bidi="ar-SA"/>
        </w:rPr>
        <w:t>pyroCb events</w:t>
      </w:r>
      <w:r>
        <w:rPr>
          <w:rFonts w:hint="default" w:cs="Times New Roman"/>
          <w:b w:val="0"/>
          <w:bCs w:val="0"/>
          <w:sz w:val="24"/>
          <w:lang w:eastAsia="zh-CN" w:bidi="ar-SA"/>
        </w:rPr>
        <w:t xml:space="preserve"> and the time when pyroCb were detected using algorithm described in Peterson et al., 2017. </w:t>
      </w:r>
      <w:r>
        <w:rPr>
          <w:rFonts w:hint="default" w:cs="Times New Roman"/>
          <w:b w:val="0"/>
          <w:bCs w:val="0"/>
          <w:sz w:val="24"/>
          <w:lang w:eastAsia="zh-CN" w:bidi="ar-SA"/>
        </w:rPr>
        <w:t xml:space="preserve">ERA5 hourly and monthly averaged </w:t>
      </w:r>
      <w:r>
        <w:rPr>
          <w:rFonts w:hint="default" w:cs="Times New Roman"/>
          <w:b w:val="0"/>
          <w:bCs w:val="0"/>
          <w:sz w:val="24"/>
          <w:lang w:eastAsia="zh-CN" w:bidi="ar-SA"/>
        </w:rPr>
        <w:t xml:space="preserve">hourly </w:t>
      </w:r>
      <w:r>
        <w:rPr>
          <w:rFonts w:hint="default" w:cs="Times New Roman"/>
          <w:b w:val="0"/>
          <w:bCs w:val="0"/>
          <w:sz w:val="24"/>
          <w:lang w:eastAsia="zh-CN" w:bidi="ar-SA"/>
        </w:rPr>
        <w:t>data on pressure levels and single levels</w:t>
      </w:r>
      <w:r>
        <w:rPr>
          <w:rFonts w:hint="default" w:cs="Times New Roman"/>
          <w:b w:val="0"/>
          <w:bCs w:val="0"/>
          <w:sz w:val="24"/>
          <w:lang w:eastAsia="zh-CN" w:bidi="ar-SA"/>
        </w:rPr>
        <w:t xml:space="preserve"> corresponding to each pyroCb event was downloaded using </w:t>
      </w:r>
      <w:r>
        <w:rPr>
          <w:rFonts w:hint="default" w:cs="Times New Roman"/>
          <w:b w:val="0"/>
          <w:bCs w:val="0"/>
          <w:color w:val="auto"/>
          <w:sz w:val="24"/>
          <w:u w:val="none"/>
          <w:lang w:eastAsia="zh-CN" w:bidi="ar-SA"/>
        </w:rPr>
        <w:t xml:space="preserve">Copernicus Climate Data Store API (https://cds.climate.copernicus.eu/cdsapp#!/search?type=dataset&amp;text=ERA5). The hourly data were used to derive the meteorological conditions during and before each pyroCb event. The monthly averaged data also provide hourly value depite aggregated monthly for each hour. They were used to derive the background meteorological conditions on normal days for hours relevant to each pyroCb event. The anomaly of each meteorrological parameter was calculated by subtracting the monthly mean values (background) from the real time values. Wildfire surface elevations for each pyroCb location were derived from NASA SRTM Digital Elevation 30m data product (https://developers.google.com/earth-engine/datasets/catalog/USGS_SRTMGL1_003) through Google Earth Engine. The processing of each meteorological parameters is stated in the following section. To examine the pattern of how meteorological factors change over pre-pyroCb hours, 5 time windows were chosen (2/3/4/5/6 hrs before pyroCb). </w:t>
      </w:r>
      <w:r>
        <w:rPr>
          <w:rFonts w:hint="default" w:cs="Times New Roman"/>
          <w:b w:val="0"/>
          <w:bCs w:val="0"/>
          <w:color w:val="auto"/>
          <w:sz w:val="24"/>
          <w:u w:val="none"/>
          <w:lang w:eastAsia="zh-CN" w:bidi="ar-SA"/>
        </w:rPr>
        <w:t>Box plots were created to examine the distribution of values. 75% percentile, median, and 25% percentile are marked in the plots.</w:t>
      </w:r>
      <w:r>
        <w:rPr>
          <w:rFonts w:hint="default" w:cs="Times New Roman"/>
          <w:b w:val="0"/>
          <w:bCs w:val="0"/>
          <w:color w:val="auto"/>
          <w:sz w:val="24"/>
          <w:u w:val="none"/>
          <w:lang w:eastAsia="zh-CN" w:bidi="ar-SA"/>
        </w:rPr>
        <w:t xml:space="preserve"> Since the conclusions derived from these different time windows are similar, only the plots for 4 hrs before pyroCb are shown in the main text. For complete datasets, codes, and plots,  please visit the author's github page https://github.com/ChloeYangfan.</w:t>
      </w:r>
    </w:p>
    <w:p>
      <w:pPr>
        <w:bidi w:val="0"/>
        <w:rPr>
          <w:rFonts w:hint="default" w:ascii="Times New Roman Bold" w:hAnsi="Times New Roman Bold" w:cs="Times New Roman Bold"/>
          <w:b/>
          <w:bCs/>
          <w:color w:val="auto"/>
          <w:sz w:val="24"/>
          <w:u w:val="none"/>
          <w:lang w:eastAsia="zh-CN" w:bidi="ar-SA"/>
        </w:rPr>
      </w:pPr>
      <w:r>
        <w:rPr>
          <w:rFonts w:hint="default" w:ascii="Times New Roman Bold" w:hAnsi="Times New Roman Bold" w:cs="Times New Roman Bold"/>
          <w:b/>
          <w:bCs/>
          <w:color w:val="auto"/>
          <w:sz w:val="24"/>
          <w:u w:val="none"/>
          <w:lang w:eastAsia="zh-CN" w:bidi="ar-SA"/>
        </w:rPr>
        <w:t>3 Results and discussions</w:t>
      </w:r>
    </w:p>
    <w:p>
      <w:pPr>
        <w:bidi w:val="0"/>
        <w:rPr>
          <w:rFonts w:hint="default" w:ascii="Times New Roman Bold" w:hAnsi="Times New Roman Bold" w:cs="Times New Roman Bold"/>
          <w:b/>
          <w:bCs/>
          <w:color w:val="auto"/>
          <w:sz w:val="24"/>
          <w:u w:val="none"/>
          <w:lang w:eastAsia="zh-CN" w:bidi="ar-SA"/>
        </w:rPr>
      </w:pPr>
      <w:r>
        <w:rPr>
          <w:rFonts w:hint="default" w:ascii="Times New Roman Bold" w:hAnsi="Times New Roman Bold" w:cs="Times New Roman Bold"/>
          <w:b/>
          <w:bCs/>
          <w:color w:val="auto"/>
          <w:sz w:val="24"/>
          <w:u w:val="none"/>
          <w:lang w:eastAsia="zh-CN" w:bidi="ar-SA"/>
        </w:rPr>
        <w:t>3.1 Lower Troposphere Conditions</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 xml:space="preserve">The concept of lower troposphere here refers to the atmosphere between the upper boundary of the mixed layer (boundary layer) and the cloud base height. The reason why I excluded the boundary layer is that the atmospheric conditions in this layer are highly variable and depends on the complex surface properties. </w:t>
      </w:r>
      <w:r>
        <w:rPr>
          <w:rFonts w:hint="default" w:cs="Times New Roman"/>
          <w:b w:val="0"/>
          <w:bCs w:val="0"/>
          <w:color w:val="auto"/>
          <w:sz w:val="24"/>
          <w:u w:val="none"/>
          <w:lang w:eastAsia="zh-CN" w:bidi="ar-SA"/>
        </w:rPr>
        <w:t>The discussion starts w</w:t>
      </w:r>
      <w:r>
        <w:rPr>
          <w:rFonts w:hint="default" w:cs="Times New Roman"/>
          <w:b w:val="0"/>
          <w:bCs w:val="0"/>
          <w:color w:val="auto"/>
          <w:sz w:val="24"/>
          <w:u w:val="none"/>
          <w:lang w:eastAsia="zh-CN" w:bidi="ar-SA"/>
        </w:rPr>
        <w:t>ith this layer without mentioning surface meteorological conditions because Peterson et al., 2017 has shown the inefficacy of surface weather conditions in predicing pyroCb in an intense fire.</w:t>
      </w:r>
    </w:p>
    <w:p>
      <w:pPr>
        <w:bidi w:val="0"/>
        <w:rPr>
          <w:rFonts w:hint="default" w:ascii="Times New Roman Bold" w:hAnsi="Times New Roman Bold" w:cs="Times New Roman Bold"/>
          <w:b/>
          <w:bCs/>
          <w:color w:val="auto"/>
          <w:sz w:val="24"/>
          <w:u w:val="none"/>
          <w:lang w:eastAsia="zh-CN" w:bidi="ar-SA"/>
        </w:rPr>
      </w:pPr>
      <w:r>
        <w:rPr>
          <w:rFonts w:hint="default" w:ascii="Times New Roman Bold" w:hAnsi="Times New Roman Bold" w:cs="Times New Roman Bold"/>
          <w:b/>
          <w:bCs/>
          <w:color w:val="auto"/>
          <w:sz w:val="24"/>
          <w:u w:val="none"/>
          <w:lang w:eastAsia="zh-CN" w:bidi="ar-SA"/>
        </w:rPr>
        <w:t xml:space="preserve">3.1.1 </w:t>
      </w:r>
      <w:r>
        <w:rPr>
          <w:rFonts w:hint="default" w:ascii="Times New Roman Bold" w:hAnsi="Times New Roman Bold" w:cs="Times New Roman Bold"/>
          <w:b/>
          <w:bCs/>
          <w:color w:val="auto"/>
          <w:sz w:val="24"/>
          <w:u w:val="none"/>
          <w:lang w:eastAsia="zh-CN" w:bidi="ar-SA"/>
        </w:rPr>
        <w:t>Lower Troposphere</w:t>
      </w:r>
      <w:r>
        <w:rPr>
          <w:rFonts w:hint="default" w:ascii="Times New Roman Bold" w:hAnsi="Times New Roman Bold" w:cs="Times New Roman Bold"/>
          <w:b/>
          <w:bCs/>
          <w:color w:val="auto"/>
          <w:sz w:val="24"/>
          <w:u w:val="none"/>
          <w:lang w:eastAsia="zh-CN" w:bidi="ar-SA"/>
        </w:rPr>
        <w:t xml:space="preserve"> </w:t>
      </w:r>
      <w:r>
        <w:rPr>
          <w:rFonts w:hint="default" w:ascii="Times New Roman Bold" w:hAnsi="Times New Roman Bold" w:cs="Times New Roman Bold"/>
          <w:b/>
          <w:bCs/>
          <w:color w:val="auto"/>
          <w:sz w:val="24"/>
          <w:u w:val="none"/>
          <w:lang w:eastAsia="zh-CN" w:bidi="ar-SA"/>
        </w:rPr>
        <w:t>Instability</w:t>
      </w:r>
    </w:p>
    <w:p>
      <w:pPr>
        <w:bidi w:val="0"/>
        <w:rPr>
          <w:rFonts w:hint="default" w:ascii="Times New Roman Italic" w:hAnsi="Times New Roman Italic" w:cs="Times New Roman Italic"/>
          <w:b w:val="0"/>
          <w:bCs w:val="0"/>
          <w:i/>
          <w:iCs/>
          <w:color w:val="auto"/>
          <w:sz w:val="24"/>
          <w:u w:val="none"/>
          <w:lang w:eastAsia="zh-CN" w:bidi="ar-SA"/>
        </w:rPr>
      </w:pPr>
      <w:r>
        <w:rPr>
          <w:rFonts w:hint="default" w:cs="Times New Roman"/>
          <w:b w:val="0"/>
          <w:bCs w:val="0"/>
          <w:color w:val="auto"/>
          <w:sz w:val="24"/>
          <w:u w:val="none"/>
          <w:lang w:eastAsia="zh-CN" w:bidi="ar-SA"/>
        </w:rPr>
        <w:t>To quantify the lower troposphere instability, I calculated the mean temperature lapse rate in this layer (LTLR), a metric retained from Peterson et al., 2017. The more negative LTLR is, the more unstable the lower troposphere is. According to Fig 1, LTLR decreased over the 2-6 hour pre-pyroCb windows for the vast majority of pyroCb events in the inventory adopted by this study. However, it is nothworthy that such enhancement in low-level atmospheric instability is mainly atributable to the background trend. Actually, most of the pyroCb events occur in the local afternoon when atmospheric instability reaches its peak. Thus, it is no suprising that lower troposphere instability increases before most pyroCb events. However, it is interesting that before most pyroCb events, the lower troposphere instability enhances less than it does on a normal day. I guess it may imply that the threshold of lower troposphere instability for pyroCb development is usually easy to reach. And some other conditions that boosts pyroCb development may hinder the accumulation of lower troposphere instability during pre-pyroCb hours.</w:t>
      </w:r>
    </w:p>
    <w:p>
      <w:pPr>
        <w:bidi w:val="0"/>
        <w:rPr>
          <w:rFonts w:hint="default" w:ascii="Times New Roman Bold" w:hAnsi="Times New Roman Bold" w:cs="Times New Roman Bold"/>
          <w:b/>
          <w:bCs/>
          <w:color w:val="auto"/>
          <w:sz w:val="24"/>
          <w:u w:val="none"/>
          <w:lang w:eastAsia="zh-CN" w:bidi="ar-SA"/>
        </w:rPr>
      </w:pPr>
      <w:r>
        <w:rPr>
          <w:rFonts w:hint="default" w:ascii="Times New Roman Bold" w:hAnsi="Times New Roman Bold" w:cs="Times New Roman Bold"/>
          <w:b/>
          <w:bCs/>
          <w:color w:val="auto"/>
          <w:sz w:val="24"/>
          <w:u w:val="none"/>
          <w:lang w:eastAsia="zh-CN" w:bidi="ar-SA"/>
        </w:rPr>
        <w:t>3.2.1 Vertical Wind Shear</w:t>
      </w:r>
    </w:p>
    <w:p>
      <w:pPr>
        <w:bidi w:val="0"/>
        <w:rPr>
          <w:rFonts w:hint="default" w:cs="Times New Roman"/>
          <w:b w:val="0"/>
          <w:bCs w:val="0"/>
          <w:color w:val="auto"/>
          <w:sz w:val="24"/>
          <w:u w:val="none"/>
          <w:lang w:eastAsia="zh-CN" w:bidi="ar-SA"/>
        </w:rPr>
      </w:pPr>
      <w:r>
        <w:rPr>
          <w:rFonts w:hint="default" w:ascii="Times New Roman" w:hAnsi="Times New Roman" w:cs="Times New Roman"/>
          <w:b w:val="0"/>
          <w:bCs w:val="0"/>
          <w:color w:val="auto"/>
          <w:sz w:val="24"/>
          <w:u w:val="none"/>
          <w:lang w:eastAsia="zh-CN" w:bidi="ar-SA"/>
        </w:rPr>
        <w:t xml:space="preserve">Peterson et al., 2017 </w:t>
      </w:r>
      <w:r>
        <w:rPr>
          <w:rFonts w:hint="default" w:cs="Times New Roman"/>
          <w:b w:val="0"/>
          <w:bCs w:val="0"/>
          <w:color w:val="auto"/>
          <w:sz w:val="24"/>
          <w:u w:val="none"/>
          <w:lang w:eastAsia="zh-CN" w:bidi="ar-SA"/>
        </w:rPr>
        <w:t>found</w:t>
      </w:r>
      <w:r>
        <w:rPr>
          <w:rFonts w:hint="default" w:ascii="Times New Roman" w:hAnsi="Times New Roman" w:cs="Times New Roman"/>
          <w:b w:val="0"/>
          <w:bCs w:val="0"/>
          <w:color w:val="auto"/>
          <w:sz w:val="24"/>
          <w:u w:val="none"/>
          <w:lang w:eastAsia="zh-CN" w:bidi="ar-SA"/>
        </w:rPr>
        <w:t xml:space="preserve"> that </w:t>
      </w:r>
      <w:r>
        <w:rPr>
          <w:rFonts w:hint="default" w:cs="Times New Roman"/>
          <w:b w:val="0"/>
          <w:bCs w:val="0"/>
          <w:color w:val="auto"/>
          <w:sz w:val="24"/>
          <w:u w:val="none"/>
          <w:lang w:eastAsia="zh-CN" w:bidi="ar-SA"/>
        </w:rPr>
        <w:t xml:space="preserve">North-American </w:t>
      </w:r>
      <w:r>
        <w:rPr>
          <w:rFonts w:hint="default" w:ascii="Times New Roman" w:hAnsi="Times New Roman" w:cs="Times New Roman"/>
          <w:b w:val="0"/>
          <w:bCs w:val="0"/>
          <w:color w:val="auto"/>
          <w:sz w:val="24"/>
          <w:u w:val="none"/>
          <w:lang w:eastAsia="zh-CN" w:bidi="ar-SA"/>
        </w:rPr>
        <w:t xml:space="preserve">pyroCb weathers have relatively </w:t>
      </w:r>
      <w:r>
        <w:rPr>
          <w:rFonts w:hint="default" w:cs="Times New Roman"/>
          <w:b w:val="0"/>
          <w:bCs w:val="0"/>
          <w:color w:val="auto"/>
          <w:sz w:val="24"/>
          <w:u w:val="none"/>
          <w:lang w:eastAsia="zh-CN" w:bidi="ar-SA"/>
        </w:rPr>
        <w:t>small low-level</w:t>
      </w:r>
      <w:r>
        <w:rPr>
          <w:rFonts w:hint="default" w:ascii="Times New Roman" w:hAnsi="Times New Roman" w:cs="Times New Roman"/>
          <w:b w:val="0"/>
          <w:bCs w:val="0"/>
          <w:color w:val="auto"/>
          <w:sz w:val="24"/>
          <w:u w:val="none"/>
          <w:lang w:eastAsia="zh-CN" w:bidi="ar-SA"/>
        </w:rPr>
        <w:t xml:space="preserve"> vertical wind shears</w:t>
      </w:r>
      <w:r>
        <w:rPr>
          <w:rFonts w:hint="default" w:cs="Times New Roman"/>
          <w:b w:val="0"/>
          <w:bCs w:val="0"/>
          <w:color w:val="auto"/>
          <w:sz w:val="24"/>
          <w:u w:val="none"/>
          <w:lang w:eastAsia="zh-CN" w:bidi="ar-SA"/>
        </w:rPr>
        <w:t>, which makes it easier for smoke plume to rise. Then a natural question follows: is pre-pyroCb weather accompanied by reduction in vertical wind shear? In order to answer this question, I used the mean vertical wind speed difference between adjacent pressure levels in the lower troposphere (</w:t>
      </w:r>
      <w:r>
        <w:rPr>
          <w:rFonts w:hint="default" w:cs="Times New Roman"/>
          <w:b w:val="0"/>
          <w:bCs w:val="0"/>
          <w:color w:val="auto"/>
          <w:sz w:val="24"/>
          <w:u w:val="none"/>
          <w:lang w:eastAsia="zh-CN" w:bidi="ar-SA"/>
        </w:rPr>
        <w:t>LTVWS_speed_diff_mean</w:t>
      </w:r>
      <w:r>
        <w:rPr>
          <w:rFonts w:hint="default" w:cs="Times New Roman"/>
          <w:b w:val="0"/>
          <w:bCs w:val="0"/>
          <w:color w:val="auto"/>
          <w:sz w:val="24"/>
          <w:u w:val="none"/>
          <w:lang w:eastAsia="zh-CN" w:bidi="ar-SA"/>
        </w:rPr>
        <w:t>) to quantify low-level vertical wind shear and examined its change before pyroCb. Results are shown in Fig. 2.</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It turns out that v</w:t>
      </w:r>
      <w:r>
        <w:rPr>
          <w:rFonts w:hint="default" w:cs="Times New Roman"/>
          <w:b w:val="0"/>
          <w:bCs w:val="0"/>
          <w:color w:val="auto"/>
          <w:sz w:val="24"/>
          <w:u w:val="none"/>
          <w:lang w:eastAsia="zh-CN" w:bidi="ar-SA"/>
        </w:rPr>
        <w:t xml:space="preserve">ertical </w:t>
      </w:r>
      <w:r>
        <w:rPr>
          <w:rFonts w:hint="default" w:cs="Times New Roman"/>
          <w:b w:val="0"/>
          <w:bCs w:val="0"/>
          <w:color w:val="auto"/>
          <w:sz w:val="24"/>
          <w:u w:val="none"/>
          <w:lang w:eastAsia="zh-CN" w:bidi="ar-SA"/>
        </w:rPr>
        <w:t>w</w:t>
      </w:r>
      <w:r>
        <w:rPr>
          <w:rFonts w:hint="default" w:cs="Times New Roman"/>
          <w:b w:val="0"/>
          <w:bCs w:val="0"/>
          <w:color w:val="auto"/>
          <w:sz w:val="24"/>
          <w:u w:val="none"/>
          <w:lang w:eastAsia="zh-CN" w:bidi="ar-SA"/>
        </w:rPr>
        <w:t xml:space="preserve">ind </w:t>
      </w:r>
      <w:r>
        <w:rPr>
          <w:rFonts w:hint="default" w:cs="Times New Roman"/>
          <w:b w:val="0"/>
          <w:bCs w:val="0"/>
          <w:color w:val="auto"/>
          <w:sz w:val="24"/>
          <w:u w:val="none"/>
          <w:lang w:eastAsia="zh-CN" w:bidi="ar-SA"/>
        </w:rPr>
        <w:t>s</w:t>
      </w:r>
      <w:r>
        <w:rPr>
          <w:rFonts w:hint="default" w:cs="Times New Roman"/>
          <w:b w:val="0"/>
          <w:bCs w:val="0"/>
          <w:color w:val="auto"/>
          <w:sz w:val="24"/>
          <w:u w:val="none"/>
          <w:lang w:eastAsia="zh-CN" w:bidi="ar-SA"/>
        </w:rPr>
        <w:t>hear</w:t>
      </w:r>
      <w:r>
        <w:rPr>
          <w:rFonts w:hint="default" w:cs="Times New Roman"/>
          <w:b w:val="0"/>
          <w:bCs w:val="0"/>
          <w:color w:val="auto"/>
          <w:sz w:val="24"/>
          <w:u w:val="none"/>
          <w:lang w:eastAsia="zh-CN" w:bidi="ar-SA"/>
        </w:rPr>
        <w:t xml:space="preserve"> </w:t>
      </w:r>
      <w:r>
        <w:rPr>
          <w:rFonts w:hint="default" w:cs="Times New Roman"/>
          <w:b w:val="0"/>
          <w:bCs w:val="0"/>
          <w:color w:val="auto"/>
          <w:sz w:val="24"/>
          <w:u w:val="none"/>
          <w:lang w:eastAsia="zh-CN" w:bidi="ar-SA"/>
        </w:rPr>
        <w:t xml:space="preserve">significantly diminished </w:t>
      </w:r>
      <w:r>
        <w:rPr>
          <w:rFonts w:hint="default" w:cs="Times New Roman"/>
          <w:b w:val="0"/>
          <w:bCs w:val="0"/>
          <w:color w:val="auto"/>
          <w:sz w:val="24"/>
          <w:u w:val="none"/>
          <w:lang w:eastAsia="zh-CN" w:bidi="ar-SA"/>
        </w:rPr>
        <w:t>before pyroCb at all elevations in contiguous US</w:t>
      </w:r>
      <w:r>
        <w:rPr>
          <w:rFonts w:hint="default" w:cs="Times New Roman"/>
          <w:b w:val="0"/>
          <w:bCs w:val="0"/>
          <w:color w:val="auto"/>
          <w:sz w:val="24"/>
          <w:u w:val="none"/>
          <w:lang w:eastAsia="zh-CN" w:bidi="ar-SA"/>
        </w:rPr>
        <w:t xml:space="preserve">. But the major contributor to this diminishment varies with elevations. For low elevations (&lt;1km) and high elevations (&gt;2km), </w:t>
      </w:r>
      <w:r>
        <w:rPr>
          <w:rFonts w:hint="default" w:cs="Times New Roman"/>
          <w:b w:val="0"/>
          <w:bCs w:val="0"/>
          <w:color w:val="auto"/>
          <w:sz w:val="24"/>
          <w:u w:val="none"/>
          <w:lang w:eastAsia="zh-CN" w:bidi="ar-SA"/>
        </w:rPr>
        <w:t>pre-pyroCb</w:t>
      </w:r>
      <w:r>
        <w:rPr>
          <w:rFonts w:hint="default" w:cs="Times New Roman"/>
          <w:b w:val="0"/>
          <w:bCs w:val="0"/>
          <w:color w:val="auto"/>
          <w:sz w:val="24"/>
          <w:u w:val="none"/>
          <w:lang w:eastAsia="zh-CN" w:bidi="ar-SA"/>
        </w:rPr>
        <w:t xml:space="preserve"> weather anomalies are the </w:t>
      </w:r>
      <w:r>
        <w:rPr>
          <w:rFonts w:hint="default" w:cs="Times New Roman"/>
          <w:b w:val="0"/>
          <w:bCs w:val="0"/>
          <w:color w:val="auto"/>
          <w:sz w:val="24"/>
          <w:u w:val="none"/>
          <w:lang w:eastAsia="zh-CN" w:bidi="ar-SA"/>
        </w:rPr>
        <w:t>major contributor</w:t>
      </w:r>
      <w:r>
        <w:rPr>
          <w:rFonts w:hint="default" w:cs="Times New Roman"/>
          <w:b w:val="0"/>
          <w:bCs w:val="0"/>
          <w:color w:val="auto"/>
          <w:sz w:val="24"/>
          <w:u w:val="none"/>
          <w:lang w:eastAsia="zh-CN" w:bidi="ar-SA"/>
        </w:rPr>
        <w:t xml:space="preserve">s. For mid elevations (1~2km), background trend made the primary contribution. </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 xml:space="preserve">For low elevations </w:t>
      </w:r>
      <w:r>
        <w:rPr>
          <w:rFonts w:hint="default" w:cs="Times New Roman"/>
          <w:b w:val="0"/>
          <w:bCs w:val="0"/>
          <w:color w:val="auto"/>
          <w:sz w:val="24"/>
          <w:u w:val="none"/>
          <w:lang w:eastAsia="zh-CN" w:bidi="ar-SA"/>
        </w:rPr>
        <w:t>(&lt;1km)</w:t>
      </w:r>
      <w:r>
        <w:rPr>
          <w:rFonts w:hint="default" w:cs="Times New Roman"/>
          <w:b w:val="0"/>
          <w:bCs w:val="0"/>
          <w:color w:val="auto"/>
          <w:sz w:val="24"/>
          <w:u w:val="none"/>
          <w:lang w:eastAsia="zh-CN" w:bidi="ar-SA"/>
        </w:rPr>
        <w:t xml:space="preserve"> in Canada and Alaska, the change in vertical wind shear is small as the background trend is positive (</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LTVWS_speed_diff_mean_</w:t>
      </w:r>
      <w:r>
        <w:rPr>
          <w:rFonts w:hint="default" w:cs="Times New Roman"/>
          <w:b w:val="0"/>
          <w:bCs w:val="0"/>
          <w:color w:val="auto"/>
          <w:sz w:val="24"/>
          <w:u w:val="none"/>
          <w:lang w:eastAsia="zh-CN" w:bidi="ar-SA"/>
        </w:rPr>
        <w:t>bg</w:t>
      </w:r>
      <w:r>
        <w:rPr>
          <w:rFonts w:hint="default" w:cs="Times New Roman"/>
          <w:b w:val="0"/>
          <w:bCs w:val="0"/>
          <w:color w:val="auto"/>
          <w:sz w:val="24"/>
          <w:u w:val="none"/>
          <w:lang w:eastAsia="zh-CN" w:bidi="ar-SA"/>
        </w:rPr>
        <w:t xml:space="preserve"> </w:t>
      </w:r>
      <w:r>
        <w:rPr>
          <w:rFonts w:hint="default" w:cs="Times New Roman"/>
          <w:b w:val="0"/>
          <w:bCs w:val="0"/>
          <w:color w:val="auto"/>
          <w:sz w:val="24"/>
          <w:u w:val="none"/>
          <w:lang w:eastAsia="zh-CN" w:bidi="ar-SA"/>
        </w:rPr>
        <w:t>&gt;</w:t>
      </w:r>
      <w:r>
        <w:rPr>
          <w:rFonts w:hint="default" w:cs="Times New Roman"/>
          <w:b w:val="0"/>
          <w:bCs w:val="0"/>
          <w:color w:val="auto"/>
          <w:sz w:val="24"/>
          <w:u w:val="none"/>
          <w:lang w:eastAsia="zh-CN" w:bidi="ar-SA"/>
        </w:rPr>
        <w:t xml:space="preserve"> 0</w:t>
      </w:r>
      <w:r>
        <w:rPr>
          <w:rFonts w:hint="default" w:cs="Times New Roman"/>
          <w:b w:val="0"/>
          <w:bCs w:val="0"/>
          <w:color w:val="auto"/>
          <w:sz w:val="24"/>
          <w:u w:val="none"/>
          <w:lang w:eastAsia="zh-CN" w:bidi="ar-SA"/>
        </w:rPr>
        <w:t>) yet the pre-pyroCb anomalous trend is negative (</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LTVWS_speed_diff_mean</w:t>
      </w:r>
      <w:r>
        <w:rPr>
          <w:rFonts w:hint="default" w:cs="Times New Roman"/>
          <w:b w:val="0"/>
          <w:bCs w:val="0"/>
          <w:color w:val="auto"/>
          <w:sz w:val="24"/>
          <w:u w:val="none"/>
          <w:lang w:eastAsia="zh-CN" w:bidi="ar-SA"/>
        </w:rPr>
        <w:t xml:space="preserve">_anomaly &lt; 0). They largely canceled with each other. However, for the mid elevations (1~2km) in Canada and Alaska, although </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 xml:space="preserve">LTVWS_speed_diff_mean_bg </w:t>
      </w:r>
      <w:r>
        <w:rPr>
          <w:rFonts w:hint="default" w:cs="Times New Roman"/>
          <w:b w:val="0"/>
          <w:bCs w:val="0"/>
          <w:color w:val="auto"/>
          <w:sz w:val="24"/>
          <w:u w:val="none"/>
          <w:lang w:eastAsia="zh-CN" w:bidi="ar-SA"/>
        </w:rPr>
        <w:t xml:space="preserve">is positive, </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LTVWS_speed_diff_mean_anomaly</w:t>
      </w:r>
      <w:r>
        <w:rPr>
          <w:rFonts w:hint="default" w:cs="Times New Roman"/>
          <w:b w:val="0"/>
          <w:bCs w:val="0"/>
          <w:color w:val="auto"/>
          <w:sz w:val="24"/>
          <w:u w:val="none"/>
          <w:lang w:eastAsia="zh-CN" w:bidi="ar-SA"/>
        </w:rPr>
        <w:t xml:space="preserve"> is so negative that the net change in vertical wind shear several hours before is significantly negative. This suggests that there will be abnormal significant reduction in lower troposphere vertical wind shear in mid elevations of Canada and Alaska before pyroCb, which reverses the background trend of this meteorological parameter over the course of the day. This may be informative for pyroCb forcast in these regions. I suggest future studies check this with mechanistic models. As for low elevations (&lt;1km) in Australia, things are similar to mid elevations in Canada and Alaska, which deserves furthur study.</w:t>
      </w:r>
    </w:p>
    <w:p>
      <w:pPr>
        <w:bidi w:val="0"/>
        <w:rPr>
          <w:rFonts w:hint="default" w:ascii="Times New Roman Bold" w:hAnsi="Times New Roman Bold" w:cs="Times New Roman Bold"/>
          <w:b/>
          <w:bCs/>
          <w:color w:val="auto"/>
          <w:sz w:val="24"/>
          <w:u w:val="none"/>
          <w:lang w:eastAsia="zh-CN" w:bidi="ar-SA"/>
        </w:rPr>
      </w:pPr>
      <w:r>
        <w:rPr>
          <w:rFonts w:hint="default" w:cs="Times New Roman"/>
          <w:b w:val="0"/>
          <w:bCs w:val="0"/>
          <w:color w:val="auto"/>
          <w:sz w:val="24"/>
          <w:u w:val="none"/>
          <w:lang w:eastAsia="zh-CN" w:bidi="ar-SA"/>
        </w:rPr>
        <w:t>By contrast with the phenomena in North America and Australia, the lower troposphere vertical wind shear</w:t>
      </w:r>
      <w:r>
        <w:rPr>
          <w:rFonts w:hint="default" w:cs="Times New Roman"/>
          <w:b w:val="0"/>
          <w:bCs w:val="0"/>
          <w:color w:val="auto"/>
          <w:sz w:val="24"/>
          <w:u w:val="none"/>
          <w:lang w:eastAsia="zh-CN" w:bidi="ar-SA"/>
        </w:rPr>
        <w:t xml:space="preserve"> strengthened</w:t>
      </w:r>
      <w:r>
        <w:rPr>
          <w:rFonts w:hint="default" w:cs="Times New Roman"/>
          <w:b w:val="0"/>
          <w:bCs w:val="0"/>
          <w:color w:val="auto"/>
          <w:sz w:val="24"/>
          <w:u w:val="none"/>
          <w:lang w:eastAsia="zh-CN" w:bidi="ar-SA"/>
        </w:rPr>
        <w:t xml:space="preserve"> before low-evelation (&lt;1km) Russian pyroCb events. It is counterintuitive as stronger low-level vertical wind shear inhibits smoke plume to rise. This implies there must be other favorable conditions for these pyroCb events to overcome such disadvantage or vertical wind shear is never a limiting facor for plume rise in this region.</w:t>
      </w:r>
    </w:p>
    <w:p>
      <w:pPr>
        <w:bidi w:val="0"/>
        <w:rPr>
          <w:rFonts w:hint="default" w:ascii="Times New Roman Bold" w:hAnsi="Times New Roman Bold" w:cs="Times New Roman Bold"/>
          <w:b/>
          <w:bCs/>
          <w:color w:val="auto"/>
          <w:sz w:val="24"/>
          <w:u w:val="none"/>
          <w:lang w:eastAsia="zh-CN" w:bidi="ar-SA"/>
        </w:rPr>
      </w:pPr>
      <w:r>
        <w:rPr>
          <w:rFonts w:hint="default" w:ascii="Times New Roman Bold" w:hAnsi="Times New Roman Bold" w:cs="Times New Roman Bold"/>
          <w:b/>
          <w:bCs/>
          <w:color w:val="auto"/>
          <w:sz w:val="24"/>
          <w:u w:val="none"/>
          <w:lang w:eastAsia="zh-CN" w:bidi="ar-SA"/>
        </w:rPr>
        <w:t>3.2 middle troposphere Conditions</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 xml:space="preserve">The lower boundary of middle troposphere in this study was defined as the mean cloud base height of the </w:t>
      </w:r>
      <w:r>
        <w:rPr>
          <w:rFonts w:hint="default" w:cs="Times New Roman"/>
          <w:b w:val="0"/>
          <w:bCs w:val="0"/>
          <w:color w:val="auto"/>
          <w:sz w:val="24"/>
          <w:u w:val="none"/>
          <w:lang w:eastAsia="zh-CN" w:bidi="ar-SA"/>
        </w:rPr>
        <w:t>pyroCb</w:t>
      </w:r>
      <w:r>
        <w:rPr>
          <w:rFonts w:hint="default" w:cs="Times New Roman"/>
          <w:b w:val="0"/>
          <w:bCs w:val="0"/>
          <w:color w:val="auto"/>
          <w:sz w:val="24"/>
          <w:u w:val="none"/>
          <w:lang w:eastAsia="zh-CN" w:bidi="ar-SA"/>
        </w:rPr>
        <w:t xml:space="preserve"> location in the month pyroCb occured. Usually the corresponding pressure level ranges from 800 </w:t>
      </w:r>
      <w:r>
        <w:rPr>
          <w:rFonts w:hint="default" w:cs="Times New Roman"/>
          <w:b w:val="0"/>
          <w:bCs w:val="0"/>
          <w:color w:val="auto"/>
          <w:sz w:val="24"/>
          <w:u w:val="none"/>
          <w:lang w:eastAsia="zh-CN" w:bidi="ar-SA"/>
        </w:rPr>
        <w:t>hPa</w:t>
      </w:r>
      <w:r>
        <w:rPr>
          <w:rFonts w:hint="default" w:cs="Times New Roman"/>
          <w:b w:val="0"/>
          <w:bCs w:val="0"/>
          <w:color w:val="auto"/>
          <w:sz w:val="24"/>
          <w:u w:val="none"/>
          <w:lang w:eastAsia="zh-CN" w:bidi="ar-SA"/>
        </w:rPr>
        <w:t xml:space="preserve"> to 700 hPa. The upper boundary of middle troposphere was chosen according to Peterson et al., 2017 as the pressure level that is roughly right behind the upper tropospheric dynamic features like jet streams. For Australia and Contiguous United States, it was defined as 300 hPa. For Russia, Canada, and Alaska, it was defined as 400 hPa. </w:t>
      </w:r>
    </w:p>
    <w:p>
      <w:pPr>
        <w:bidi w:val="0"/>
        <w:rPr>
          <w:rFonts w:hint="default" w:ascii="Times New Roman Bold" w:hAnsi="Times New Roman Bold" w:cs="Times New Roman Bold"/>
          <w:b/>
          <w:bCs/>
          <w:color w:val="auto"/>
          <w:sz w:val="24"/>
          <w:u w:val="none"/>
          <w:lang w:eastAsia="zh-CN" w:bidi="ar-SA"/>
        </w:rPr>
      </w:pPr>
      <w:r>
        <w:rPr>
          <w:rFonts w:hint="default" w:ascii="Times New Roman Bold" w:hAnsi="Times New Roman Bold" w:cs="Times New Roman Bold"/>
          <w:b/>
          <w:bCs/>
          <w:color w:val="auto"/>
          <w:sz w:val="24"/>
          <w:u w:val="none"/>
          <w:lang w:eastAsia="zh-CN" w:bidi="ar-SA"/>
        </w:rPr>
        <w:t xml:space="preserve">3.2.1 </w:t>
      </w:r>
      <w:r>
        <w:rPr>
          <w:rFonts w:hint="default" w:ascii="Times New Roman Bold" w:hAnsi="Times New Roman Bold" w:cs="Times New Roman Bold"/>
          <w:b/>
          <w:bCs/>
          <w:color w:val="auto"/>
          <w:sz w:val="24"/>
          <w:u w:val="none"/>
          <w:lang w:eastAsia="zh-CN" w:bidi="ar-SA"/>
        </w:rPr>
        <w:t>Middle Troposphere</w:t>
      </w:r>
      <w:r>
        <w:rPr>
          <w:rFonts w:hint="default" w:ascii="Times New Roman Bold" w:hAnsi="Times New Roman Bold" w:cs="Times New Roman Bold"/>
          <w:b/>
          <w:bCs/>
          <w:color w:val="auto"/>
          <w:sz w:val="24"/>
          <w:u w:val="none"/>
          <w:lang w:eastAsia="zh-CN" w:bidi="ar-SA"/>
        </w:rPr>
        <w:t xml:space="preserve"> </w:t>
      </w:r>
      <w:r>
        <w:rPr>
          <w:rFonts w:hint="default" w:ascii="Times New Roman Bold" w:hAnsi="Times New Roman Bold" w:cs="Times New Roman Bold"/>
          <w:b/>
          <w:bCs/>
          <w:color w:val="auto"/>
          <w:sz w:val="24"/>
          <w:u w:val="none"/>
          <w:lang w:eastAsia="zh-CN" w:bidi="ar-SA"/>
        </w:rPr>
        <w:t>Moisture</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The moist</w:t>
      </w:r>
      <w:r>
        <w:rPr>
          <w:rFonts w:hint="default" w:cs="Times New Roman"/>
          <w:b w:val="0"/>
          <w:bCs w:val="0"/>
          <w:color w:val="auto"/>
          <w:sz w:val="24"/>
          <w:u w:val="none"/>
          <w:lang w:eastAsia="zh-CN" w:bidi="ar-SA"/>
        </w:rPr>
        <w:t>ure</w:t>
      </w:r>
      <w:r>
        <w:rPr>
          <w:rFonts w:hint="default" w:cs="Times New Roman"/>
          <w:b w:val="0"/>
          <w:bCs w:val="0"/>
          <w:color w:val="auto"/>
          <w:sz w:val="24"/>
          <w:u w:val="none"/>
          <w:lang w:eastAsia="zh-CN" w:bidi="ar-SA"/>
        </w:rPr>
        <w:t xml:space="preserve"> in </w:t>
      </w:r>
      <w:r>
        <w:rPr>
          <w:rFonts w:hint="default" w:cs="Times New Roman"/>
          <w:b w:val="0"/>
          <w:bCs w:val="0"/>
          <w:color w:val="auto"/>
          <w:sz w:val="24"/>
          <w:u w:val="none"/>
          <w:lang w:eastAsia="zh-CN" w:bidi="ar-SA"/>
        </w:rPr>
        <w:t>middle troposphere</w:t>
      </w:r>
      <w:r>
        <w:rPr>
          <w:rFonts w:hint="default" w:cs="Times New Roman"/>
          <w:b w:val="0"/>
          <w:bCs w:val="0"/>
          <w:color w:val="auto"/>
          <w:sz w:val="24"/>
          <w:u w:val="none"/>
          <w:lang w:eastAsia="zh-CN" w:bidi="ar-SA"/>
        </w:rPr>
        <w:t xml:space="preserve"> is represented </w:t>
      </w:r>
      <w:r>
        <w:rPr>
          <w:rFonts w:hint="default" w:cs="Times New Roman"/>
          <w:b w:val="0"/>
          <w:bCs w:val="0"/>
          <w:color w:val="auto"/>
          <w:sz w:val="24"/>
          <w:u w:val="none"/>
          <w:lang w:eastAsia="zh-CN" w:bidi="ar-SA"/>
        </w:rPr>
        <w:t>by</w:t>
      </w:r>
      <w:r>
        <w:rPr>
          <w:rFonts w:hint="default" w:cs="Times New Roman"/>
          <w:b w:val="0"/>
          <w:bCs w:val="0"/>
          <w:color w:val="auto"/>
          <w:sz w:val="24"/>
          <w:u w:val="none"/>
          <w:lang w:eastAsia="zh-CN" w:bidi="ar-SA"/>
        </w:rPr>
        <w:t xml:space="preserve"> </w:t>
      </w:r>
      <w:r>
        <w:rPr>
          <w:rFonts w:hint="default" w:cs="Times New Roman"/>
          <w:b w:val="0"/>
          <w:bCs w:val="0"/>
          <w:color w:val="auto"/>
          <w:sz w:val="24"/>
          <w:u w:val="none"/>
          <w:lang w:eastAsia="zh-CN" w:bidi="ar-SA"/>
        </w:rPr>
        <w:t xml:space="preserve">mean </w:t>
      </w:r>
      <w:r>
        <w:rPr>
          <w:rFonts w:hint="default" w:cs="Times New Roman"/>
          <w:b w:val="0"/>
          <w:bCs w:val="0"/>
          <w:color w:val="auto"/>
          <w:sz w:val="24"/>
          <w:u w:val="none"/>
          <w:lang w:eastAsia="zh-CN" w:bidi="ar-SA"/>
        </w:rPr>
        <w:t>relative humidity</w:t>
      </w:r>
      <w:r>
        <w:rPr>
          <w:rFonts w:hint="default" w:cs="Times New Roman"/>
          <w:b w:val="0"/>
          <w:bCs w:val="0"/>
          <w:color w:val="auto"/>
          <w:sz w:val="24"/>
          <w:u w:val="none"/>
          <w:lang w:eastAsia="zh-CN" w:bidi="ar-SA"/>
        </w:rPr>
        <w:t xml:space="preserve"> within this layer (MTRH). Peterson et al., 2017 found that for western US and Canadian, middle troposphere is moister in pyroCb than in extreme wildfires without pyroCb. Consequently, they </w:t>
      </w:r>
      <w:r>
        <w:rPr>
          <w:rFonts w:hint="default" w:cs="Times New Roman"/>
          <w:b w:val="0"/>
          <w:bCs w:val="0"/>
          <w:color w:val="auto"/>
          <w:sz w:val="24"/>
          <w:u w:val="none"/>
          <w:lang w:eastAsia="zh-CN" w:bidi="ar-SA"/>
        </w:rPr>
        <w:t>argue</w:t>
      </w:r>
      <w:r>
        <w:rPr>
          <w:rFonts w:hint="default" w:cs="Times New Roman"/>
          <w:b w:val="0"/>
          <w:bCs w:val="0"/>
          <w:color w:val="auto"/>
          <w:sz w:val="24"/>
          <w:u w:val="none"/>
          <w:lang w:eastAsia="zh-CN" w:bidi="ar-SA"/>
        </w:rPr>
        <w:t xml:space="preserve"> that it is important for pyroCb formation in these regions. Here we can observe that for both low-elevation (&lt;1km) and high-elevation (&gt;2km) pyroCb events in the contiguous US, for both </w:t>
      </w:r>
      <w:r>
        <w:rPr>
          <w:rFonts w:hint="default" w:cs="Times New Roman"/>
          <w:b w:val="0"/>
          <w:bCs w:val="0"/>
          <w:color w:val="auto"/>
          <w:sz w:val="24"/>
          <w:u w:val="none"/>
          <w:lang w:eastAsia="zh-CN" w:bidi="ar-SA"/>
        </w:rPr>
        <w:t xml:space="preserve">low-elevation (&lt;1km) and </w:t>
      </w:r>
      <w:r>
        <w:rPr>
          <w:rFonts w:hint="default" w:cs="Times New Roman"/>
          <w:b w:val="0"/>
          <w:bCs w:val="0"/>
          <w:color w:val="auto"/>
          <w:sz w:val="24"/>
          <w:u w:val="none"/>
          <w:lang w:eastAsia="zh-CN" w:bidi="ar-SA"/>
        </w:rPr>
        <w:t>mid</w:t>
      </w:r>
      <w:r>
        <w:rPr>
          <w:rFonts w:hint="default" w:cs="Times New Roman"/>
          <w:b w:val="0"/>
          <w:bCs w:val="0"/>
          <w:color w:val="auto"/>
          <w:sz w:val="24"/>
          <w:u w:val="none"/>
          <w:lang w:eastAsia="zh-CN" w:bidi="ar-SA"/>
        </w:rPr>
        <w:t>-elevation (</w:t>
      </w:r>
      <w:r>
        <w:rPr>
          <w:rFonts w:hint="default" w:cs="Times New Roman"/>
          <w:b w:val="0"/>
          <w:bCs w:val="0"/>
          <w:color w:val="auto"/>
          <w:sz w:val="24"/>
          <w:u w:val="none"/>
          <w:lang w:eastAsia="zh-CN" w:bidi="ar-SA"/>
        </w:rPr>
        <w:t>1~</w:t>
      </w:r>
      <w:r>
        <w:rPr>
          <w:rFonts w:hint="default" w:cs="Times New Roman"/>
          <w:b w:val="0"/>
          <w:bCs w:val="0"/>
          <w:color w:val="auto"/>
          <w:sz w:val="24"/>
          <w:u w:val="none"/>
          <w:lang w:eastAsia="zh-CN" w:bidi="ar-SA"/>
        </w:rPr>
        <w:t>2km)</w:t>
      </w:r>
      <w:r>
        <w:rPr>
          <w:rFonts w:hint="default" w:cs="Times New Roman"/>
          <w:b w:val="0"/>
          <w:bCs w:val="0"/>
          <w:color w:val="auto"/>
          <w:sz w:val="24"/>
          <w:u w:val="none"/>
          <w:lang w:eastAsia="zh-CN" w:bidi="ar-SA"/>
        </w:rPr>
        <w:t xml:space="preserve"> pyroCb events in Canada and Alaska, middle troposphere moist increases over the last several hours before pyroCb (see Fig. 3). Such increase can be attributed to both the background trend and the anomalies of pre-pyroCb weathers. And it suggests that moist will accumulate in the middle troposphere</w:t>
      </w:r>
      <w:r>
        <w:rPr>
          <w:rFonts w:hint="default" w:cs="Times New Roman"/>
          <w:b w:val="0"/>
          <w:bCs w:val="0"/>
          <w:color w:val="auto"/>
          <w:sz w:val="24"/>
          <w:u w:val="none"/>
          <w:lang w:eastAsia="zh-CN" w:bidi="ar-SA"/>
        </w:rPr>
        <w:t xml:space="preserve"> </w:t>
      </w:r>
      <w:r>
        <w:rPr>
          <w:rFonts w:hint="default" w:cs="Times New Roman"/>
          <w:b w:val="0"/>
          <w:bCs w:val="0"/>
          <w:color w:val="auto"/>
          <w:sz w:val="24"/>
          <w:u w:val="none"/>
          <w:lang w:eastAsia="zh-CN" w:bidi="ar-SA"/>
        </w:rPr>
        <w:t xml:space="preserve">with a higher rate than normal during the course of the day before pyroCb events in these regions. </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 xml:space="preserve">As for Australia, there exists controversy over whether mid level moist is required for pyroCb to occur. According to the statistics here, the changes in MTRH before pyroCb events are almost half positive and half negative. So the role of middle troposphere moist remains unclear. The case is similar for Russia. </w:t>
      </w:r>
    </w:p>
    <w:p>
      <w:pPr>
        <w:bidi w:val="0"/>
        <w:rPr>
          <w:rFonts w:hint="default" w:ascii="Times New Roman Bold" w:hAnsi="Times New Roman Bold" w:cs="Times New Roman Bold"/>
          <w:b/>
          <w:bCs/>
          <w:color w:val="auto"/>
          <w:sz w:val="24"/>
          <w:u w:val="none"/>
          <w:lang w:eastAsia="zh-CN" w:bidi="ar-SA"/>
        </w:rPr>
      </w:pPr>
      <w:r>
        <w:rPr>
          <w:rFonts w:hint="default" w:ascii="Times New Roman Bold" w:hAnsi="Times New Roman Bold" w:cs="Times New Roman Bold"/>
          <w:b/>
          <w:bCs/>
          <w:color w:val="auto"/>
          <w:sz w:val="24"/>
          <w:u w:val="none"/>
          <w:lang w:eastAsia="zh-CN" w:bidi="ar-SA"/>
        </w:rPr>
        <w:t xml:space="preserve">3.2.2 </w:t>
      </w:r>
      <w:r>
        <w:rPr>
          <w:rFonts w:hint="default" w:ascii="Times New Roman Bold" w:hAnsi="Times New Roman Bold" w:cs="Times New Roman Bold"/>
          <w:b/>
          <w:bCs/>
          <w:color w:val="auto"/>
          <w:sz w:val="24"/>
          <w:u w:val="none"/>
          <w:lang w:eastAsia="zh-CN" w:bidi="ar-SA"/>
        </w:rPr>
        <w:t>M</w:t>
      </w:r>
      <w:bookmarkStart w:id="0" w:name="_GoBack"/>
      <w:bookmarkEnd w:id="0"/>
      <w:r>
        <w:rPr>
          <w:rFonts w:hint="default" w:ascii="Times New Roman Bold" w:hAnsi="Times New Roman Bold" w:cs="Times New Roman Bold"/>
          <w:b/>
          <w:bCs/>
          <w:color w:val="auto"/>
          <w:sz w:val="24"/>
          <w:u w:val="none"/>
          <w:lang w:eastAsia="zh-CN" w:bidi="ar-SA"/>
        </w:rPr>
        <w:t>iddle troposphere</w:t>
      </w:r>
      <w:r>
        <w:rPr>
          <w:rFonts w:hint="default" w:ascii="Times New Roman Bold" w:hAnsi="Times New Roman Bold" w:cs="Times New Roman Bold"/>
          <w:b/>
          <w:bCs/>
          <w:color w:val="auto"/>
          <w:sz w:val="24"/>
          <w:u w:val="none"/>
          <w:lang w:eastAsia="zh-CN" w:bidi="ar-SA"/>
        </w:rPr>
        <w:t xml:space="preserve"> </w:t>
      </w:r>
      <w:r>
        <w:rPr>
          <w:rFonts w:hint="default" w:ascii="Times New Roman Bold" w:hAnsi="Times New Roman Bold" w:cs="Times New Roman Bold"/>
          <w:b/>
          <w:bCs/>
          <w:color w:val="auto"/>
          <w:sz w:val="24"/>
          <w:u w:val="none"/>
          <w:lang w:eastAsia="zh-CN" w:bidi="ar-SA"/>
        </w:rPr>
        <w:t>Potential Instability</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middle troposphere p</w:t>
      </w:r>
      <w:r>
        <w:rPr>
          <w:rFonts w:hint="default" w:cs="Times New Roman"/>
          <w:b w:val="0"/>
          <w:bCs w:val="0"/>
          <w:color w:val="auto"/>
          <w:sz w:val="24"/>
          <w:u w:val="none"/>
          <w:lang w:eastAsia="zh-CN" w:bidi="ar-SA"/>
        </w:rPr>
        <w:t xml:space="preserve">otential </w:t>
      </w:r>
      <w:r>
        <w:rPr>
          <w:rFonts w:hint="default" w:cs="Times New Roman"/>
          <w:b w:val="0"/>
          <w:bCs w:val="0"/>
          <w:color w:val="auto"/>
          <w:sz w:val="24"/>
          <w:u w:val="none"/>
          <w:lang w:eastAsia="zh-CN" w:bidi="ar-SA"/>
        </w:rPr>
        <w:t xml:space="preserve">instability was represented by the mean lapse rate of equivelent potential temperature in </w:t>
      </w:r>
      <w:r>
        <w:rPr>
          <w:rFonts w:hint="default" w:cs="Times New Roman"/>
          <w:b w:val="0"/>
          <w:bCs w:val="0"/>
          <w:color w:val="auto"/>
          <w:sz w:val="24"/>
          <w:u w:val="none"/>
          <w:lang w:eastAsia="zh-CN" w:bidi="ar-SA"/>
        </w:rPr>
        <w:t xml:space="preserve">the </w:t>
      </w:r>
      <w:r>
        <w:rPr>
          <w:rFonts w:hint="default" w:cs="Times New Roman"/>
          <w:b w:val="0"/>
          <w:bCs w:val="0"/>
          <w:color w:val="auto"/>
          <w:sz w:val="24"/>
          <w:u w:val="none"/>
          <w:lang w:eastAsia="zh-CN" w:bidi="ar-SA"/>
        </w:rPr>
        <w:t xml:space="preserve">middle troposphere (MTPI), a metric that is similar to PI in Peterson et al., 2017. As in a stable middle troposphere, equivalent temperature increases with height. The higher its lapse rate, the stabler the middle troposphere. Hence, </w:t>
      </w:r>
      <w:r>
        <w:rPr>
          <w:rFonts w:hint="default" w:cs="Times New Roman"/>
          <w:b w:val="0"/>
          <w:bCs w:val="0"/>
          <w:color w:val="auto"/>
          <w:sz w:val="24"/>
          <w:u w:val="none"/>
          <w:lang w:eastAsia="zh-CN" w:bidi="ar-SA"/>
        </w:rPr>
        <w:t xml:space="preserve">the potential instability in </w:t>
      </w:r>
      <w:r>
        <w:rPr>
          <w:rFonts w:hint="default" w:cs="Times New Roman"/>
          <w:b w:val="0"/>
          <w:bCs w:val="0"/>
          <w:color w:val="auto"/>
          <w:sz w:val="24"/>
          <w:u w:val="none"/>
          <w:lang w:eastAsia="zh-CN" w:bidi="ar-SA"/>
        </w:rPr>
        <w:t>middle troposphere</w:t>
      </w:r>
      <w:r>
        <w:rPr>
          <w:rFonts w:hint="default" w:cs="Times New Roman"/>
          <w:b w:val="0"/>
          <w:bCs w:val="0"/>
          <w:color w:val="auto"/>
          <w:sz w:val="24"/>
          <w:u w:val="none"/>
          <w:lang w:eastAsia="zh-CN" w:bidi="ar-SA"/>
        </w:rPr>
        <w:t xml:space="preserve"> increases</w:t>
      </w:r>
      <w:r>
        <w:rPr>
          <w:rFonts w:hint="default" w:cs="Times New Roman"/>
          <w:b w:val="0"/>
          <w:bCs w:val="0"/>
          <w:color w:val="auto"/>
          <w:sz w:val="24"/>
          <w:u w:val="none"/>
          <w:lang w:eastAsia="zh-CN" w:bidi="ar-SA"/>
        </w:rPr>
        <w:t xml:space="preserve"> if the metric MTPI decreases. It can be easily deduced that if </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MTPI &lt;</w:t>
      </w:r>
      <w:r>
        <w:rPr>
          <w:rFonts w:hint="default" w:cs="Times New Roman"/>
          <w:b w:val="0"/>
          <w:bCs w:val="0"/>
          <w:color w:val="auto"/>
          <w:sz w:val="24"/>
          <w:u w:val="none"/>
          <w:lang w:eastAsia="zh-CN" w:bidi="ar-SA"/>
        </w:rPr>
        <w:t xml:space="preserve"> </w:t>
      </w:r>
      <w:r>
        <w:rPr>
          <w:rFonts w:hint="default" w:cs="Times New Roman"/>
          <w:b w:val="0"/>
          <w:bCs w:val="0"/>
          <w:color w:val="auto"/>
          <w:sz w:val="24"/>
          <w:u w:val="none"/>
          <w:lang w:eastAsia="zh-CN" w:bidi="ar-SA"/>
        </w:rPr>
        <w:t>0</w:t>
      </w:r>
      <w:r>
        <w:rPr>
          <w:rFonts w:hint="default" w:cs="Times New Roman"/>
          <w:b w:val="0"/>
          <w:bCs w:val="0"/>
          <w:color w:val="auto"/>
          <w:sz w:val="24"/>
          <w:u w:val="none"/>
          <w:lang w:eastAsia="zh-CN" w:bidi="ar-SA"/>
        </w:rPr>
        <w:t>, it means that the atmospheric condition becomes more and more favorable for pyroCb development over time.</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As expected, it can been seen f</w:t>
      </w:r>
      <w:r>
        <w:rPr>
          <w:rFonts w:hint="default" w:cs="Times New Roman"/>
          <w:b w:val="0"/>
          <w:bCs w:val="0"/>
          <w:color w:val="auto"/>
          <w:sz w:val="24"/>
          <w:u w:val="none"/>
          <w:lang w:eastAsia="zh-CN" w:bidi="ar-SA"/>
        </w:rPr>
        <w:t>rom the box plots (</w:t>
      </w:r>
      <w:r>
        <w:rPr>
          <w:rFonts w:hint="default" w:cs="Times New Roman"/>
          <w:b w:val="0"/>
          <w:bCs w:val="0"/>
          <w:color w:val="auto"/>
          <w:sz w:val="24"/>
          <w:u w:val="none"/>
          <w:lang w:eastAsia="zh-CN" w:bidi="ar-SA"/>
        </w:rPr>
        <w:t xml:space="preserve">see </w:t>
      </w:r>
      <w:r>
        <w:rPr>
          <w:rFonts w:hint="default" w:cs="Times New Roman"/>
          <w:b w:val="0"/>
          <w:bCs w:val="0"/>
          <w:color w:val="auto"/>
          <w:sz w:val="24"/>
          <w:u w:val="none"/>
          <w:lang w:eastAsia="zh-CN" w:bidi="ar-SA"/>
        </w:rPr>
        <w:t xml:space="preserve">Fig. </w:t>
      </w:r>
      <w:r>
        <w:rPr>
          <w:rFonts w:hint="default" w:cs="Times New Roman"/>
          <w:b w:val="0"/>
          <w:bCs w:val="0"/>
          <w:color w:val="auto"/>
          <w:sz w:val="24"/>
          <w:u w:val="none"/>
          <w:lang w:eastAsia="zh-CN" w:bidi="ar-SA"/>
        </w:rPr>
        <w:t>4</w:t>
      </w:r>
      <w:r>
        <w:rPr>
          <w:rFonts w:hint="default" w:cs="Times New Roman"/>
          <w:b w:val="0"/>
          <w:bCs w:val="0"/>
          <w:color w:val="auto"/>
          <w:sz w:val="24"/>
          <w:u w:val="none"/>
          <w:lang w:eastAsia="zh-CN" w:bidi="ar-SA"/>
        </w:rPr>
        <w:t xml:space="preserve">) </w:t>
      </w:r>
      <w:r>
        <w:rPr>
          <w:rFonts w:hint="default" w:cs="Times New Roman"/>
          <w:b w:val="0"/>
          <w:bCs w:val="0"/>
          <w:color w:val="auto"/>
          <w:sz w:val="24"/>
          <w:u w:val="none"/>
          <w:lang w:eastAsia="zh-CN" w:bidi="ar-SA"/>
        </w:rPr>
        <w:t xml:space="preserve">that for the majority of low-elevation </w:t>
      </w:r>
      <w:r>
        <w:rPr>
          <w:rFonts w:hint="default" w:cs="Times New Roman"/>
          <w:b w:val="0"/>
          <w:bCs w:val="0"/>
          <w:color w:val="auto"/>
          <w:sz w:val="24"/>
          <w:u w:val="none"/>
          <w:lang w:eastAsia="zh-CN" w:bidi="ar-SA"/>
        </w:rPr>
        <w:t>(&lt;1km)</w:t>
      </w:r>
      <w:r>
        <w:rPr>
          <w:rFonts w:hint="default" w:cs="Times New Roman"/>
          <w:b w:val="0"/>
          <w:bCs w:val="0"/>
          <w:color w:val="auto"/>
          <w:sz w:val="24"/>
          <w:u w:val="none"/>
          <w:lang w:eastAsia="zh-CN" w:bidi="ar-SA"/>
        </w:rPr>
        <w:t xml:space="preserve"> pyroCb events in contiguous US, Canada and Alaska, and Russia. MTPI decreased (</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MTPI &lt; 0</w:t>
      </w:r>
      <w:r>
        <w:rPr>
          <w:rFonts w:hint="default" w:cs="Times New Roman"/>
          <w:b w:val="0"/>
          <w:bCs w:val="0"/>
          <w:color w:val="auto"/>
          <w:sz w:val="24"/>
          <w:u w:val="none"/>
          <w:lang w:eastAsia="zh-CN" w:bidi="ar-SA"/>
        </w:rPr>
        <w:t xml:space="preserve">) over the several-hour time windows before pyroCb, which means middle troposphere become more unstable in these locations before pyroCb develops. What's more, MTPI_anomaly also decreased </w:t>
      </w:r>
      <w:r>
        <w:rPr>
          <w:rFonts w:hint="default" w:cs="Times New Roman"/>
          <w:b w:val="0"/>
          <w:bCs w:val="0"/>
          <w:color w:val="auto"/>
          <w:sz w:val="24"/>
          <w:u w:val="none"/>
          <w:lang w:eastAsia="zh-CN" w:bidi="ar-SA"/>
        </w:rPr>
        <w:t>(</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MTPI</w:t>
      </w:r>
      <w:r>
        <w:rPr>
          <w:rFonts w:hint="default" w:cs="Times New Roman"/>
          <w:b w:val="0"/>
          <w:bCs w:val="0"/>
          <w:color w:val="auto"/>
          <w:sz w:val="24"/>
          <w:u w:val="none"/>
          <w:lang w:eastAsia="zh-CN" w:bidi="ar-SA"/>
        </w:rPr>
        <w:t>_anomaly</w:t>
      </w:r>
      <w:r>
        <w:rPr>
          <w:rFonts w:hint="default" w:cs="Times New Roman"/>
          <w:b w:val="0"/>
          <w:bCs w:val="0"/>
          <w:color w:val="auto"/>
          <w:sz w:val="24"/>
          <w:u w:val="none"/>
          <w:lang w:eastAsia="zh-CN" w:bidi="ar-SA"/>
        </w:rPr>
        <w:t xml:space="preserve"> &lt; 0)</w:t>
      </w:r>
      <w:r>
        <w:rPr>
          <w:rFonts w:hint="default" w:cs="Times New Roman"/>
          <w:b w:val="0"/>
          <w:bCs w:val="0"/>
          <w:color w:val="auto"/>
          <w:sz w:val="24"/>
          <w:u w:val="none"/>
          <w:lang w:eastAsia="zh-CN" w:bidi="ar-SA"/>
        </w:rPr>
        <w:t xml:space="preserve"> for these events, which means after removing the background trend, there is still enhancement in middle troposphere instability. It further suggests that </w:t>
      </w:r>
      <w:r>
        <w:rPr>
          <w:rFonts w:hint="default" w:cs="Times New Roman"/>
          <w:b w:val="0"/>
          <w:bCs w:val="0"/>
          <w:color w:val="auto"/>
          <w:sz w:val="24"/>
          <w:u w:val="none"/>
          <w:lang w:eastAsia="zh-CN" w:bidi="ar-SA"/>
        </w:rPr>
        <w:t xml:space="preserve">during wildfire weathers when pyroCb will occur in a few hours, </w:t>
      </w:r>
      <w:r>
        <w:rPr>
          <w:rFonts w:hint="default" w:cs="Times New Roman"/>
          <w:b w:val="0"/>
          <w:bCs w:val="0"/>
          <w:color w:val="auto"/>
          <w:sz w:val="24"/>
          <w:u w:val="none"/>
          <w:lang w:eastAsia="zh-CN" w:bidi="ar-SA"/>
        </w:rPr>
        <w:t>middle troposphere</w:t>
      </w:r>
      <w:r>
        <w:rPr>
          <w:rFonts w:hint="default" w:cs="Times New Roman"/>
          <w:b w:val="0"/>
          <w:bCs w:val="0"/>
          <w:color w:val="auto"/>
          <w:sz w:val="24"/>
          <w:u w:val="none"/>
          <w:lang w:eastAsia="zh-CN" w:bidi="ar-SA"/>
        </w:rPr>
        <w:t xml:space="preserve"> potential instability will be enhancing</w:t>
      </w:r>
      <w:r>
        <w:rPr>
          <w:rFonts w:hint="default" w:cs="Times New Roman"/>
          <w:b w:val="0"/>
          <w:bCs w:val="0"/>
          <w:color w:val="auto"/>
          <w:sz w:val="24"/>
          <w:u w:val="none"/>
          <w:lang w:eastAsia="zh-CN" w:bidi="ar-SA"/>
        </w:rPr>
        <w:t xml:space="preserve"> with higher rate than during the same course on normal days. For</w:t>
      </w:r>
      <w:r>
        <w:rPr>
          <w:rFonts w:hint="default" w:cs="Times New Roman"/>
          <w:b w:val="0"/>
          <w:bCs w:val="0"/>
          <w:color w:val="auto"/>
          <w:sz w:val="24"/>
          <w:u w:val="none"/>
          <w:lang w:eastAsia="zh-CN" w:bidi="ar-SA"/>
        </w:rPr>
        <w:t xml:space="preserve"> mid- (1~2km) elevation pyroCb events </w:t>
      </w:r>
      <w:r>
        <w:rPr>
          <w:rFonts w:hint="default" w:cs="Times New Roman"/>
          <w:b w:val="0"/>
          <w:bCs w:val="0"/>
          <w:color w:val="auto"/>
          <w:sz w:val="24"/>
          <w:u w:val="none"/>
          <w:lang w:eastAsia="zh-CN" w:bidi="ar-SA"/>
        </w:rPr>
        <w:t xml:space="preserve">in Canada, as </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 xml:space="preserve">MTPI_anomaly </w:t>
      </w:r>
      <w:r>
        <w:rPr>
          <w:rFonts w:hint="default" w:cs="Times New Roman"/>
          <w:b w:val="0"/>
          <w:bCs w:val="0"/>
          <w:color w:val="auto"/>
          <w:sz w:val="24"/>
          <w:u w:val="none"/>
          <w:lang w:eastAsia="zh-CN" w:bidi="ar-SA"/>
        </w:rPr>
        <w:t xml:space="preserve">approach zero, the decrease in </w:t>
      </w:r>
      <w:r>
        <w:rPr>
          <w:rFonts w:hint="default" w:cs="Times New Roman"/>
          <w:b w:val="0"/>
          <w:bCs w:val="0"/>
          <w:color w:val="auto"/>
          <w:sz w:val="24"/>
          <w:u w:val="none"/>
          <w:lang w:eastAsia="zh-CN" w:bidi="ar-SA"/>
        </w:rPr>
        <w:t>MTPI</w:t>
      </w:r>
      <w:r>
        <w:rPr>
          <w:rFonts w:hint="default" w:cs="Times New Roman"/>
          <w:b w:val="0"/>
          <w:bCs w:val="0"/>
          <w:color w:val="auto"/>
          <w:sz w:val="24"/>
          <w:u w:val="none"/>
          <w:lang w:eastAsia="zh-CN" w:bidi="ar-SA"/>
        </w:rPr>
        <w:t xml:space="preserve"> is mainly caused by background trend. So there is no obvious deviation from normal with respect to middle troposphere potential instability for these events.</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 xml:space="preserve">What's counterintuitive is that, in </w:t>
      </w:r>
      <w:r>
        <w:rPr>
          <w:rFonts w:hint="default" w:cs="Times New Roman"/>
          <w:b w:val="0"/>
          <w:bCs w:val="0"/>
          <w:color w:val="auto"/>
          <w:sz w:val="24"/>
          <w:u w:val="none"/>
          <w:lang w:eastAsia="zh-CN" w:bidi="ar-SA"/>
        </w:rPr>
        <w:t>low-elevation</w:t>
      </w:r>
      <w:r>
        <w:rPr>
          <w:rFonts w:hint="default" w:cs="Times New Roman"/>
          <w:b w:val="0"/>
          <w:bCs w:val="0"/>
          <w:color w:val="auto"/>
          <w:sz w:val="24"/>
          <w:u w:val="none"/>
          <w:lang w:eastAsia="zh-CN" w:bidi="ar-SA"/>
        </w:rPr>
        <w:t xml:space="preserve"> </w:t>
      </w:r>
      <w:r>
        <w:rPr>
          <w:rFonts w:hint="default" w:cs="Times New Roman"/>
          <w:b w:val="0"/>
          <w:bCs w:val="0"/>
          <w:color w:val="auto"/>
          <w:sz w:val="24"/>
          <w:u w:val="none"/>
          <w:lang w:eastAsia="zh-CN" w:bidi="ar-SA"/>
        </w:rPr>
        <w:t xml:space="preserve">(&lt;1km) </w:t>
      </w:r>
      <w:r>
        <w:rPr>
          <w:rFonts w:hint="default" w:cs="Times New Roman"/>
          <w:b w:val="0"/>
          <w:bCs w:val="0"/>
          <w:color w:val="auto"/>
          <w:sz w:val="24"/>
          <w:u w:val="none"/>
          <w:lang w:eastAsia="zh-CN" w:bidi="ar-SA"/>
        </w:rPr>
        <w:t xml:space="preserve">sufaces in Australia, despite the MTPI should decrease during the course of the day on normal days </w:t>
      </w:r>
      <w:r>
        <w:rPr>
          <w:rFonts w:hint="default" w:cs="Times New Roman"/>
          <w:b w:val="0"/>
          <w:bCs w:val="0"/>
          <w:color w:val="auto"/>
          <w:sz w:val="24"/>
          <w:u w:val="none"/>
          <w:lang w:eastAsia="zh-CN" w:bidi="ar-SA"/>
        </w:rPr>
        <w:t>(</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MTPI_</w:t>
      </w:r>
      <w:r>
        <w:rPr>
          <w:rFonts w:hint="default" w:cs="Times New Roman"/>
          <w:b w:val="0"/>
          <w:bCs w:val="0"/>
          <w:color w:val="auto"/>
          <w:sz w:val="24"/>
          <w:u w:val="none"/>
          <w:lang w:eastAsia="zh-CN" w:bidi="ar-SA"/>
        </w:rPr>
        <w:t>bg</w:t>
      </w:r>
      <w:r>
        <w:rPr>
          <w:rFonts w:hint="default" w:cs="Times New Roman"/>
          <w:b w:val="0"/>
          <w:bCs w:val="0"/>
          <w:color w:val="auto"/>
          <w:sz w:val="24"/>
          <w:u w:val="none"/>
          <w:lang w:eastAsia="zh-CN" w:bidi="ar-SA"/>
        </w:rPr>
        <w:t xml:space="preserve"> &lt; 0)</w:t>
      </w:r>
      <w:r>
        <w:rPr>
          <w:rFonts w:hint="default" w:cs="Times New Roman"/>
          <w:b w:val="0"/>
          <w:bCs w:val="0"/>
          <w:color w:val="auto"/>
          <w:sz w:val="24"/>
          <w:u w:val="none"/>
          <w:lang w:eastAsia="zh-CN" w:bidi="ar-SA"/>
        </w:rPr>
        <w:t xml:space="preserve">, before pyroCb occurs, it anomalously increases </w:t>
      </w:r>
      <w:r>
        <w:rPr>
          <w:rFonts w:hint="default" w:cs="Times New Roman"/>
          <w:b w:val="0"/>
          <w:bCs w:val="0"/>
          <w:color w:val="auto"/>
          <w:sz w:val="24"/>
          <w:u w:val="none"/>
          <w:lang w:eastAsia="zh-CN" w:bidi="ar-SA"/>
        </w:rPr>
        <w:t>(</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MTPI &gt; 0</w:t>
      </w:r>
      <w:r>
        <w:rPr>
          <w:rFonts w:hint="default" w:cs="Times New Roman"/>
          <w:b w:val="0"/>
          <w:bCs w:val="0"/>
          <w:color w:val="auto"/>
          <w:sz w:val="24"/>
          <w:u w:val="none"/>
          <w:lang w:eastAsia="zh-CN" w:bidi="ar-SA"/>
        </w:rPr>
        <w:t xml:space="preserve">, </w:t>
      </w:r>
      <w:r>
        <w:rPr>
          <w:rFonts w:hint="default" w:ascii="Times New Roman" w:hAnsi="Times New Roman" w:cs="Times New Roman"/>
          <w:b w:val="0"/>
          <w:bCs w:val="0"/>
          <w:color w:val="auto"/>
          <w:sz w:val="24"/>
          <w:u w:val="none"/>
          <w:lang w:eastAsia="zh-CN" w:bidi="ar-SA"/>
        </w:rPr>
        <w:t>Δ</w:t>
      </w:r>
      <w:r>
        <w:rPr>
          <w:rFonts w:hint="default" w:cs="Times New Roman"/>
          <w:b w:val="0"/>
          <w:bCs w:val="0"/>
          <w:color w:val="auto"/>
          <w:sz w:val="24"/>
          <w:u w:val="none"/>
          <w:lang w:eastAsia="zh-CN" w:bidi="ar-SA"/>
        </w:rPr>
        <w:t>MTPI_</w:t>
      </w:r>
      <w:r>
        <w:rPr>
          <w:rFonts w:hint="default" w:cs="Times New Roman"/>
          <w:b w:val="0"/>
          <w:bCs w:val="0"/>
          <w:color w:val="auto"/>
          <w:sz w:val="24"/>
          <w:u w:val="none"/>
          <w:lang w:eastAsia="zh-CN" w:bidi="ar-SA"/>
        </w:rPr>
        <w:t>anomaly</w:t>
      </w:r>
      <w:r>
        <w:rPr>
          <w:rFonts w:hint="default" w:cs="Times New Roman"/>
          <w:b w:val="0"/>
          <w:bCs w:val="0"/>
          <w:color w:val="auto"/>
          <w:sz w:val="24"/>
          <w:u w:val="none"/>
          <w:lang w:eastAsia="zh-CN" w:bidi="ar-SA"/>
        </w:rPr>
        <w:t xml:space="preserve"> </w:t>
      </w:r>
      <w:r>
        <w:rPr>
          <w:rFonts w:hint="default" w:cs="Times New Roman"/>
          <w:b w:val="0"/>
          <w:bCs w:val="0"/>
          <w:color w:val="auto"/>
          <w:sz w:val="24"/>
          <w:u w:val="none"/>
          <w:lang w:eastAsia="zh-CN" w:bidi="ar-SA"/>
        </w:rPr>
        <w:t>&gt;</w:t>
      </w:r>
      <w:r>
        <w:rPr>
          <w:rFonts w:hint="default" w:cs="Times New Roman"/>
          <w:b w:val="0"/>
          <w:bCs w:val="0"/>
          <w:color w:val="auto"/>
          <w:sz w:val="24"/>
          <w:u w:val="none"/>
          <w:lang w:eastAsia="zh-CN" w:bidi="ar-SA"/>
        </w:rPr>
        <w:t xml:space="preserve"> 0)</w:t>
      </w:r>
      <w:r>
        <w:rPr>
          <w:rFonts w:hint="default" w:cs="Times New Roman"/>
          <w:b w:val="0"/>
          <w:bCs w:val="0"/>
          <w:color w:val="auto"/>
          <w:sz w:val="24"/>
          <w:u w:val="none"/>
          <w:lang w:eastAsia="zh-CN" w:bidi="ar-SA"/>
        </w:rPr>
        <w:t xml:space="preserve">. This is suprising because it suggests that middle troposphere becomes stabler before pyroCb outbursts. So </w:t>
      </w:r>
      <w:r>
        <w:rPr>
          <w:rFonts w:hint="default" w:cs="Times New Roman"/>
          <w:b w:val="0"/>
          <w:bCs w:val="0"/>
          <w:color w:val="auto"/>
          <w:sz w:val="24"/>
          <w:u w:val="none"/>
          <w:lang w:eastAsia="zh-CN" w:bidi="ar-SA"/>
        </w:rPr>
        <w:t>low-elevation (&lt;1km)</w:t>
      </w:r>
      <w:r>
        <w:rPr>
          <w:rFonts w:hint="default" w:cs="Times New Roman"/>
          <w:b w:val="0"/>
          <w:bCs w:val="0"/>
          <w:color w:val="auto"/>
          <w:sz w:val="24"/>
          <w:u w:val="none"/>
          <w:lang w:eastAsia="zh-CN" w:bidi="ar-SA"/>
        </w:rPr>
        <w:t xml:space="preserve"> pyroCb development in Australia will have to overcome such unfavorable middle troposphere conditions.</w:t>
      </w:r>
    </w:p>
    <w:p>
      <w:pPr>
        <w:bidi w:val="0"/>
        <w:rPr>
          <w:rFonts w:hint="default" w:ascii="Times New Roman Bold" w:hAnsi="Times New Roman Bold" w:cs="Times New Roman Bold"/>
          <w:b/>
          <w:bCs/>
          <w:color w:val="auto"/>
          <w:sz w:val="24"/>
          <w:u w:val="none"/>
          <w:lang w:eastAsia="zh-CN" w:bidi="ar-SA"/>
        </w:rPr>
      </w:pPr>
      <w:r>
        <w:rPr>
          <w:rFonts w:hint="default" w:ascii="Times New Roman Bold" w:hAnsi="Times New Roman Bold" w:cs="Times New Roman Bold"/>
          <w:b/>
          <w:bCs/>
          <w:color w:val="auto"/>
          <w:sz w:val="24"/>
          <w:u w:val="none"/>
          <w:lang w:eastAsia="zh-CN" w:bidi="ar-SA"/>
        </w:rPr>
        <w:t>3.3 Upper Troposphere Conditions</w:t>
      </w:r>
    </w:p>
    <w:p>
      <w:pPr>
        <w:bidi w:val="0"/>
        <w:rPr>
          <w:rFonts w:hint="default" w:ascii="Times New Roman Bold" w:hAnsi="Times New Roman Bold" w:cs="Times New Roman Bold"/>
          <w:b/>
          <w:bCs/>
          <w:color w:val="auto"/>
          <w:sz w:val="24"/>
          <w:u w:val="none"/>
          <w:lang w:eastAsia="zh-CN" w:bidi="ar-SA"/>
        </w:rPr>
      </w:pPr>
      <w:r>
        <w:rPr>
          <w:rFonts w:hint="default" w:cs="Times New Roman"/>
          <w:b w:val="0"/>
          <w:bCs w:val="0"/>
          <w:color w:val="auto"/>
          <w:sz w:val="24"/>
          <w:u w:val="none"/>
          <w:lang w:eastAsia="zh-CN" w:bidi="ar-SA"/>
        </w:rPr>
        <w:t>Peterson et al., 2017 points out that there exists weak upper troposphere divergence for most pyroCb events in 2013 in North America whereas for intense wildfires that failed to develop pyroCb, there is convergence at upper level. As upper level divergence promotes air to rise, it is obviously an advantage for pyroCb development. V</w:t>
      </w:r>
      <w:r>
        <w:rPr>
          <w:rFonts w:hint="default" w:cs="Times New Roman"/>
          <w:b w:val="0"/>
          <w:bCs w:val="0"/>
          <w:color w:val="auto"/>
          <w:sz w:val="24"/>
          <w:u w:val="none"/>
          <w:lang w:eastAsia="zh-CN" w:bidi="ar-SA"/>
        </w:rPr>
        <w:t xml:space="preserve">ariable 'd' or </w:t>
      </w:r>
      <w:r>
        <w:rPr>
          <w:rFonts w:hint="default" w:cs="Times New Roman"/>
          <w:b w:val="0"/>
          <w:bCs w:val="0"/>
          <w:color w:val="auto"/>
          <w:sz w:val="24"/>
          <w:u w:val="none"/>
          <w:lang w:eastAsia="zh-CN" w:bidi="ar-SA"/>
        </w:rPr>
        <w:t>'</w:t>
      </w:r>
      <w:r>
        <w:rPr>
          <w:rFonts w:hint="default" w:cs="Times New Roman"/>
          <w:b w:val="0"/>
          <w:bCs w:val="0"/>
          <w:color w:val="auto"/>
          <w:sz w:val="24"/>
          <w:u w:val="none"/>
          <w:lang w:eastAsia="zh-CN" w:bidi="ar-SA"/>
        </w:rPr>
        <w:t>upper troposphere divergence</w:t>
      </w:r>
      <w:r>
        <w:rPr>
          <w:rFonts w:hint="default" w:cs="Times New Roman"/>
          <w:b w:val="0"/>
          <w:bCs w:val="0"/>
          <w:color w:val="auto"/>
          <w:sz w:val="24"/>
          <w:u w:val="none"/>
          <w:lang w:eastAsia="zh-CN" w:bidi="ar-SA"/>
        </w:rPr>
        <w:t>'</w:t>
      </w:r>
      <w:r>
        <w:rPr>
          <w:rFonts w:hint="default" w:cs="Times New Roman"/>
          <w:b w:val="0"/>
          <w:bCs w:val="0"/>
          <w:color w:val="auto"/>
          <w:sz w:val="24"/>
          <w:u w:val="none"/>
          <w:lang w:eastAsia="zh-CN" w:bidi="ar-SA"/>
        </w:rPr>
        <w:t xml:space="preserve"> at predefined level in the ERA5 data on pressure levels</w:t>
      </w:r>
      <w:r>
        <w:rPr>
          <w:rFonts w:hint="default" w:cs="Times New Roman"/>
          <w:b w:val="0"/>
          <w:bCs w:val="0"/>
          <w:color w:val="auto"/>
          <w:sz w:val="24"/>
          <w:u w:val="none"/>
          <w:lang w:eastAsia="zh-CN" w:bidi="ar-SA"/>
        </w:rPr>
        <w:t xml:space="preserve"> were directly used to represent upper troposphere divergence (utd). Here the pressure levels to extract upper troposphere dynamics were defined as 250 hPa for Contiguous US and Australia while 300 hPa for Canada, Alaska, and Russia considering their diversities in tropopause pressure levels and reference values in Peterson et al., 2017. It can be seen from Fig. 5 that for most pyroCb events occured at mid elevations(1~2 km) in contiguous US, there is increase in upper level divergence over the 4 hrs before pyroCb. Furthermore, because the background change is almost half positive and half negative while the pre-pyroCb anomaly changes are consitently positive, the increasing upper troposphere divergence mainly emanates from the pre-pyroCb anomalous weather. For most low elevation (&lt; 1km) pyroCb events in contiguous US and Russia, countrerintuitively, upper troposphere divergence falled over the pre-pyroCb period. Besides, change of pre-pyroCb upper troposphere anomalies for most of these events are negative, indicating that on these pyroCb days upper troposphere divergence decreased more than normal during the course of the day which is several hours before pyroCb occured. For other events including low </w:t>
      </w:r>
      <w:r>
        <w:rPr>
          <w:rFonts w:hint="default" w:cs="Times New Roman"/>
          <w:b w:val="0"/>
          <w:bCs w:val="0"/>
          <w:color w:val="auto"/>
          <w:sz w:val="24"/>
          <w:u w:val="none"/>
          <w:lang w:eastAsia="zh-CN" w:bidi="ar-SA"/>
        </w:rPr>
        <w:t>(&lt; 1km)</w:t>
      </w:r>
      <w:r>
        <w:rPr>
          <w:rFonts w:hint="default" w:cs="Times New Roman"/>
          <w:b w:val="0"/>
          <w:bCs w:val="0"/>
          <w:color w:val="auto"/>
          <w:sz w:val="24"/>
          <w:u w:val="none"/>
          <w:lang w:eastAsia="zh-CN" w:bidi="ar-SA"/>
        </w:rPr>
        <w:t xml:space="preserve"> and mid </w:t>
      </w:r>
      <w:r>
        <w:rPr>
          <w:rFonts w:hint="default" w:cs="Times New Roman"/>
          <w:b w:val="0"/>
          <w:bCs w:val="0"/>
          <w:color w:val="auto"/>
          <w:sz w:val="24"/>
          <w:u w:val="none"/>
          <w:lang w:eastAsia="zh-CN" w:bidi="ar-SA"/>
        </w:rPr>
        <w:t>(1</w:t>
      </w:r>
      <w:r>
        <w:rPr>
          <w:rFonts w:hint="default" w:cs="Times New Roman"/>
          <w:b w:val="0"/>
          <w:bCs w:val="0"/>
          <w:color w:val="auto"/>
          <w:sz w:val="24"/>
          <w:u w:val="none"/>
          <w:lang w:eastAsia="zh-CN" w:bidi="ar-SA"/>
        </w:rPr>
        <w:t xml:space="preserve">~2 </w:t>
      </w:r>
      <w:r>
        <w:rPr>
          <w:rFonts w:hint="default" w:cs="Times New Roman"/>
          <w:b w:val="0"/>
          <w:bCs w:val="0"/>
          <w:color w:val="auto"/>
          <w:sz w:val="24"/>
          <w:u w:val="none"/>
          <w:lang w:eastAsia="zh-CN" w:bidi="ar-SA"/>
        </w:rPr>
        <w:t>km)</w:t>
      </w:r>
      <w:r>
        <w:rPr>
          <w:rFonts w:hint="default" w:cs="Times New Roman"/>
          <w:b w:val="0"/>
          <w:bCs w:val="0"/>
          <w:color w:val="auto"/>
          <w:sz w:val="24"/>
          <w:u w:val="none"/>
          <w:lang w:eastAsia="zh-CN" w:bidi="ar-SA"/>
        </w:rPr>
        <w:t xml:space="preserve"> elevation events in Canada and Alaska, low elevation </w:t>
      </w:r>
      <w:r>
        <w:rPr>
          <w:rFonts w:hint="default" w:cs="Times New Roman"/>
          <w:b w:val="0"/>
          <w:bCs w:val="0"/>
          <w:color w:val="auto"/>
          <w:sz w:val="24"/>
          <w:u w:val="none"/>
          <w:lang w:eastAsia="zh-CN" w:bidi="ar-SA"/>
        </w:rPr>
        <w:t>(&lt; 1km)</w:t>
      </w:r>
      <w:r>
        <w:rPr>
          <w:rFonts w:hint="default" w:cs="Times New Roman"/>
          <w:b w:val="0"/>
          <w:bCs w:val="0"/>
          <w:color w:val="auto"/>
          <w:sz w:val="24"/>
          <w:u w:val="none"/>
          <w:lang w:eastAsia="zh-CN" w:bidi="ar-SA"/>
        </w:rPr>
        <w:t xml:space="preserve"> events in Australia, and high elevation events &gt;2km) in contiguous US, there is no clear common pattern in the change of upper troposphere divergence before pyroCb.</w:t>
      </w:r>
    </w:p>
    <w:p>
      <w:pPr>
        <w:bidi w:val="0"/>
        <w:rPr>
          <w:rFonts w:hint="default" w:ascii="Times New Roman Bold" w:hAnsi="Times New Roman Bold" w:cs="Times New Roman Bold"/>
          <w:b/>
          <w:bCs/>
          <w:color w:val="auto"/>
          <w:sz w:val="24"/>
          <w:u w:val="none"/>
          <w:lang w:eastAsia="zh-CN" w:bidi="ar-SA"/>
        </w:rPr>
      </w:pPr>
      <w:r>
        <w:rPr>
          <w:rFonts w:hint="default" w:ascii="Times New Roman Bold" w:hAnsi="Times New Roman Bold" w:cs="Times New Roman Bold"/>
          <w:b/>
          <w:bCs/>
          <w:color w:val="auto"/>
          <w:sz w:val="24"/>
          <w:u w:val="none"/>
          <w:lang w:eastAsia="zh-CN" w:bidi="ar-SA"/>
        </w:rPr>
        <w:t>4 Conclusions</w:t>
      </w:r>
    </w:p>
    <w:p>
      <w:pPr>
        <w:bidi w:val="0"/>
        <w:rPr>
          <w:rFonts w:hint="default" w:cs="Times New Roman"/>
          <w:b w:val="0"/>
          <w:bCs w:val="0"/>
          <w:color w:val="auto"/>
          <w:sz w:val="24"/>
          <w:u w:val="none"/>
          <w:lang w:eastAsia="zh-CN" w:bidi="ar-SA"/>
        </w:rPr>
      </w:pPr>
      <w:r>
        <w:rPr>
          <w:rFonts w:hint="default" w:cs="Times New Roman"/>
          <w:b w:val="0"/>
          <w:bCs w:val="0"/>
          <w:color w:val="auto"/>
          <w:sz w:val="24"/>
          <w:u w:val="none"/>
          <w:lang w:eastAsia="zh-CN" w:bidi="ar-SA"/>
        </w:rPr>
        <w:t xml:space="preserve">This study looked into the common patterns of pre-pyroCb temopral evolution over the timescale of several hours of meteorological facors in lower, middle, and upper troposphere that have been recognized as potentially important for pyroCb development in existing literature, including lower troposphere instability, lower troposphere vertical wind shear, middle troposphere potential instability, middle troposphere moisture, and upper troposphere divergence. Differences among difference regions including contiguous US, Canada and Alaska, Australia,  and Russia were presented. Wildfire surface elevation variations were also discussed. The anomalous </w:t>
      </w:r>
      <w:r>
        <w:rPr>
          <w:rFonts w:hint="default" w:cs="Times New Roman"/>
          <w:b w:val="0"/>
          <w:bCs w:val="0"/>
          <w:color w:val="auto"/>
          <w:sz w:val="24"/>
          <w:u w:val="none"/>
          <w:lang w:eastAsia="zh-CN" w:bidi="ar-SA"/>
        </w:rPr>
        <w:t xml:space="preserve">pre-pyroCb </w:t>
      </w:r>
      <w:r>
        <w:rPr>
          <w:rFonts w:hint="default" w:cs="Times New Roman"/>
          <w:b w:val="0"/>
          <w:bCs w:val="0"/>
          <w:color w:val="auto"/>
          <w:sz w:val="24"/>
          <w:u w:val="none"/>
          <w:lang w:eastAsia="zh-CN" w:bidi="ar-SA"/>
        </w:rPr>
        <w:t>patterns that are in sharp contrast to background trends found by this study (e.g. dramatic lower troposphere vertical wind shear reduction that reverses the background trend of enhanced wind shear) may be the key to unravel the mechanism of pyroCb development thus deserving further studies.</w:t>
      </w:r>
    </w:p>
    <w:p>
      <w:pPr>
        <w:bidi w:val="0"/>
        <w:rPr>
          <w:rFonts w:hint="default" w:cs="Times New Roman"/>
          <w:b w:val="0"/>
          <w:bCs w:val="0"/>
          <w:color w:val="auto"/>
          <w:sz w:val="24"/>
          <w:u w:val="none"/>
          <w:lang w:eastAsia="zh-CN" w:bidi="ar-SA"/>
        </w:rPr>
      </w:pPr>
    </w:p>
    <w:p>
      <w:pPr>
        <w:bidi w:val="0"/>
      </w:pPr>
    </w:p>
    <w:p>
      <w:pPr>
        <w:bidi w:val="0"/>
        <w:rPr>
          <w:rFonts w:hint="default" w:cstheme="minorBidi"/>
          <w:sz w:val="24"/>
          <w:lang w:eastAsia="zh-CN" w:bidi="ar-SA"/>
        </w:rPr>
      </w:pPr>
    </w:p>
    <w:p>
      <w:pPr>
        <w:keepNext w:val="0"/>
        <w:keepLines w:val="0"/>
        <w:pageBreakBefore/>
        <w:widowControl/>
        <w:kinsoku/>
        <w:wordWrap/>
        <w:overflowPunct/>
        <w:topLinePunct w:val="0"/>
        <w:autoSpaceDE/>
        <w:autoSpaceDN/>
        <w:bidi w:val="0"/>
        <w:adjustRightInd/>
        <w:snapToGrid/>
        <w:textAlignment w:val="auto"/>
        <w:rPr>
          <w:rFonts w:hint="default" w:ascii="Times New Roman Bold" w:hAnsi="Times New Roman Bold" w:cs="Times New Roman Bold"/>
          <w:b/>
          <w:bCs/>
          <w:sz w:val="24"/>
          <w:lang w:eastAsia="zh-CN" w:bidi="ar-SA"/>
        </w:rPr>
      </w:pPr>
      <w:r>
        <w:rPr>
          <w:rFonts w:hint="default" w:ascii="Times New Roman Bold" w:hAnsi="Times New Roman Bold" w:cs="Times New Roman Bold"/>
          <w:b/>
          <w:bCs/>
          <w:sz w:val="24"/>
          <w:lang w:eastAsia="zh-CN" w:bidi="ar-SA"/>
        </w:rPr>
        <w:drawing>
          <wp:inline distT="0" distB="0" distL="114300" distR="114300">
            <wp:extent cx="5303520" cy="3639185"/>
            <wp:effectExtent l="0" t="0" r="5080" b="18415"/>
            <wp:docPr id="8" name="Picture 8" descr="LTL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TLR4"/>
                    <pic:cNvPicPr>
                      <a:picLocks noChangeAspect="1"/>
                    </pic:cNvPicPr>
                  </pic:nvPicPr>
                  <pic:blipFill>
                    <a:blip r:embed="rId6"/>
                    <a:srcRect l="8611" t="977" r="9733" b="5658"/>
                    <a:stretch>
                      <a:fillRect/>
                    </a:stretch>
                  </pic:blipFill>
                  <pic:spPr>
                    <a:xfrm>
                      <a:off x="0" y="0"/>
                      <a:ext cx="5303520" cy="3639185"/>
                    </a:xfrm>
                    <a:prstGeom prst="rect">
                      <a:avLst/>
                    </a:prstGeom>
                  </pic:spPr>
                </pic:pic>
              </a:graphicData>
            </a:graphic>
          </wp:inline>
        </w:drawing>
      </w:r>
    </w:p>
    <w:p>
      <w:pPr>
        <w:bidi w:val="0"/>
        <w:rPr>
          <w:rFonts w:hint="default" w:ascii="Times New Roman Bold" w:hAnsi="Times New Roman Bold" w:cs="Times New Roman Bold"/>
          <w:b/>
          <w:bCs/>
          <w:sz w:val="24"/>
          <w:lang w:eastAsia="zh-CN" w:bidi="ar-SA"/>
        </w:rPr>
      </w:pPr>
      <w:r>
        <w:rPr>
          <w:rFonts w:hint="default" w:ascii="Times New Roman Bold" w:hAnsi="Times New Roman Bold" w:cs="Times New Roman Bold"/>
          <w:b/>
          <w:bCs/>
          <w:sz w:val="24"/>
          <w:lang w:eastAsia="zh-CN" w:bidi="ar-SA"/>
        </w:rPr>
        <w:t>Fig 1. Changes in lower troposphere instability over the 4 hours before pyroCb.</w:t>
      </w:r>
      <w:r>
        <w:rPr>
          <w:rFonts w:hint="default" w:cs="Times New Roman"/>
          <w:b w:val="0"/>
          <w:bCs w:val="0"/>
          <w:sz w:val="24"/>
          <w:lang w:eastAsia="zh-CN" w:bidi="ar-SA"/>
        </w:rPr>
        <w:t xml:space="preserve"> Note that lower LTLR indicates higher instablity. If </w:t>
      </w:r>
      <w:r>
        <w:rPr>
          <w:rFonts w:hint="default" w:ascii="Times New Roman" w:hAnsi="Times New Roman" w:cs="Times New Roman"/>
          <w:b w:val="0"/>
          <w:bCs w:val="0"/>
          <w:sz w:val="24"/>
          <w:lang w:eastAsia="zh-CN" w:bidi="ar-SA"/>
        </w:rPr>
        <w:t>Δ</w:t>
      </w:r>
      <w:r>
        <w:rPr>
          <w:rFonts w:hint="default" w:cs="Times New Roman"/>
          <w:b w:val="0"/>
          <w:bCs w:val="0"/>
          <w:sz w:val="24"/>
          <w:lang w:eastAsia="zh-CN" w:bidi="ar-SA"/>
        </w:rPr>
        <w:t xml:space="preserve">LTLR &lt;0, the lower troposphere becomes more unstable over time. </w:t>
      </w:r>
      <w:r>
        <w:rPr>
          <w:rFonts w:hint="default" w:cs="Times New Roman"/>
          <w:b w:val="0"/>
          <w:bCs w:val="0"/>
          <w:sz w:val="24"/>
          <w:lang w:eastAsia="zh-CN" w:bidi="ar-SA"/>
        </w:rPr>
        <w:t xml:space="preserve">Each column represents a different region. (CUS for contiguous US, CAN+ALA for Canada and Alaska, AUS for Australia, RUS for Russia). </w:t>
      </w:r>
      <w:r>
        <w:rPr>
          <w:rFonts w:hint="default" w:cs="Times New Roman"/>
          <w:b w:val="0"/>
          <w:bCs w:val="0"/>
          <w:sz w:val="24"/>
          <w:lang w:eastAsia="zh-CN" w:bidi="ar-SA"/>
        </w:rPr>
        <w:t>The top row is for the changes in LTLR on the day of pyroCb. The middle row is for background LTLR change, which refers to changes in LTLR during the same course of the day as pyroCb events on normal days. The bottom row is for the changes in LTLR anomaly relative to the background on the day of pyroCb. Basically, the data used to plot the bottom row are derived by subtracting the corresponding data in the middle from that in the top row. Blank space suggests there was no data in such category or certain parameters required for the calculation of LTLR were missing.</w:t>
      </w:r>
      <w:r>
        <w:rPr>
          <w:rFonts w:hint="default" w:cs="Times New Roman"/>
          <w:b w:val="0"/>
          <w:bCs w:val="0"/>
          <w:sz w:val="24"/>
          <w:lang w:eastAsia="zh-CN" w:bidi="ar-SA"/>
        </w:rPr>
        <w:t xml:space="preserve"> </w:t>
      </w:r>
    </w:p>
    <w:p>
      <w:pPr>
        <w:bidi w:val="0"/>
        <w:rPr>
          <w:rFonts w:hint="default" w:ascii="Times New Roman Bold" w:hAnsi="Times New Roman Bold" w:cs="Times New Roman Bold"/>
          <w:b/>
          <w:bCs/>
          <w:sz w:val="24"/>
          <w:lang w:eastAsia="zh-CN" w:bidi="ar-SA"/>
        </w:rPr>
      </w:pPr>
      <w:r>
        <w:rPr>
          <w:rFonts w:hint="default" w:ascii="Times New Roman Bold" w:hAnsi="Times New Roman Bold" w:cs="Times New Roman Bold"/>
          <w:b/>
          <w:bCs/>
          <w:sz w:val="24"/>
          <w:lang w:eastAsia="zh-CN" w:bidi="ar-SA"/>
        </w:rPr>
        <w:drawing>
          <wp:inline distT="0" distB="0" distL="114300" distR="114300">
            <wp:extent cx="5271135" cy="3888105"/>
            <wp:effectExtent l="0" t="0" r="12065" b="23495"/>
            <wp:docPr id="9" name="Picture 9" descr="LTVWS_speed_diff_me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TVWS_speed_diff_mean4"/>
                    <pic:cNvPicPr>
                      <a:picLocks noChangeAspect="1"/>
                    </pic:cNvPicPr>
                  </pic:nvPicPr>
                  <pic:blipFill>
                    <a:blip r:embed="rId7"/>
                    <a:srcRect l="8553" t="-52" r="8859" b="6563"/>
                    <a:stretch>
                      <a:fillRect/>
                    </a:stretch>
                  </pic:blipFill>
                  <pic:spPr>
                    <a:xfrm>
                      <a:off x="0" y="0"/>
                      <a:ext cx="5271135" cy="3888105"/>
                    </a:xfrm>
                    <a:prstGeom prst="rect">
                      <a:avLst/>
                    </a:prstGeom>
                  </pic:spPr>
                </pic:pic>
              </a:graphicData>
            </a:graphic>
          </wp:inline>
        </w:drawing>
      </w:r>
    </w:p>
    <w:p>
      <w:pPr>
        <w:bidi w:val="0"/>
        <w:rPr>
          <w:rFonts w:hint="default" w:cs="Times New Roman"/>
          <w:b w:val="0"/>
          <w:bCs w:val="0"/>
          <w:sz w:val="24"/>
          <w:lang w:eastAsia="zh-CN" w:bidi="ar-SA"/>
        </w:rPr>
      </w:pPr>
      <w:r>
        <w:rPr>
          <w:rFonts w:hint="default" w:ascii="Times New Roman Bold" w:hAnsi="Times New Roman Bold" w:cs="Times New Roman Bold"/>
          <w:b/>
          <w:bCs/>
          <w:sz w:val="24"/>
          <w:lang w:eastAsia="zh-CN" w:bidi="ar-SA"/>
        </w:rPr>
        <w:t>Fig 2. Changes in lower troposphere vertial wind shear over the 4 hours before pyroCb.</w:t>
      </w:r>
      <w:r>
        <w:rPr>
          <w:rFonts w:hint="default" w:cs="Times New Roman"/>
          <w:b w:val="0"/>
          <w:bCs w:val="0"/>
          <w:sz w:val="24"/>
          <w:lang w:eastAsia="zh-CN" w:bidi="ar-SA"/>
        </w:rPr>
        <w:t xml:space="preserve"> Note that lower LTVWS_speed_diff_mean signifies lower vertical wind shear. If </w:t>
      </w:r>
      <w:r>
        <w:rPr>
          <w:rFonts w:hint="default" w:ascii="Times New Roman" w:hAnsi="Times New Roman" w:cs="Times New Roman"/>
          <w:b w:val="0"/>
          <w:bCs w:val="0"/>
          <w:sz w:val="24"/>
          <w:lang w:eastAsia="zh-CN" w:bidi="ar-SA"/>
        </w:rPr>
        <w:t>Δ</w:t>
      </w:r>
      <w:r>
        <w:rPr>
          <w:rFonts w:hint="default" w:cs="Times New Roman"/>
          <w:b w:val="0"/>
          <w:bCs w:val="0"/>
          <w:sz w:val="24"/>
          <w:lang w:eastAsia="zh-CN" w:bidi="ar-SA"/>
        </w:rPr>
        <w:t>LTVWS_speed_diff_mean &lt;0, the lower troposphere becomes more favorable for smoke plume to rise over time. Each column represents a different region. (CUS for contiguous US, CAN+ALA for Canada and Alaska, AUS for Australia, RUS for Russia).</w:t>
      </w:r>
      <w:r>
        <w:rPr>
          <w:rFonts w:hint="default" w:cs="Times New Roman"/>
          <w:b w:val="0"/>
          <w:bCs w:val="0"/>
          <w:sz w:val="24"/>
          <w:lang w:eastAsia="zh-CN" w:bidi="ar-SA"/>
        </w:rPr>
        <w:t xml:space="preserve"> </w:t>
      </w:r>
      <w:r>
        <w:rPr>
          <w:rFonts w:hint="default" w:cs="Times New Roman"/>
          <w:b w:val="0"/>
          <w:bCs w:val="0"/>
          <w:sz w:val="24"/>
          <w:lang w:eastAsia="zh-CN" w:bidi="ar-SA"/>
        </w:rPr>
        <w:t>The top row is for the changes in LTVWS_speed_diff_mean on the day of pyroCb. The middle row is for background LTVWS_speed_diff_mean change, which refers to changes in LTVWS_speed_diff_mean during the same course of the day as pyroCb events on normal days. The bottom row is for the changes in LTVWS_speed_diff_mean anomaly relative to the background on the day of pyroCb. Basically, the data used to plot the bottom row are derived by subtracting the corresponding data in the middle from that in the top row. Blank space suggests there was no data in such category or certain parameters required for the calculation of LTVWS_speed_diff_mean were missing.</w:t>
      </w:r>
    </w:p>
    <w:p>
      <w:pPr>
        <w:bidi w:val="0"/>
        <w:rPr>
          <w:rFonts w:hint="default" w:ascii="Times New Roman Bold" w:hAnsi="Times New Roman Bold" w:cs="Times New Roman Bold"/>
          <w:b/>
          <w:bCs/>
          <w:sz w:val="24"/>
          <w:lang w:eastAsia="zh-CN" w:bidi="ar-SA"/>
        </w:rPr>
      </w:pPr>
    </w:p>
    <w:p>
      <w:pPr>
        <w:bidi w:val="0"/>
        <w:rPr>
          <w:rFonts w:hint="default" w:cstheme="minorBidi"/>
          <w:sz w:val="24"/>
          <w:lang w:eastAsia="zh-CN" w:bidi="ar-SA"/>
        </w:rPr>
      </w:pPr>
    </w:p>
    <w:p>
      <w:pPr>
        <w:bidi w:val="0"/>
        <w:rPr>
          <w:rFonts w:hint="default" w:cstheme="minorBidi"/>
          <w:sz w:val="24"/>
          <w:lang w:eastAsia="zh-CN" w:bidi="ar-SA"/>
        </w:rPr>
      </w:pPr>
    </w:p>
    <w:p>
      <w:pPr>
        <w:bidi w:val="0"/>
        <w:rPr>
          <w:rFonts w:hint="default" w:ascii="Times New Roman" w:hAnsi="Times New Roman" w:eastAsiaTheme="minorEastAsia" w:cstheme="minorBidi"/>
          <w:sz w:val="24"/>
          <w:lang w:val="en-US" w:eastAsia="zh-CN" w:bidi="ar-SA"/>
        </w:rPr>
      </w:pPr>
    </w:p>
    <w:p>
      <w:pPr>
        <w:bidi w:val="0"/>
        <w:jc w:val="center"/>
        <w:rPr>
          <w:rFonts w:hint="default" w:cs="Times New Roman"/>
          <w:b w:val="0"/>
          <w:bCs w:val="0"/>
          <w:sz w:val="24"/>
          <w:lang w:eastAsia="zh-CN" w:bidi="ar-SA"/>
        </w:rPr>
      </w:pPr>
      <w:r>
        <w:rPr>
          <w:rFonts w:hint="default" w:cs="Times New Roman"/>
          <w:b w:val="0"/>
          <w:bCs w:val="0"/>
          <w:sz w:val="24"/>
          <w:lang w:eastAsia="zh-CN" w:bidi="ar-SA"/>
        </w:rPr>
        <w:drawing>
          <wp:inline distT="0" distB="0" distL="114300" distR="114300">
            <wp:extent cx="5281295" cy="3606165"/>
            <wp:effectExtent l="0" t="0" r="1905" b="635"/>
            <wp:docPr id="7" name="Picture 7" descr="MTR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TRH4"/>
                    <pic:cNvPicPr>
                      <a:picLocks noChangeAspect="1"/>
                    </pic:cNvPicPr>
                  </pic:nvPicPr>
                  <pic:blipFill>
                    <a:blip r:embed="rId8"/>
                    <a:srcRect l="9383" t="1115" r="9753" b="6859"/>
                    <a:stretch>
                      <a:fillRect/>
                    </a:stretch>
                  </pic:blipFill>
                  <pic:spPr>
                    <a:xfrm>
                      <a:off x="0" y="0"/>
                      <a:ext cx="5281295" cy="3606165"/>
                    </a:xfrm>
                    <a:prstGeom prst="rect">
                      <a:avLst/>
                    </a:prstGeom>
                  </pic:spPr>
                </pic:pic>
              </a:graphicData>
            </a:graphic>
          </wp:inline>
        </w:drawing>
      </w:r>
    </w:p>
    <w:p>
      <w:pPr>
        <w:bidi w:val="0"/>
        <w:rPr>
          <w:rFonts w:hint="default" w:cs="Times New Roman"/>
          <w:b w:val="0"/>
          <w:bCs w:val="0"/>
          <w:sz w:val="24"/>
          <w:lang w:eastAsia="zh-CN" w:bidi="ar-SA"/>
        </w:rPr>
      </w:pPr>
      <w:r>
        <w:rPr>
          <w:rFonts w:hint="default" w:ascii="Times New Roman Bold" w:hAnsi="Times New Roman Bold" w:cs="Times New Roman Bold"/>
          <w:b/>
          <w:bCs/>
          <w:sz w:val="24"/>
          <w:lang w:eastAsia="zh-CN" w:bidi="ar-SA"/>
        </w:rPr>
        <w:t xml:space="preserve">Fig 3. Changes in </w:t>
      </w:r>
      <w:r>
        <w:rPr>
          <w:rFonts w:hint="default" w:ascii="Times New Roman Bold" w:hAnsi="Times New Roman Bold" w:cs="Times New Roman Bold"/>
          <w:b/>
          <w:bCs/>
          <w:sz w:val="24"/>
          <w:lang w:eastAsia="zh-CN" w:bidi="ar-SA"/>
        </w:rPr>
        <w:t>middle troposphere</w:t>
      </w:r>
      <w:r>
        <w:rPr>
          <w:rFonts w:hint="default" w:ascii="Times New Roman Bold" w:hAnsi="Times New Roman Bold" w:cs="Times New Roman Bold"/>
          <w:b/>
          <w:bCs/>
          <w:sz w:val="24"/>
          <w:lang w:eastAsia="zh-CN" w:bidi="ar-SA"/>
        </w:rPr>
        <w:t xml:space="preserve"> relative humidity over the 4 hours before pyroCb.</w:t>
      </w:r>
      <w:r>
        <w:rPr>
          <w:rFonts w:hint="default" w:cs="Times New Roman"/>
          <w:b w:val="0"/>
          <w:bCs w:val="0"/>
          <w:sz w:val="24"/>
          <w:lang w:eastAsia="zh-CN" w:bidi="ar-SA"/>
        </w:rPr>
        <w:t xml:space="preserve"> Note that higher MTRH generally signifies more moist in the </w:t>
      </w:r>
      <w:r>
        <w:rPr>
          <w:rFonts w:hint="default" w:cs="Times New Roman"/>
          <w:b w:val="0"/>
          <w:bCs w:val="0"/>
          <w:sz w:val="24"/>
          <w:lang w:eastAsia="zh-CN" w:bidi="ar-SA"/>
        </w:rPr>
        <w:t>middle troposphere</w:t>
      </w:r>
      <w:r>
        <w:rPr>
          <w:rFonts w:hint="default" w:cs="Times New Roman"/>
          <w:b w:val="0"/>
          <w:bCs w:val="0"/>
          <w:sz w:val="24"/>
          <w:lang w:eastAsia="zh-CN" w:bidi="ar-SA"/>
        </w:rPr>
        <w:t xml:space="preserve">. If </w:t>
      </w:r>
      <w:r>
        <w:rPr>
          <w:rFonts w:hint="default" w:ascii="Times New Roman" w:hAnsi="Times New Roman" w:cs="Times New Roman"/>
          <w:b w:val="0"/>
          <w:bCs w:val="0"/>
          <w:sz w:val="24"/>
          <w:lang w:eastAsia="zh-CN" w:bidi="ar-SA"/>
        </w:rPr>
        <w:t>Δ</w:t>
      </w:r>
      <w:r>
        <w:rPr>
          <w:rFonts w:hint="default" w:cs="Times New Roman"/>
          <w:b w:val="0"/>
          <w:bCs w:val="0"/>
          <w:sz w:val="24"/>
          <w:lang w:eastAsia="zh-CN" w:bidi="ar-SA"/>
        </w:rPr>
        <w:t xml:space="preserve">MTRH &gt; 0, the </w:t>
      </w:r>
      <w:r>
        <w:rPr>
          <w:rFonts w:hint="default" w:cs="Times New Roman"/>
          <w:b w:val="0"/>
          <w:bCs w:val="0"/>
          <w:sz w:val="24"/>
          <w:lang w:eastAsia="zh-CN" w:bidi="ar-SA"/>
        </w:rPr>
        <w:t>middle troposphere</w:t>
      </w:r>
      <w:r>
        <w:rPr>
          <w:rFonts w:hint="default" w:cs="Times New Roman"/>
          <w:b w:val="0"/>
          <w:bCs w:val="0"/>
          <w:sz w:val="24"/>
          <w:lang w:eastAsia="zh-CN" w:bidi="ar-SA"/>
        </w:rPr>
        <w:t xml:space="preserve"> becomes moister over time.</w:t>
      </w:r>
      <w:r>
        <w:rPr>
          <w:rFonts w:hint="default" w:cs="Times New Roman"/>
          <w:b w:val="0"/>
          <w:bCs w:val="0"/>
          <w:sz w:val="24"/>
          <w:lang w:eastAsia="zh-CN" w:bidi="ar-SA"/>
        </w:rPr>
        <w:t xml:space="preserve"> </w:t>
      </w:r>
      <w:r>
        <w:rPr>
          <w:rFonts w:hint="default" w:cs="Times New Roman"/>
          <w:b w:val="0"/>
          <w:bCs w:val="0"/>
          <w:sz w:val="24"/>
          <w:lang w:eastAsia="zh-CN" w:bidi="ar-SA"/>
        </w:rPr>
        <w:t>Each column represents a different region. (CUS for contiguous US, CAN+ALA for Canada and Alaska, AUS for Australia, RUS for Russia). The top row is for the changes in MTRH on the day of pyroCb. The middle row is for background MTRH change, which refers to changes in MTRH during the same course of the day as pyroCb events on normal days. The bottom row is for the changes in MTRH anomaly relative to the background on the day of pyroCb. Basically, the data used to plot the bottom row are derived by subtracting the corresponding data in the middle from that in the top row. Blank space suggests there was no data in such category or certain parameters required for the calculation of MTRH were missing.</w:t>
      </w:r>
    </w:p>
    <w:p>
      <w:pPr>
        <w:bidi w:val="0"/>
        <w:jc w:val="center"/>
        <w:rPr>
          <w:rFonts w:hint="default" w:cs="Times New Roman"/>
          <w:b w:val="0"/>
          <w:bCs w:val="0"/>
          <w:sz w:val="24"/>
          <w:lang w:eastAsia="zh-CN" w:bidi="ar-SA"/>
        </w:rPr>
      </w:pPr>
      <w:r>
        <w:rPr>
          <w:rFonts w:hint="default" w:cs="Times New Roman"/>
          <w:b w:val="0"/>
          <w:bCs w:val="0"/>
          <w:sz w:val="24"/>
          <w:lang w:eastAsia="zh-CN" w:bidi="ar-SA"/>
        </w:rPr>
        <w:drawing>
          <wp:inline distT="0" distB="0" distL="114300" distR="114300">
            <wp:extent cx="5208270" cy="3534410"/>
            <wp:effectExtent l="0" t="0" r="24130" b="21590"/>
            <wp:docPr id="6" name="Picture 6" descr="MT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TPI4"/>
                    <pic:cNvPicPr>
                      <a:picLocks noChangeAspect="1"/>
                    </pic:cNvPicPr>
                  </pic:nvPicPr>
                  <pic:blipFill>
                    <a:blip r:embed="rId9"/>
                    <a:srcRect l="9465" t="1424" r="9270" b="6670"/>
                    <a:stretch>
                      <a:fillRect/>
                    </a:stretch>
                  </pic:blipFill>
                  <pic:spPr>
                    <a:xfrm>
                      <a:off x="0" y="0"/>
                      <a:ext cx="5208270" cy="3534410"/>
                    </a:xfrm>
                    <a:prstGeom prst="rect">
                      <a:avLst/>
                    </a:prstGeom>
                  </pic:spPr>
                </pic:pic>
              </a:graphicData>
            </a:graphic>
          </wp:inline>
        </w:drawing>
      </w:r>
    </w:p>
    <w:p>
      <w:pPr>
        <w:bidi w:val="0"/>
        <w:rPr>
          <w:rFonts w:hint="default" w:cs="Times New Roman"/>
          <w:b w:val="0"/>
          <w:bCs w:val="0"/>
          <w:sz w:val="24"/>
          <w:lang w:eastAsia="zh-CN" w:bidi="ar-SA"/>
        </w:rPr>
      </w:pPr>
      <w:r>
        <w:rPr>
          <w:rFonts w:hint="default" w:ascii="Times New Roman Bold" w:hAnsi="Times New Roman Bold" w:cs="Times New Roman Bold"/>
          <w:b/>
          <w:bCs/>
          <w:sz w:val="24"/>
          <w:lang w:eastAsia="zh-CN" w:bidi="ar-SA"/>
        </w:rPr>
        <w:t xml:space="preserve">Fig 4. Changes in </w:t>
      </w:r>
      <w:r>
        <w:rPr>
          <w:rFonts w:hint="default" w:ascii="Times New Roman Bold" w:hAnsi="Times New Roman Bold" w:cs="Times New Roman Bold"/>
          <w:b/>
          <w:bCs/>
          <w:sz w:val="24"/>
          <w:lang w:eastAsia="zh-CN" w:bidi="ar-SA"/>
        </w:rPr>
        <w:t>middle troposphere</w:t>
      </w:r>
      <w:r>
        <w:rPr>
          <w:rFonts w:hint="default" w:ascii="Times New Roman Bold" w:hAnsi="Times New Roman Bold" w:cs="Times New Roman Bold"/>
          <w:b/>
          <w:bCs/>
          <w:sz w:val="24"/>
          <w:lang w:eastAsia="zh-CN" w:bidi="ar-SA"/>
        </w:rPr>
        <w:t xml:space="preserve"> potential instability over the 4 hours before pyroCb.</w:t>
      </w:r>
      <w:r>
        <w:rPr>
          <w:rFonts w:hint="default" w:cs="Times New Roman"/>
          <w:b w:val="0"/>
          <w:bCs w:val="0"/>
          <w:sz w:val="24"/>
          <w:lang w:eastAsia="zh-CN" w:bidi="ar-SA"/>
        </w:rPr>
        <w:t xml:space="preserve"> Note that lower MTPI signifies higher potential instability. If </w:t>
      </w:r>
      <w:r>
        <w:rPr>
          <w:rFonts w:hint="default" w:ascii="Times New Roman" w:hAnsi="Times New Roman" w:cs="Times New Roman"/>
          <w:b w:val="0"/>
          <w:bCs w:val="0"/>
          <w:sz w:val="24"/>
          <w:lang w:eastAsia="zh-CN" w:bidi="ar-SA"/>
        </w:rPr>
        <w:t>Δ</w:t>
      </w:r>
      <w:r>
        <w:rPr>
          <w:rFonts w:hint="default" w:cs="Times New Roman"/>
          <w:b w:val="0"/>
          <w:bCs w:val="0"/>
          <w:sz w:val="24"/>
          <w:lang w:eastAsia="zh-CN" w:bidi="ar-SA"/>
        </w:rPr>
        <w:t xml:space="preserve">MTPI &lt;0, the </w:t>
      </w:r>
      <w:r>
        <w:rPr>
          <w:rFonts w:hint="default" w:cs="Times New Roman"/>
          <w:b w:val="0"/>
          <w:bCs w:val="0"/>
          <w:sz w:val="24"/>
          <w:lang w:eastAsia="zh-CN" w:bidi="ar-SA"/>
        </w:rPr>
        <w:t>middle troposphere</w:t>
      </w:r>
      <w:r>
        <w:rPr>
          <w:rFonts w:hint="default" w:cs="Times New Roman"/>
          <w:b w:val="0"/>
          <w:bCs w:val="0"/>
          <w:sz w:val="24"/>
          <w:lang w:eastAsia="zh-CN" w:bidi="ar-SA"/>
        </w:rPr>
        <w:t xml:space="preserve"> becomes unstabler over time. Each column represents a different region. (CUS for contiguous US, CAN+ALA for Canada and Alaska, AUS for Australia, RUS for Russia).</w:t>
      </w:r>
      <w:r>
        <w:rPr>
          <w:rFonts w:hint="default" w:cs="Times New Roman"/>
          <w:b w:val="0"/>
          <w:bCs w:val="0"/>
          <w:sz w:val="24"/>
          <w:lang w:eastAsia="zh-CN" w:bidi="ar-SA"/>
        </w:rPr>
        <w:t xml:space="preserve"> </w:t>
      </w:r>
      <w:r>
        <w:rPr>
          <w:rFonts w:hint="default" w:cs="Times New Roman"/>
          <w:b w:val="0"/>
          <w:bCs w:val="0"/>
          <w:sz w:val="24"/>
          <w:lang w:eastAsia="zh-CN" w:bidi="ar-SA"/>
        </w:rPr>
        <w:t>The top row is for the changes in MTPI on the day of pyroCb. The middle row is for background MTPI change, which refers to changes in MTPI during the same course of the day as pyroCb events on normal days. The bottom row is for the changes in MTPI anomaly relative to the background on the day of pyroCb. Basically, the data used to plot the bottom row are derived by subtracting the corresponding data in the middle from that in the top row. Blank space suggests there was no data in such category or certain parameters required for the calculation of MTPI were missing.</w:t>
      </w:r>
    </w:p>
    <w:p>
      <w:pPr>
        <w:bidi w:val="0"/>
        <w:rPr>
          <w:rFonts w:hint="default" w:ascii="Times New Roman Bold" w:hAnsi="Times New Roman Bold" w:cs="Times New Roman Bold"/>
          <w:b/>
          <w:bCs/>
          <w:sz w:val="24"/>
          <w:lang w:eastAsia="zh-CN" w:bidi="ar-SA"/>
        </w:rPr>
      </w:pPr>
      <w:r>
        <w:rPr>
          <w:rFonts w:hint="default" w:ascii="Times New Roman Bold" w:hAnsi="Times New Roman Bold" w:cs="Times New Roman Bold"/>
          <w:b/>
          <w:bCs/>
          <w:sz w:val="24"/>
          <w:lang w:eastAsia="zh-CN" w:bidi="ar-SA"/>
        </w:rPr>
        <w:drawing>
          <wp:inline distT="0" distB="0" distL="114300" distR="114300">
            <wp:extent cx="5283835" cy="3559175"/>
            <wp:effectExtent l="0" t="0" r="24765" b="22225"/>
            <wp:docPr id="10" name="Picture 10" descr="ut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td4"/>
                    <pic:cNvPicPr>
                      <a:picLocks noChangeAspect="1"/>
                    </pic:cNvPicPr>
                  </pic:nvPicPr>
                  <pic:blipFill>
                    <a:blip r:embed="rId10"/>
                    <a:srcRect l="7850" t="1303" r="9609" b="6053"/>
                    <a:stretch>
                      <a:fillRect/>
                    </a:stretch>
                  </pic:blipFill>
                  <pic:spPr>
                    <a:xfrm>
                      <a:off x="0" y="0"/>
                      <a:ext cx="5283835" cy="3559175"/>
                    </a:xfrm>
                    <a:prstGeom prst="rect">
                      <a:avLst/>
                    </a:prstGeom>
                  </pic:spPr>
                </pic:pic>
              </a:graphicData>
            </a:graphic>
          </wp:inline>
        </w:drawing>
      </w:r>
    </w:p>
    <w:p>
      <w:pPr>
        <w:bidi w:val="0"/>
        <w:rPr>
          <w:rFonts w:hint="default" w:cs="Times New Roman"/>
          <w:b w:val="0"/>
          <w:bCs w:val="0"/>
          <w:sz w:val="24"/>
          <w:lang w:eastAsia="zh-CN" w:bidi="ar-SA"/>
        </w:rPr>
      </w:pPr>
      <w:r>
        <w:rPr>
          <w:rFonts w:hint="default" w:ascii="Times New Roman Bold" w:hAnsi="Times New Roman Bold" w:cs="Times New Roman Bold"/>
          <w:b/>
          <w:bCs/>
          <w:sz w:val="24"/>
          <w:lang w:eastAsia="zh-CN" w:bidi="ar-SA"/>
        </w:rPr>
        <w:t>Fig 5. Changes in upper troposphere divergence over the 4 hours before pyroCb.</w:t>
      </w:r>
      <w:r>
        <w:rPr>
          <w:rFonts w:hint="default" w:cs="Times New Roman"/>
          <w:b w:val="0"/>
          <w:bCs w:val="0"/>
          <w:sz w:val="24"/>
          <w:lang w:eastAsia="zh-CN" w:bidi="ar-SA"/>
        </w:rPr>
        <w:t xml:space="preserve"> Note that lower MTPI signifies higher potential instability. If </w:t>
      </w:r>
      <w:r>
        <w:rPr>
          <w:rFonts w:hint="default" w:ascii="Times New Roman" w:hAnsi="Times New Roman" w:cs="Times New Roman"/>
          <w:b w:val="0"/>
          <w:bCs w:val="0"/>
          <w:sz w:val="24"/>
          <w:lang w:eastAsia="zh-CN" w:bidi="ar-SA"/>
        </w:rPr>
        <w:t>Δ</w:t>
      </w:r>
      <w:r>
        <w:rPr>
          <w:rFonts w:hint="default" w:cs="Times New Roman"/>
          <w:b w:val="0"/>
          <w:bCs w:val="0"/>
          <w:sz w:val="24"/>
          <w:lang w:eastAsia="zh-CN" w:bidi="ar-SA"/>
        </w:rPr>
        <w:t xml:space="preserve">MTPI &lt;0, the </w:t>
      </w:r>
      <w:r>
        <w:rPr>
          <w:rFonts w:hint="default" w:cs="Times New Roman"/>
          <w:b w:val="0"/>
          <w:bCs w:val="0"/>
          <w:sz w:val="24"/>
          <w:lang w:eastAsia="zh-CN" w:bidi="ar-SA"/>
        </w:rPr>
        <w:t>middle troposphere</w:t>
      </w:r>
      <w:r>
        <w:rPr>
          <w:rFonts w:hint="default" w:cs="Times New Roman"/>
          <w:b w:val="0"/>
          <w:bCs w:val="0"/>
          <w:sz w:val="24"/>
          <w:lang w:eastAsia="zh-CN" w:bidi="ar-SA"/>
        </w:rPr>
        <w:t xml:space="preserve"> becomes unstabler over time. Each column represents a different region. (CUS for contiguous US, CAN+ALA for Canada and Alaska, AUS for Australia, RUS for Russia).</w:t>
      </w:r>
      <w:r>
        <w:rPr>
          <w:rFonts w:hint="default" w:cs="Times New Roman"/>
          <w:b w:val="0"/>
          <w:bCs w:val="0"/>
          <w:sz w:val="24"/>
          <w:lang w:eastAsia="zh-CN" w:bidi="ar-SA"/>
        </w:rPr>
        <w:t xml:space="preserve"> </w:t>
      </w:r>
      <w:r>
        <w:rPr>
          <w:rFonts w:hint="default" w:cs="Times New Roman"/>
          <w:b w:val="0"/>
          <w:bCs w:val="0"/>
          <w:sz w:val="24"/>
          <w:lang w:eastAsia="zh-CN" w:bidi="ar-SA"/>
        </w:rPr>
        <w:t>The top row is for the changes in MTPI on the day of pyroCb. The middle row is for background MTPI change, which refers to changes in MTPI during the same course of the day as pyroCb events on normal days. The bottom row is for the changes in MTPI anomaly relative to the background on the day of pyroCb. Basically, the data used to plot the bottom row are derived by subtracting the corresponding data in the middle from that in the top row. Blank space suggests there was no data in such category or certain parameters required for the calculation of MTPI were missing.</w:t>
      </w:r>
    </w:p>
    <w:p>
      <w:pPr>
        <w:bidi w:val="0"/>
        <w:rPr>
          <w:rFonts w:hint="default"/>
        </w:rPr>
      </w:pPr>
    </w:p>
    <w:p>
      <w:pPr>
        <w:keepNext w:val="0"/>
        <w:keepLines w:val="0"/>
        <w:pageBreakBefore/>
        <w:widowControl/>
        <w:kinsoku/>
        <w:wordWrap/>
        <w:overflowPunct/>
        <w:topLinePunct w:val="0"/>
        <w:autoSpaceDE/>
        <w:autoSpaceDN/>
        <w:bidi w:val="0"/>
        <w:adjustRightInd/>
        <w:snapToGrid/>
        <w:textAlignment w:val="auto"/>
        <w:rPr>
          <w:rFonts w:hint="default" w:ascii="Times New Roman Bold" w:hAnsi="Times New Roman Bold" w:cs="Times New Roman Bold"/>
          <w:b/>
          <w:bCs/>
        </w:rPr>
      </w:pPr>
      <w:r>
        <w:rPr>
          <w:rFonts w:hint="default" w:ascii="Times New Roman Bold" w:hAnsi="Times New Roman Bold" w:cs="Times New Roman Bold"/>
          <w:b/>
          <w:bCs/>
        </w:rPr>
        <w:t>References</w:t>
      </w:r>
    </w:p>
    <w:p>
      <w:pPr>
        <w:keepNext w:val="0"/>
        <w:keepLines w:val="0"/>
        <w:widowControl/>
        <w:suppressLineNumbers w:val="0"/>
        <w:spacing w:line="27" w:lineRule="atLeast"/>
        <w:ind w:left="420" w:firstLine="0"/>
        <w:jc w:val="left"/>
      </w:pPr>
      <w:r>
        <w:rPr>
          <w:rFonts w:ascii="宋体" w:hAnsi="宋体" w:eastAsia="宋体" w:cs="宋体"/>
          <w:kern w:val="0"/>
          <w:sz w:val="24"/>
          <w:szCs w:val="24"/>
          <w:lang w:val="en-US" w:eastAsia="zh-CN" w:bidi="ar"/>
        </w:rPr>
        <w:t xml:space="preserve">Yu, Pengfei, Robert W. Portmann, Yifeng Peng, Cheng‐Cheng Liu, Yunqian Zhu, Elizabeth Asher, Zhixuan Bai, et al. “Radiative Forcing From the 2014–2022 Volcanic and Wildfire Injections.” </w:t>
      </w:r>
      <w:r>
        <w:rPr>
          <w:rFonts w:ascii="宋体" w:hAnsi="宋体" w:eastAsia="宋体" w:cs="宋体"/>
          <w:i/>
          <w:iCs/>
          <w:kern w:val="0"/>
          <w:sz w:val="24"/>
          <w:szCs w:val="24"/>
          <w:lang w:val="en-US" w:eastAsia="zh-CN" w:bidi="ar"/>
        </w:rPr>
        <w:t>Geophysical Research Letters</w:t>
      </w:r>
      <w:r>
        <w:rPr>
          <w:rFonts w:ascii="宋体" w:hAnsi="宋体" w:eastAsia="宋体" w:cs="宋体"/>
          <w:kern w:val="0"/>
          <w:sz w:val="24"/>
          <w:szCs w:val="24"/>
          <w:lang w:val="en-US" w:eastAsia="zh-CN" w:bidi="ar"/>
        </w:rPr>
        <w:t xml:space="preserve"> 50, no. 13 (July 16, 2023): e2023GL103791.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"https://doi.org/10.1029/2023GL103791"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https://doi.org/10.1029/2023GL103791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Peterson, David A., Edward J. Hyer, James R. Campbell, Jeremy E. Solbrig, and Michael D. Fromm. “A Conceptual Model for Development of Intense Pyrocumulonimbus in Western North America.” </w:t>
      </w:r>
      <w:r>
        <w:rPr>
          <w:rFonts w:ascii="宋体" w:hAnsi="宋体" w:eastAsia="宋体" w:cs="宋体"/>
          <w:i/>
          <w:iCs/>
          <w:kern w:val="0"/>
          <w:sz w:val="24"/>
          <w:szCs w:val="24"/>
          <w:lang w:val="en-US" w:eastAsia="zh-CN" w:bidi="ar"/>
        </w:rPr>
        <w:t>Monthly Weather Review</w:t>
      </w:r>
      <w:r>
        <w:rPr>
          <w:rFonts w:ascii="宋体" w:hAnsi="宋体" w:eastAsia="宋体" w:cs="宋体"/>
          <w:kern w:val="0"/>
          <w:sz w:val="24"/>
          <w:szCs w:val="24"/>
          <w:lang w:val="en-US" w:eastAsia="zh-CN" w:bidi="ar"/>
        </w:rPr>
        <w:t xml:space="preserve"> 145, no. 6 (June 1, 2017): 2235–55.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"https://doi.org/10.1175/MWR-D-16-0232.1"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https://doi.org/10.1175/MWR-D-16-0232.1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rPr>
          <w:rFonts w:hint="default"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Tazi, Kenza, Emiliano Díaz Salas-Porras, Ashwin Braude, Daniel Okoh, Kara D. Lamb, Duncan Watson-Parris, Paula Harder, and Nis Meinert. “Pyrocast: A Machine Learning Pipeline to Forecast Pyrocumulonimbus (PyroCb) Clouds.” arXiv, November 22, 2022.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"http://arxiv.org/abs/2211.13052"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http://arxiv.org/abs/2211.13052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Yu, Pengfei, Owen B. Toon, Charles G. Bardeen, Yunqian Zhu, Karen H. Rosenlof, Robert W. Portmann, Troy D. Thornberry, et al. “Black Carbon Lofts Wildfire Smoke High into the Stratosphere to Form a Persistent Plume.” </w:t>
      </w:r>
      <w:r>
        <w:rPr>
          <w:rFonts w:ascii="宋体" w:hAnsi="宋体" w:eastAsia="宋体" w:cs="宋体"/>
          <w:i/>
          <w:iCs/>
          <w:kern w:val="0"/>
          <w:sz w:val="24"/>
          <w:szCs w:val="24"/>
          <w:lang w:val="en-US" w:eastAsia="zh-CN" w:bidi="ar"/>
        </w:rPr>
        <w:t>Science</w:t>
      </w:r>
      <w:r>
        <w:rPr>
          <w:rFonts w:ascii="宋体" w:hAnsi="宋体" w:eastAsia="宋体" w:cs="宋体"/>
          <w:kern w:val="0"/>
          <w:sz w:val="24"/>
          <w:szCs w:val="24"/>
          <w:lang w:val="en-US" w:eastAsia="zh-CN" w:bidi="ar"/>
        </w:rPr>
        <w:t xml:space="preserve"> 365, no. 6453 (August 9, 2019): 587–90.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"https://doi.org/10.1126/science.aax1748"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https://doi.org/10.1126/science.aax1748</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Terrasson, Alex, Nicholas McCarthy, Andrew Dowdy, Harald Richter, Hamish McGowan, and Adrien Guyot. “Weather Radar Insights Into the Turbulent Dynamics of a Wildfire‐Triggered Supercell Thunderstorm.” </w:t>
      </w:r>
      <w:r>
        <w:rPr>
          <w:rFonts w:ascii="宋体" w:hAnsi="宋体" w:eastAsia="宋体" w:cs="宋体"/>
          <w:i/>
          <w:iCs/>
          <w:kern w:val="0"/>
          <w:sz w:val="24"/>
          <w:szCs w:val="24"/>
          <w:lang w:val="en-US" w:eastAsia="zh-CN" w:bidi="ar"/>
        </w:rPr>
        <w:t>Journal of Geophysical Research: Atmospheres</w:t>
      </w:r>
      <w:r>
        <w:rPr>
          <w:rFonts w:ascii="宋体" w:hAnsi="宋体" w:eastAsia="宋体" w:cs="宋体"/>
          <w:kern w:val="0"/>
          <w:sz w:val="24"/>
          <w:szCs w:val="24"/>
          <w:lang w:val="en-US" w:eastAsia="zh-CN" w:bidi="ar"/>
        </w:rPr>
        <w:t xml:space="preserve"> 124, no. 15 (August 16, 2019): 8645–58.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"https://doi.org/10.1029/2018JD029986"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https://doi.org/10.1029/2018JD029986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Tarshish, Nathaniel, and David M. Romps. “Latent Heating Is Required for Firestorm Plumes to Reach the Stratosphere.” </w:t>
      </w:r>
      <w:r>
        <w:rPr>
          <w:rFonts w:ascii="宋体" w:hAnsi="宋体" w:eastAsia="宋体" w:cs="宋体"/>
          <w:i/>
          <w:iCs/>
          <w:kern w:val="0"/>
          <w:sz w:val="24"/>
          <w:szCs w:val="24"/>
          <w:lang w:val="en-US" w:eastAsia="zh-CN" w:bidi="ar"/>
        </w:rPr>
        <w:t>Journal of Geophysical Research: Atmospheres</w:t>
      </w:r>
      <w:r>
        <w:rPr>
          <w:rFonts w:ascii="宋体" w:hAnsi="宋体" w:eastAsia="宋体" w:cs="宋体"/>
          <w:kern w:val="0"/>
          <w:sz w:val="24"/>
          <w:szCs w:val="24"/>
          <w:lang w:val="en-US" w:eastAsia="zh-CN" w:bidi="ar"/>
        </w:rPr>
        <w:t xml:space="preserve"> 127, no. 18 (September 27, 2022): e2022JD036667.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"https://doi.org/10.1029/2022JD036667"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https://doi.org/10.1029/2022JD036667</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pPr>
      <w:r>
        <w:rPr>
          <w:rFonts w:ascii="宋体" w:hAnsi="宋体" w:eastAsia="宋体" w:cs="宋体"/>
          <w:kern w:val="0"/>
          <w:sz w:val="24"/>
          <w:szCs w:val="24"/>
          <w:lang w:val="en-US" w:eastAsia="zh-CN" w:bidi="ar"/>
        </w:rPr>
        <w:t xml:space="preserve">Tory, K. J., and J. D. Kepert. “Pyrocumulonimbus Firepower Threshold: Assessing the Atmospheric Potential for pyroCb.” </w:t>
      </w:r>
      <w:r>
        <w:rPr>
          <w:rFonts w:ascii="宋体" w:hAnsi="宋体" w:eastAsia="宋体" w:cs="宋体"/>
          <w:i/>
          <w:iCs/>
          <w:kern w:val="0"/>
          <w:sz w:val="24"/>
          <w:szCs w:val="24"/>
          <w:lang w:val="en-US" w:eastAsia="zh-CN" w:bidi="ar"/>
        </w:rPr>
        <w:t>Weather and Forecasting</w:t>
      </w:r>
      <w:r>
        <w:rPr>
          <w:rFonts w:ascii="宋体" w:hAnsi="宋体" w:eastAsia="宋体" w:cs="宋体"/>
          <w:kern w:val="0"/>
          <w:sz w:val="24"/>
          <w:szCs w:val="24"/>
          <w:lang w:val="en-US" w:eastAsia="zh-CN" w:bidi="ar"/>
        </w:rPr>
        <w:t xml:space="preserve"> 36, no. 2 (April 2021): 439–56.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"https://doi.org/10.1175/WAF-D-20-0027.1"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https://doi.org/10.1175/WAF-D-20-0027.1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pPr>
      <w:r>
        <w:rPr>
          <w:rFonts w:ascii="宋体" w:hAnsi="宋体" w:eastAsia="宋体" w:cs="宋体"/>
          <w:kern w:val="0"/>
          <w:sz w:val="24"/>
          <w:szCs w:val="24"/>
          <w:lang w:val="en-US" w:eastAsia="zh-CN" w:bidi="ar"/>
        </w:rPr>
        <w:t xml:space="preserve">Peterson, David A., Michael D. Fromm, Jeremy E. Solbrig, Edward J. Hyer, Melinda L. Surratt, and James R. Campbell. “Detection and Inventory of Intense Pyroconvection in Western North America Using GOES-15 Daytime Infrared Data.” </w:t>
      </w:r>
      <w:r>
        <w:rPr>
          <w:rFonts w:ascii="宋体" w:hAnsi="宋体" w:eastAsia="宋体" w:cs="宋体"/>
          <w:i/>
          <w:iCs/>
          <w:kern w:val="0"/>
          <w:sz w:val="24"/>
          <w:szCs w:val="24"/>
          <w:lang w:val="en-US" w:eastAsia="zh-CN" w:bidi="ar"/>
        </w:rPr>
        <w:t>Journal of Applied Meteorology and Climatology</w:t>
      </w:r>
      <w:r>
        <w:rPr>
          <w:rFonts w:ascii="宋体" w:hAnsi="宋体" w:eastAsia="宋体" w:cs="宋体"/>
          <w:kern w:val="0"/>
          <w:sz w:val="24"/>
          <w:szCs w:val="24"/>
          <w:lang w:val="en-US" w:eastAsia="zh-CN" w:bidi="ar"/>
        </w:rPr>
        <w:t xml:space="preserve"> 56, no. 2 (February 2017): 471–93.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"https://doi.org/10.1175/JAMC-D-16-0226.1"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https://doi.org/10.1175/JAMC-D-16-0226.1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pPr>
      <w:r>
        <w:rPr>
          <w:rFonts w:ascii="宋体" w:hAnsi="宋体" w:eastAsia="宋体" w:cs="宋体"/>
          <w:kern w:val="0"/>
          <w:sz w:val="24"/>
          <w:szCs w:val="24"/>
          <w:lang w:val="en-US" w:eastAsia="zh-CN" w:bidi="ar"/>
        </w:rPr>
        <w:t xml:space="preserve">Fromm, Michael, René Servranckx, Brian J. Stocks, and David A. Peterson. “Understanding the Critical Elements of the Pyrocumulonimbus Storm Sparked by High-Intensity Wildland Fire.” </w:t>
      </w:r>
      <w:r>
        <w:rPr>
          <w:rFonts w:ascii="宋体" w:hAnsi="宋体" w:eastAsia="宋体" w:cs="宋体"/>
          <w:i/>
          <w:iCs/>
          <w:kern w:val="0"/>
          <w:sz w:val="24"/>
          <w:szCs w:val="24"/>
          <w:lang w:val="en-US" w:eastAsia="zh-CN" w:bidi="ar"/>
        </w:rPr>
        <w:t>Communications Earth &amp; Environment</w:t>
      </w:r>
      <w:r>
        <w:rPr>
          <w:rFonts w:ascii="宋体" w:hAnsi="宋体" w:eastAsia="宋体" w:cs="宋体"/>
          <w:kern w:val="0"/>
          <w:sz w:val="24"/>
          <w:szCs w:val="24"/>
          <w:lang w:val="en-US" w:eastAsia="zh-CN" w:bidi="ar"/>
        </w:rPr>
        <w:t xml:space="preserve"> 3, no. 1 (October 17, 2022): 243.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"https://doi.org/10.1038/s43247-022-00566-8"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https://doi.org/10.1038/s43247-022-00566-8</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pPr>
      <w:r>
        <w:rPr>
          <w:rFonts w:ascii="宋体" w:hAnsi="宋体" w:eastAsia="宋体" w:cs="宋体"/>
          <w:kern w:val="0"/>
          <w:sz w:val="24"/>
          <w:szCs w:val="24"/>
          <w:lang w:val="en-US" w:eastAsia="zh-CN" w:bidi="ar"/>
        </w:rPr>
        <w:t xml:space="preserve">Katich, J. M., E. C. Apel, I. Bourgeois, C. A. Brock, T. P. Bui, P. Campuzano-Jost, R. Commane, et al. “Pyrocumulonimbus Affect Average Stratospheric Aerosol Composition.” </w:t>
      </w:r>
      <w:r>
        <w:rPr>
          <w:rFonts w:ascii="宋体" w:hAnsi="宋体" w:eastAsia="宋体" w:cs="宋体"/>
          <w:i/>
          <w:iCs/>
          <w:kern w:val="0"/>
          <w:sz w:val="24"/>
          <w:szCs w:val="24"/>
          <w:lang w:val="en-US" w:eastAsia="zh-CN" w:bidi="ar"/>
        </w:rPr>
        <w:t>Science</w:t>
      </w:r>
      <w:r>
        <w:rPr>
          <w:rFonts w:ascii="宋体" w:hAnsi="宋体" w:eastAsia="宋体" w:cs="宋体"/>
          <w:kern w:val="0"/>
          <w:sz w:val="24"/>
          <w:szCs w:val="24"/>
          <w:lang w:val="en-US" w:eastAsia="zh-CN" w:bidi="ar"/>
        </w:rPr>
        <w:t xml:space="preserve"> 379, no. 6634 (February 24, 2023): 815–20.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"https://doi.org/10.1126/science.add3101"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https://doi.org/10.1126/science.add3101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pPr>
      <w:r>
        <w:rPr>
          <w:rFonts w:ascii="宋体" w:hAnsi="宋体" w:eastAsia="宋体" w:cs="宋体"/>
          <w:kern w:val="0"/>
          <w:sz w:val="24"/>
          <w:szCs w:val="24"/>
          <w:lang w:val="en-US" w:eastAsia="zh-CN" w:bidi="ar"/>
        </w:rPr>
        <w:t xml:space="preserve">Senande-Rivera, Martín, Damián Insua-Costa, and Gonzalo Miguez-Macho. “Towards an Atmosphere More Favourable to Firestorm Development in Europe.” </w:t>
      </w:r>
      <w:r>
        <w:rPr>
          <w:rFonts w:ascii="宋体" w:hAnsi="宋体" w:eastAsia="宋体" w:cs="宋体"/>
          <w:i/>
          <w:iCs/>
          <w:kern w:val="0"/>
          <w:sz w:val="24"/>
          <w:szCs w:val="24"/>
          <w:lang w:val="en-US" w:eastAsia="zh-CN" w:bidi="ar"/>
        </w:rPr>
        <w:t>Environmental Research Letters</w:t>
      </w:r>
      <w:r>
        <w:rPr>
          <w:rFonts w:ascii="宋体" w:hAnsi="宋体" w:eastAsia="宋体" w:cs="宋体"/>
          <w:kern w:val="0"/>
          <w:sz w:val="24"/>
          <w:szCs w:val="24"/>
          <w:lang w:val="en-US" w:eastAsia="zh-CN" w:bidi="ar"/>
        </w:rPr>
        <w:t xml:space="preserve"> 17, no. 9 (September 1, 2022): 094015.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"https://doi.org/10.1088/1748-9326/ac85ce"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https://doi.org/10.1088/1748-9326/ac85ce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27" w:lineRule="atLeast"/>
        <w:ind w:left="420" w:firstLine="0"/>
        <w:jc w:val="left"/>
        <w:rPr>
          <w:rFonts w:ascii="宋体" w:hAnsi="宋体" w:eastAsia="宋体" w:cs="宋体"/>
          <w:kern w:val="0"/>
          <w:sz w:val="24"/>
          <w:szCs w:val="24"/>
          <w:lang w:val="en-US" w:eastAsia="zh-CN" w:bidi="ar"/>
        </w:rPr>
      </w:pPr>
    </w:p>
    <w:p>
      <w:pPr>
        <w:keepNext w:val="0"/>
        <w:keepLines w:val="0"/>
        <w:widowControl/>
        <w:suppressLineNumbers w:val="0"/>
        <w:spacing w:line="27" w:lineRule="atLeast"/>
        <w:ind w:left="420" w:firstLine="0"/>
        <w:jc w:val="left"/>
        <w:rPr>
          <w:rFonts w:ascii="宋体" w:hAnsi="宋体" w:eastAsia="宋体" w:cs="宋体"/>
          <w:kern w:val="0"/>
          <w:sz w:val="24"/>
          <w:szCs w:val="24"/>
          <w:lang w:val="en-US" w:eastAsia="zh-CN" w:bidi="ar"/>
        </w:rPr>
      </w:pPr>
    </w:p>
    <w:p>
      <w:pPr>
        <w:keepNext w:val="0"/>
        <w:keepLines w:val="0"/>
        <w:widowControl/>
        <w:suppressLineNumbers w:val="0"/>
        <w:spacing w:line="27" w:lineRule="atLeast"/>
        <w:ind w:left="420" w:firstLine="0"/>
        <w:jc w:val="left"/>
        <w:rPr>
          <w:rFonts w:ascii="宋体" w:hAnsi="宋体" w:eastAsia="宋体" w:cs="宋体"/>
          <w:kern w:val="0"/>
          <w:sz w:val="24"/>
          <w:szCs w:val="24"/>
          <w:lang w:val="en-US" w:eastAsia="zh-CN" w:bidi="ar"/>
        </w:rPr>
      </w:pPr>
    </w:p>
    <w:p>
      <w:pPr>
        <w:bidi w:val="0"/>
        <w:rPr>
          <w:rFonts w:hint="default" w:ascii="Times New Roman Bold" w:hAnsi="Times New Roman Bold" w:cs="Times New Roman Bold"/>
          <w:b/>
          <w:bC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NimbusRomNo9L-Medi">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NimbusRomNo9L-Regu">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AdvPSTIM10-R">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ED50A7"/>
    <w:rsid w:val="03D9D9E0"/>
    <w:rsid w:val="03F9649F"/>
    <w:rsid w:val="03FFDE1C"/>
    <w:rsid w:val="069EF1CA"/>
    <w:rsid w:val="07A5D96B"/>
    <w:rsid w:val="07DF9FEF"/>
    <w:rsid w:val="09EB157E"/>
    <w:rsid w:val="0B151641"/>
    <w:rsid w:val="0BF318FB"/>
    <w:rsid w:val="0C666A61"/>
    <w:rsid w:val="0CFFBD4D"/>
    <w:rsid w:val="0EF9C114"/>
    <w:rsid w:val="0F19BB75"/>
    <w:rsid w:val="0FBBDA7C"/>
    <w:rsid w:val="0FF906AC"/>
    <w:rsid w:val="0FFCD2C3"/>
    <w:rsid w:val="0FFEF5DB"/>
    <w:rsid w:val="11FFD55A"/>
    <w:rsid w:val="16BE889D"/>
    <w:rsid w:val="176D5B45"/>
    <w:rsid w:val="176F6325"/>
    <w:rsid w:val="17F9078A"/>
    <w:rsid w:val="18EBA678"/>
    <w:rsid w:val="18FF0555"/>
    <w:rsid w:val="195E1494"/>
    <w:rsid w:val="1BDB63E4"/>
    <w:rsid w:val="1BFE80E8"/>
    <w:rsid w:val="1BFF2261"/>
    <w:rsid w:val="1D5EC384"/>
    <w:rsid w:val="1DBF3A66"/>
    <w:rsid w:val="1DF7C502"/>
    <w:rsid w:val="1DF7E8E9"/>
    <w:rsid w:val="1E7C623F"/>
    <w:rsid w:val="1EB1CA53"/>
    <w:rsid w:val="1EDDFBC0"/>
    <w:rsid w:val="1EDFEE32"/>
    <w:rsid w:val="1EF4FFB2"/>
    <w:rsid w:val="1EFA0C72"/>
    <w:rsid w:val="1EFF3DC0"/>
    <w:rsid w:val="1F3A8805"/>
    <w:rsid w:val="1F3FB8A0"/>
    <w:rsid w:val="1F5DC5F4"/>
    <w:rsid w:val="1F7BAA56"/>
    <w:rsid w:val="1F7F1AD3"/>
    <w:rsid w:val="1F7FD814"/>
    <w:rsid w:val="1F99A179"/>
    <w:rsid w:val="1FBD6021"/>
    <w:rsid w:val="1FBF594E"/>
    <w:rsid w:val="1FBFCAE7"/>
    <w:rsid w:val="1FDB7E78"/>
    <w:rsid w:val="1FDDDB47"/>
    <w:rsid w:val="1FE2AA1C"/>
    <w:rsid w:val="1FF58E11"/>
    <w:rsid w:val="1FFB4082"/>
    <w:rsid w:val="1FFC6948"/>
    <w:rsid w:val="1FFF74B9"/>
    <w:rsid w:val="21F7ED0D"/>
    <w:rsid w:val="24757182"/>
    <w:rsid w:val="24AD04F7"/>
    <w:rsid w:val="25FF5FA8"/>
    <w:rsid w:val="27AF0BC6"/>
    <w:rsid w:val="27E9CDB5"/>
    <w:rsid w:val="27F7A221"/>
    <w:rsid w:val="27FBE00B"/>
    <w:rsid w:val="27FC13E9"/>
    <w:rsid w:val="29AF26D4"/>
    <w:rsid w:val="29FE4145"/>
    <w:rsid w:val="2A774C7F"/>
    <w:rsid w:val="2B337666"/>
    <w:rsid w:val="2B6F4BEE"/>
    <w:rsid w:val="2B6FB77F"/>
    <w:rsid w:val="2B76C904"/>
    <w:rsid w:val="2BCD7D2D"/>
    <w:rsid w:val="2BDDEE22"/>
    <w:rsid w:val="2BFE425E"/>
    <w:rsid w:val="2C3C0897"/>
    <w:rsid w:val="2DAF5E0F"/>
    <w:rsid w:val="2DDD0BD6"/>
    <w:rsid w:val="2E6D4082"/>
    <w:rsid w:val="2EABADEB"/>
    <w:rsid w:val="2EDB855B"/>
    <w:rsid w:val="2EDDFAEA"/>
    <w:rsid w:val="2EDE27A2"/>
    <w:rsid w:val="2F26910D"/>
    <w:rsid w:val="2F733D38"/>
    <w:rsid w:val="2FB7A825"/>
    <w:rsid w:val="2FBDE4B5"/>
    <w:rsid w:val="2FDB051E"/>
    <w:rsid w:val="2FF57706"/>
    <w:rsid w:val="2FF6C665"/>
    <w:rsid w:val="2FFB6F06"/>
    <w:rsid w:val="2FFED98A"/>
    <w:rsid w:val="325F71F3"/>
    <w:rsid w:val="32AFCA4F"/>
    <w:rsid w:val="32B5D392"/>
    <w:rsid w:val="33BFF054"/>
    <w:rsid w:val="33BFF159"/>
    <w:rsid w:val="33CB045F"/>
    <w:rsid w:val="33F1A3B6"/>
    <w:rsid w:val="33F338F8"/>
    <w:rsid w:val="33F93AB8"/>
    <w:rsid w:val="33F99167"/>
    <w:rsid w:val="34372783"/>
    <w:rsid w:val="353FFA17"/>
    <w:rsid w:val="354E9DE5"/>
    <w:rsid w:val="35BFB053"/>
    <w:rsid w:val="35D773B8"/>
    <w:rsid w:val="35FF0637"/>
    <w:rsid w:val="35FFCE3D"/>
    <w:rsid w:val="366E8941"/>
    <w:rsid w:val="36933F42"/>
    <w:rsid w:val="369B1EB5"/>
    <w:rsid w:val="36B78645"/>
    <w:rsid w:val="36F33361"/>
    <w:rsid w:val="36F6A4A4"/>
    <w:rsid w:val="376DD30A"/>
    <w:rsid w:val="37764F87"/>
    <w:rsid w:val="377EC961"/>
    <w:rsid w:val="377F06EF"/>
    <w:rsid w:val="37AA7BA3"/>
    <w:rsid w:val="37BE34C3"/>
    <w:rsid w:val="37BE7CD7"/>
    <w:rsid w:val="37BFD6F8"/>
    <w:rsid w:val="37EF47B6"/>
    <w:rsid w:val="37F75283"/>
    <w:rsid w:val="37F7830A"/>
    <w:rsid w:val="37FC934E"/>
    <w:rsid w:val="37FF3055"/>
    <w:rsid w:val="37FFEC98"/>
    <w:rsid w:val="38B77F37"/>
    <w:rsid w:val="38ED50A7"/>
    <w:rsid w:val="397B4879"/>
    <w:rsid w:val="39EF6B91"/>
    <w:rsid w:val="39FAE6CF"/>
    <w:rsid w:val="3A4F4386"/>
    <w:rsid w:val="3AAEEAA2"/>
    <w:rsid w:val="3AB77F4B"/>
    <w:rsid w:val="3ABD607B"/>
    <w:rsid w:val="3ACBF534"/>
    <w:rsid w:val="3ACF836B"/>
    <w:rsid w:val="3B5F2FCC"/>
    <w:rsid w:val="3B79C9BB"/>
    <w:rsid w:val="3BAEA051"/>
    <w:rsid w:val="3BCF5378"/>
    <w:rsid w:val="3BD95806"/>
    <w:rsid w:val="3BDAEDC5"/>
    <w:rsid w:val="3BDFEDB5"/>
    <w:rsid w:val="3BEEE671"/>
    <w:rsid w:val="3BF5EA30"/>
    <w:rsid w:val="3BFB6DE6"/>
    <w:rsid w:val="3BFCDFBE"/>
    <w:rsid w:val="3C772353"/>
    <w:rsid w:val="3CBA9AB5"/>
    <w:rsid w:val="3CF389F5"/>
    <w:rsid w:val="3D32B65B"/>
    <w:rsid w:val="3D6B46BD"/>
    <w:rsid w:val="3D771410"/>
    <w:rsid w:val="3D7E6C39"/>
    <w:rsid w:val="3D9DA65C"/>
    <w:rsid w:val="3DDF19BE"/>
    <w:rsid w:val="3DEEA408"/>
    <w:rsid w:val="3DF7F996"/>
    <w:rsid w:val="3DFCD2E7"/>
    <w:rsid w:val="3DFD13CA"/>
    <w:rsid w:val="3DFE6E66"/>
    <w:rsid w:val="3DFF2B5A"/>
    <w:rsid w:val="3DFFC8E0"/>
    <w:rsid w:val="3E7BE44F"/>
    <w:rsid w:val="3E7F0832"/>
    <w:rsid w:val="3EAE7236"/>
    <w:rsid w:val="3EBFF838"/>
    <w:rsid w:val="3ECD879C"/>
    <w:rsid w:val="3EDA5B7B"/>
    <w:rsid w:val="3EDC8949"/>
    <w:rsid w:val="3EE740E3"/>
    <w:rsid w:val="3EEAE420"/>
    <w:rsid w:val="3EEBBA80"/>
    <w:rsid w:val="3EF5AA9C"/>
    <w:rsid w:val="3EF7C529"/>
    <w:rsid w:val="3EFD62C0"/>
    <w:rsid w:val="3EFF961C"/>
    <w:rsid w:val="3F1C6C0E"/>
    <w:rsid w:val="3F2323DB"/>
    <w:rsid w:val="3F397604"/>
    <w:rsid w:val="3F3FEDFC"/>
    <w:rsid w:val="3F5FD9A2"/>
    <w:rsid w:val="3F77BF77"/>
    <w:rsid w:val="3F7D0203"/>
    <w:rsid w:val="3F7D9A97"/>
    <w:rsid w:val="3F8BBE81"/>
    <w:rsid w:val="3F9F4BCF"/>
    <w:rsid w:val="3FAB7381"/>
    <w:rsid w:val="3FAF0DF0"/>
    <w:rsid w:val="3FAFE94E"/>
    <w:rsid w:val="3FBAD566"/>
    <w:rsid w:val="3FBCCA86"/>
    <w:rsid w:val="3FBF8C2A"/>
    <w:rsid w:val="3FBF91C9"/>
    <w:rsid w:val="3FBF98A3"/>
    <w:rsid w:val="3FD75CFE"/>
    <w:rsid w:val="3FDB5046"/>
    <w:rsid w:val="3FDF1AB4"/>
    <w:rsid w:val="3FEBF063"/>
    <w:rsid w:val="3FEEFB82"/>
    <w:rsid w:val="3FEF40AD"/>
    <w:rsid w:val="3FF60B3A"/>
    <w:rsid w:val="3FF98201"/>
    <w:rsid w:val="3FFA1EF0"/>
    <w:rsid w:val="3FFD19AB"/>
    <w:rsid w:val="3FFDEE64"/>
    <w:rsid w:val="3FFE1423"/>
    <w:rsid w:val="3FFF192A"/>
    <w:rsid w:val="3FFF934F"/>
    <w:rsid w:val="3FFFAAC4"/>
    <w:rsid w:val="433FF73B"/>
    <w:rsid w:val="43EB40FB"/>
    <w:rsid w:val="43FEE89F"/>
    <w:rsid w:val="459B254E"/>
    <w:rsid w:val="45F71A18"/>
    <w:rsid w:val="47DF84C6"/>
    <w:rsid w:val="47E73AB9"/>
    <w:rsid w:val="48BE20BF"/>
    <w:rsid w:val="491E5936"/>
    <w:rsid w:val="49F78380"/>
    <w:rsid w:val="4BD71717"/>
    <w:rsid w:val="4BF50BFA"/>
    <w:rsid w:val="4E3B101A"/>
    <w:rsid w:val="4E5F4E95"/>
    <w:rsid w:val="4E7B8A3E"/>
    <w:rsid w:val="4E7DD69A"/>
    <w:rsid w:val="4EBF5E5C"/>
    <w:rsid w:val="4EFFA287"/>
    <w:rsid w:val="4F3FFA2F"/>
    <w:rsid w:val="4F751DBF"/>
    <w:rsid w:val="4F9F9F1C"/>
    <w:rsid w:val="4FBD2340"/>
    <w:rsid w:val="4FBF442D"/>
    <w:rsid w:val="4FDBC962"/>
    <w:rsid w:val="4FFD48C8"/>
    <w:rsid w:val="4FFF8645"/>
    <w:rsid w:val="4FFFC0C7"/>
    <w:rsid w:val="5017CA14"/>
    <w:rsid w:val="50CF6FB3"/>
    <w:rsid w:val="539F7CE2"/>
    <w:rsid w:val="53DB5303"/>
    <w:rsid w:val="53FD9283"/>
    <w:rsid w:val="53FFCF43"/>
    <w:rsid w:val="54B918C5"/>
    <w:rsid w:val="54FF6875"/>
    <w:rsid w:val="55F75C01"/>
    <w:rsid w:val="55FDC645"/>
    <w:rsid w:val="55FF25B8"/>
    <w:rsid w:val="55FF7A9A"/>
    <w:rsid w:val="56BF285A"/>
    <w:rsid w:val="56FC5551"/>
    <w:rsid w:val="577F6FB3"/>
    <w:rsid w:val="57BC5F95"/>
    <w:rsid w:val="57D16775"/>
    <w:rsid w:val="57DBF60F"/>
    <w:rsid w:val="57DF82E8"/>
    <w:rsid w:val="57E735E9"/>
    <w:rsid w:val="57F7DB00"/>
    <w:rsid w:val="57FBF60B"/>
    <w:rsid w:val="57FC2EDF"/>
    <w:rsid w:val="57FCB547"/>
    <w:rsid w:val="57FF3D38"/>
    <w:rsid w:val="57FF5C8D"/>
    <w:rsid w:val="580F20A4"/>
    <w:rsid w:val="58760C09"/>
    <w:rsid w:val="597F9881"/>
    <w:rsid w:val="59DE000C"/>
    <w:rsid w:val="5B1FC172"/>
    <w:rsid w:val="5B27157B"/>
    <w:rsid w:val="5B7AE232"/>
    <w:rsid w:val="5B7B8396"/>
    <w:rsid w:val="5B7C2EA5"/>
    <w:rsid w:val="5B9DE884"/>
    <w:rsid w:val="5BBE559F"/>
    <w:rsid w:val="5BFF1C52"/>
    <w:rsid w:val="5C3B7729"/>
    <w:rsid w:val="5CFE6664"/>
    <w:rsid w:val="5D59A1AB"/>
    <w:rsid w:val="5D7F61AB"/>
    <w:rsid w:val="5D7FDF4D"/>
    <w:rsid w:val="5DB8ECFF"/>
    <w:rsid w:val="5DC7CB7B"/>
    <w:rsid w:val="5DDB3737"/>
    <w:rsid w:val="5DDFAAB1"/>
    <w:rsid w:val="5DE72C89"/>
    <w:rsid w:val="5DEB0808"/>
    <w:rsid w:val="5DFFBA3E"/>
    <w:rsid w:val="5E3BA34E"/>
    <w:rsid w:val="5E3EBFF8"/>
    <w:rsid w:val="5E590B3F"/>
    <w:rsid w:val="5E6499B5"/>
    <w:rsid w:val="5E7EAEAD"/>
    <w:rsid w:val="5E7F6EE0"/>
    <w:rsid w:val="5EB694D0"/>
    <w:rsid w:val="5EDE1DEE"/>
    <w:rsid w:val="5EDEF6E9"/>
    <w:rsid w:val="5EE7E884"/>
    <w:rsid w:val="5EED39C6"/>
    <w:rsid w:val="5EED594E"/>
    <w:rsid w:val="5EEF0EF2"/>
    <w:rsid w:val="5EF14E27"/>
    <w:rsid w:val="5EF38A66"/>
    <w:rsid w:val="5EF3F936"/>
    <w:rsid w:val="5EF62911"/>
    <w:rsid w:val="5EF97EA0"/>
    <w:rsid w:val="5EF9DC3D"/>
    <w:rsid w:val="5EFBD552"/>
    <w:rsid w:val="5EFE5314"/>
    <w:rsid w:val="5EFF3E44"/>
    <w:rsid w:val="5F2E661A"/>
    <w:rsid w:val="5F2F3F84"/>
    <w:rsid w:val="5F3B4964"/>
    <w:rsid w:val="5F3F9522"/>
    <w:rsid w:val="5F4FD55F"/>
    <w:rsid w:val="5F5E3304"/>
    <w:rsid w:val="5F76CC18"/>
    <w:rsid w:val="5F776012"/>
    <w:rsid w:val="5F7B4647"/>
    <w:rsid w:val="5F7B970B"/>
    <w:rsid w:val="5F7DFB8E"/>
    <w:rsid w:val="5F7F1858"/>
    <w:rsid w:val="5F7F7225"/>
    <w:rsid w:val="5F9FFCE0"/>
    <w:rsid w:val="5FACC532"/>
    <w:rsid w:val="5FAD4CEF"/>
    <w:rsid w:val="5FB577A6"/>
    <w:rsid w:val="5FB79252"/>
    <w:rsid w:val="5FBC9D6D"/>
    <w:rsid w:val="5FBD6070"/>
    <w:rsid w:val="5FBFD2F9"/>
    <w:rsid w:val="5FD0C0E2"/>
    <w:rsid w:val="5FE5EB75"/>
    <w:rsid w:val="5FE797AD"/>
    <w:rsid w:val="5FEB9B97"/>
    <w:rsid w:val="5FEEDEEC"/>
    <w:rsid w:val="5FEFD0AA"/>
    <w:rsid w:val="5FEFFBD7"/>
    <w:rsid w:val="5FF58E1A"/>
    <w:rsid w:val="5FF722CF"/>
    <w:rsid w:val="5FFA47F8"/>
    <w:rsid w:val="5FFB4280"/>
    <w:rsid w:val="5FFBB366"/>
    <w:rsid w:val="5FFC9EEB"/>
    <w:rsid w:val="5FFCC36C"/>
    <w:rsid w:val="5FFD8307"/>
    <w:rsid w:val="5FFEE763"/>
    <w:rsid w:val="5FFF2B2C"/>
    <w:rsid w:val="5FFF3075"/>
    <w:rsid w:val="5FFF4D2F"/>
    <w:rsid w:val="5FFF9363"/>
    <w:rsid w:val="5FFFA19D"/>
    <w:rsid w:val="5FFFB33F"/>
    <w:rsid w:val="5FFFB5AF"/>
    <w:rsid w:val="5FFFBCC1"/>
    <w:rsid w:val="5FFFFFA6"/>
    <w:rsid w:val="60CB08C6"/>
    <w:rsid w:val="61EF7988"/>
    <w:rsid w:val="637C5C55"/>
    <w:rsid w:val="637F2EF1"/>
    <w:rsid w:val="63BB8184"/>
    <w:rsid w:val="63D7935E"/>
    <w:rsid w:val="63EFFD9F"/>
    <w:rsid w:val="646743E7"/>
    <w:rsid w:val="65AF203B"/>
    <w:rsid w:val="65BBB072"/>
    <w:rsid w:val="661CE666"/>
    <w:rsid w:val="66EB0750"/>
    <w:rsid w:val="66FE5013"/>
    <w:rsid w:val="67030739"/>
    <w:rsid w:val="6777D8D4"/>
    <w:rsid w:val="679DE49D"/>
    <w:rsid w:val="67A6BB32"/>
    <w:rsid w:val="67D78C1A"/>
    <w:rsid w:val="67EAFBBC"/>
    <w:rsid w:val="67F77F37"/>
    <w:rsid w:val="67FB7A4C"/>
    <w:rsid w:val="67FDB2FD"/>
    <w:rsid w:val="67FF2AD5"/>
    <w:rsid w:val="67FF7308"/>
    <w:rsid w:val="67FFCDF8"/>
    <w:rsid w:val="687F747B"/>
    <w:rsid w:val="697E80A2"/>
    <w:rsid w:val="69FD0AB9"/>
    <w:rsid w:val="6A9FB2AB"/>
    <w:rsid w:val="6AC6B56A"/>
    <w:rsid w:val="6AD746CD"/>
    <w:rsid w:val="6ADB2008"/>
    <w:rsid w:val="6AF738F3"/>
    <w:rsid w:val="6B0DD452"/>
    <w:rsid w:val="6B1E59BC"/>
    <w:rsid w:val="6B3D3C1F"/>
    <w:rsid w:val="6B776548"/>
    <w:rsid w:val="6B7FFB1D"/>
    <w:rsid w:val="6B8BF151"/>
    <w:rsid w:val="6BAFBB05"/>
    <w:rsid w:val="6BBF268E"/>
    <w:rsid w:val="6BCED085"/>
    <w:rsid w:val="6BD74F67"/>
    <w:rsid w:val="6BDB5A34"/>
    <w:rsid w:val="6BFA1B0A"/>
    <w:rsid w:val="6C36F491"/>
    <w:rsid w:val="6C52911D"/>
    <w:rsid w:val="6C73B95B"/>
    <w:rsid w:val="6C9D6589"/>
    <w:rsid w:val="6C9F77C2"/>
    <w:rsid w:val="6CCC5E46"/>
    <w:rsid w:val="6CF3FB44"/>
    <w:rsid w:val="6CFE0BAF"/>
    <w:rsid w:val="6D69392B"/>
    <w:rsid w:val="6D6E3DEF"/>
    <w:rsid w:val="6D9BE5A7"/>
    <w:rsid w:val="6DA7E0BE"/>
    <w:rsid w:val="6DBFB07A"/>
    <w:rsid w:val="6DCD29A4"/>
    <w:rsid w:val="6DCDA198"/>
    <w:rsid w:val="6DDD69F4"/>
    <w:rsid w:val="6DDF8442"/>
    <w:rsid w:val="6DE6C953"/>
    <w:rsid w:val="6DE7142F"/>
    <w:rsid w:val="6DEF3969"/>
    <w:rsid w:val="6DF80D2E"/>
    <w:rsid w:val="6DFB690F"/>
    <w:rsid w:val="6DFBF88D"/>
    <w:rsid w:val="6DFEC36D"/>
    <w:rsid w:val="6DFEF289"/>
    <w:rsid w:val="6E3D393B"/>
    <w:rsid w:val="6E506CBE"/>
    <w:rsid w:val="6E5DB7A3"/>
    <w:rsid w:val="6EB69E84"/>
    <w:rsid w:val="6ECB1763"/>
    <w:rsid w:val="6EDD7B1C"/>
    <w:rsid w:val="6EDEE839"/>
    <w:rsid w:val="6EDF5486"/>
    <w:rsid w:val="6EEB06AC"/>
    <w:rsid w:val="6EF3064C"/>
    <w:rsid w:val="6EFC23AD"/>
    <w:rsid w:val="6EFC6A32"/>
    <w:rsid w:val="6EFD06AF"/>
    <w:rsid w:val="6EFFD92D"/>
    <w:rsid w:val="6F33D2A1"/>
    <w:rsid w:val="6F3B7412"/>
    <w:rsid w:val="6F3DA887"/>
    <w:rsid w:val="6F45CB9F"/>
    <w:rsid w:val="6F4FE144"/>
    <w:rsid w:val="6F561114"/>
    <w:rsid w:val="6F5B560C"/>
    <w:rsid w:val="6F69245C"/>
    <w:rsid w:val="6F6D28E3"/>
    <w:rsid w:val="6F6EA57E"/>
    <w:rsid w:val="6F7383FF"/>
    <w:rsid w:val="6F74C89B"/>
    <w:rsid w:val="6F7AE06E"/>
    <w:rsid w:val="6F7C1F43"/>
    <w:rsid w:val="6F7DA4CC"/>
    <w:rsid w:val="6F9D6498"/>
    <w:rsid w:val="6F9F7F1C"/>
    <w:rsid w:val="6FADE7C5"/>
    <w:rsid w:val="6FAF5F63"/>
    <w:rsid w:val="6FAF8CAA"/>
    <w:rsid w:val="6FB54B91"/>
    <w:rsid w:val="6FB7779F"/>
    <w:rsid w:val="6FBC8225"/>
    <w:rsid w:val="6FCD6412"/>
    <w:rsid w:val="6FCF112C"/>
    <w:rsid w:val="6FD62FE9"/>
    <w:rsid w:val="6FDBE389"/>
    <w:rsid w:val="6FDF3097"/>
    <w:rsid w:val="6FE584A1"/>
    <w:rsid w:val="6FE68FE6"/>
    <w:rsid w:val="6FEB4E3B"/>
    <w:rsid w:val="6FEB62B3"/>
    <w:rsid w:val="6FEDEBDE"/>
    <w:rsid w:val="6FEF7236"/>
    <w:rsid w:val="6FEF7F02"/>
    <w:rsid w:val="6FEFB029"/>
    <w:rsid w:val="6FF79413"/>
    <w:rsid w:val="6FFB1E50"/>
    <w:rsid w:val="6FFB6E52"/>
    <w:rsid w:val="6FFD3DFF"/>
    <w:rsid w:val="6FFD7333"/>
    <w:rsid w:val="6FFD9D7C"/>
    <w:rsid w:val="6FFDEA48"/>
    <w:rsid w:val="6FFEC8C2"/>
    <w:rsid w:val="6FFF15AA"/>
    <w:rsid w:val="6FFF5880"/>
    <w:rsid w:val="707BD87D"/>
    <w:rsid w:val="707E3B7A"/>
    <w:rsid w:val="70FC3FB7"/>
    <w:rsid w:val="717D4B3B"/>
    <w:rsid w:val="717E4253"/>
    <w:rsid w:val="717F765A"/>
    <w:rsid w:val="71AD144B"/>
    <w:rsid w:val="71BFA499"/>
    <w:rsid w:val="71FF215C"/>
    <w:rsid w:val="72976E35"/>
    <w:rsid w:val="72D70B98"/>
    <w:rsid w:val="72FF1D47"/>
    <w:rsid w:val="736D191E"/>
    <w:rsid w:val="736D5813"/>
    <w:rsid w:val="738775E5"/>
    <w:rsid w:val="7394C010"/>
    <w:rsid w:val="73A71E15"/>
    <w:rsid w:val="73E797DA"/>
    <w:rsid w:val="73F619C7"/>
    <w:rsid w:val="73FEF29C"/>
    <w:rsid w:val="73FF2315"/>
    <w:rsid w:val="73FF2BF9"/>
    <w:rsid w:val="74309F77"/>
    <w:rsid w:val="749F222B"/>
    <w:rsid w:val="74AFA388"/>
    <w:rsid w:val="74E345B9"/>
    <w:rsid w:val="74F1DAF1"/>
    <w:rsid w:val="74FCAEA7"/>
    <w:rsid w:val="74FF794A"/>
    <w:rsid w:val="74FFE3B7"/>
    <w:rsid w:val="753E17A1"/>
    <w:rsid w:val="75BBDFD6"/>
    <w:rsid w:val="75CA8984"/>
    <w:rsid w:val="75CD53E7"/>
    <w:rsid w:val="75CF0981"/>
    <w:rsid w:val="75D83E2E"/>
    <w:rsid w:val="75DD0A9B"/>
    <w:rsid w:val="75EBC303"/>
    <w:rsid w:val="75EEC845"/>
    <w:rsid w:val="75EFE3D7"/>
    <w:rsid w:val="75F3ED49"/>
    <w:rsid w:val="75FF8482"/>
    <w:rsid w:val="7636CE63"/>
    <w:rsid w:val="763FCC3E"/>
    <w:rsid w:val="7687CDAA"/>
    <w:rsid w:val="769BD833"/>
    <w:rsid w:val="76AFFF56"/>
    <w:rsid w:val="76CDA576"/>
    <w:rsid w:val="76DECCB3"/>
    <w:rsid w:val="76F213EE"/>
    <w:rsid w:val="76F734F6"/>
    <w:rsid w:val="76FCC05E"/>
    <w:rsid w:val="76FDAD5F"/>
    <w:rsid w:val="76FE0D6C"/>
    <w:rsid w:val="76FF8DCC"/>
    <w:rsid w:val="77382042"/>
    <w:rsid w:val="7741B1FD"/>
    <w:rsid w:val="777701D8"/>
    <w:rsid w:val="777BF62D"/>
    <w:rsid w:val="777CCCA3"/>
    <w:rsid w:val="777F3316"/>
    <w:rsid w:val="779F05FC"/>
    <w:rsid w:val="77AF2E6D"/>
    <w:rsid w:val="77BB9439"/>
    <w:rsid w:val="77BD7D30"/>
    <w:rsid w:val="77BFC5A9"/>
    <w:rsid w:val="77DDA2F4"/>
    <w:rsid w:val="77DE9552"/>
    <w:rsid w:val="77DEE1FB"/>
    <w:rsid w:val="77EA3918"/>
    <w:rsid w:val="77EC48F5"/>
    <w:rsid w:val="77EFBADA"/>
    <w:rsid w:val="77F3BE5E"/>
    <w:rsid w:val="77F58FBE"/>
    <w:rsid w:val="77F6F364"/>
    <w:rsid w:val="77F7E6E6"/>
    <w:rsid w:val="77FA1B64"/>
    <w:rsid w:val="77FB36C0"/>
    <w:rsid w:val="77FBCAA2"/>
    <w:rsid w:val="77FBE4C1"/>
    <w:rsid w:val="77FF7F96"/>
    <w:rsid w:val="77FFCF52"/>
    <w:rsid w:val="77FFE741"/>
    <w:rsid w:val="77FFECC4"/>
    <w:rsid w:val="77FFFBFA"/>
    <w:rsid w:val="787C5C04"/>
    <w:rsid w:val="78E79E8D"/>
    <w:rsid w:val="78EBD286"/>
    <w:rsid w:val="78EFC0AB"/>
    <w:rsid w:val="78F589BB"/>
    <w:rsid w:val="78FF74E3"/>
    <w:rsid w:val="78FF9E75"/>
    <w:rsid w:val="793B5D66"/>
    <w:rsid w:val="793C60E1"/>
    <w:rsid w:val="7977C880"/>
    <w:rsid w:val="799F3264"/>
    <w:rsid w:val="799FED6A"/>
    <w:rsid w:val="79BFF09A"/>
    <w:rsid w:val="79CDB5E7"/>
    <w:rsid w:val="79DD2C9A"/>
    <w:rsid w:val="79DF2FF8"/>
    <w:rsid w:val="79DFFCBB"/>
    <w:rsid w:val="79E3BF96"/>
    <w:rsid w:val="79E63B6F"/>
    <w:rsid w:val="79F272CB"/>
    <w:rsid w:val="79FB5AC8"/>
    <w:rsid w:val="79FF68F0"/>
    <w:rsid w:val="7A3F96A2"/>
    <w:rsid w:val="7A731143"/>
    <w:rsid w:val="7AAF373F"/>
    <w:rsid w:val="7ABF29EC"/>
    <w:rsid w:val="7AC743F4"/>
    <w:rsid w:val="7AE7CB1A"/>
    <w:rsid w:val="7AFF983A"/>
    <w:rsid w:val="7B1D21DE"/>
    <w:rsid w:val="7B34DCD5"/>
    <w:rsid w:val="7B379C9A"/>
    <w:rsid w:val="7B4B0768"/>
    <w:rsid w:val="7B5BDA79"/>
    <w:rsid w:val="7B5D58F8"/>
    <w:rsid w:val="7B5FB834"/>
    <w:rsid w:val="7B6121EC"/>
    <w:rsid w:val="7B6228CF"/>
    <w:rsid w:val="7B7B22A3"/>
    <w:rsid w:val="7B7C63CE"/>
    <w:rsid w:val="7B7F0A9F"/>
    <w:rsid w:val="7B7F3F1A"/>
    <w:rsid w:val="7B960B1C"/>
    <w:rsid w:val="7B9F950A"/>
    <w:rsid w:val="7BB7245B"/>
    <w:rsid w:val="7BBDDD64"/>
    <w:rsid w:val="7BBF3D05"/>
    <w:rsid w:val="7BCB1E40"/>
    <w:rsid w:val="7BDE130F"/>
    <w:rsid w:val="7BDF2CA6"/>
    <w:rsid w:val="7BEF3A4B"/>
    <w:rsid w:val="7BEF7C92"/>
    <w:rsid w:val="7BF2769D"/>
    <w:rsid w:val="7BF2A7BF"/>
    <w:rsid w:val="7BF7D2C7"/>
    <w:rsid w:val="7BFB3287"/>
    <w:rsid w:val="7BFBE680"/>
    <w:rsid w:val="7BFD18D9"/>
    <w:rsid w:val="7BFD2928"/>
    <w:rsid w:val="7BFE4B43"/>
    <w:rsid w:val="7BFE6D81"/>
    <w:rsid w:val="7BFF982F"/>
    <w:rsid w:val="7BFF9A93"/>
    <w:rsid w:val="7BFFA8E4"/>
    <w:rsid w:val="7BFFD11B"/>
    <w:rsid w:val="7C3FBFAF"/>
    <w:rsid w:val="7C6B8DA5"/>
    <w:rsid w:val="7C7F22B8"/>
    <w:rsid w:val="7C7F51C1"/>
    <w:rsid w:val="7C7F986E"/>
    <w:rsid w:val="7C7FB0A4"/>
    <w:rsid w:val="7CBED2AD"/>
    <w:rsid w:val="7CD7B993"/>
    <w:rsid w:val="7CD9BFE5"/>
    <w:rsid w:val="7CDCDD85"/>
    <w:rsid w:val="7CDF1195"/>
    <w:rsid w:val="7CDF62F7"/>
    <w:rsid w:val="7CDFBC92"/>
    <w:rsid w:val="7CE84C53"/>
    <w:rsid w:val="7CEEC02B"/>
    <w:rsid w:val="7CF1775F"/>
    <w:rsid w:val="7CF53296"/>
    <w:rsid w:val="7CF77144"/>
    <w:rsid w:val="7CFF76CC"/>
    <w:rsid w:val="7CFFD14A"/>
    <w:rsid w:val="7CFFD6D9"/>
    <w:rsid w:val="7D2D18C0"/>
    <w:rsid w:val="7D2F1B41"/>
    <w:rsid w:val="7D2FF6BF"/>
    <w:rsid w:val="7D3F0C33"/>
    <w:rsid w:val="7D3F34F3"/>
    <w:rsid w:val="7D5B3153"/>
    <w:rsid w:val="7D5C5720"/>
    <w:rsid w:val="7D67A6F6"/>
    <w:rsid w:val="7D6FBF5C"/>
    <w:rsid w:val="7D7167DD"/>
    <w:rsid w:val="7D75447B"/>
    <w:rsid w:val="7D7D4A4A"/>
    <w:rsid w:val="7D7F010E"/>
    <w:rsid w:val="7D7F4595"/>
    <w:rsid w:val="7D7F60AE"/>
    <w:rsid w:val="7DC06FC6"/>
    <w:rsid w:val="7DC5B3C0"/>
    <w:rsid w:val="7DCB58A3"/>
    <w:rsid w:val="7DCDCF43"/>
    <w:rsid w:val="7DCE34DC"/>
    <w:rsid w:val="7DCF2855"/>
    <w:rsid w:val="7DCF465C"/>
    <w:rsid w:val="7DDDDFC9"/>
    <w:rsid w:val="7DDF16F9"/>
    <w:rsid w:val="7DDF2D92"/>
    <w:rsid w:val="7DE702C2"/>
    <w:rsid w:val="7DE7E682"/>
    <w:rsid w:val="7DEF55F1"/>
    <w:rsid w:val="7DEF95BB"/>
    <w:rsid w:val="7DF3CD4C"/>
    <w:rsid w:val="7DF7F518"/>
    <w:rsid w:val="7DF7F7DE"/>
    <w:rsid w:val="7DF932CC"/>
    <w:rsid w:val="7DF95EF9"/>
    <w:rsid w:val="7DF9DBDC"/>
    <w:rsid w:val="7DFB8623"/>
    <w:rsid w:val="7DFCD922"/>
    <w:rsid w:val="7E1E76B1"/>
    <w:rsid w:val="7E3BDA49"/>
    <w:rsid w:val="7E3D1D6F"/>
    <w:rsid w:val="7E3F862E"/>
    <w:rsid w:val="7E473307"/>
    <w:rsid w:val="7E5E767D"/>
    <w:rsid w:val="7E5FFBC4"/>
    <w:rsid w:val="7E6F0F82"/>
    <w:rsid w:val="7E6F2BEB"/>
    <w:rsid w:val="7E7EA0ED"/>
    <w:rsid w:val="7E7EF355"/>
    <w:rsid w:val="7E8DECA4"/>
    <w:rsid w:val="7E8F65B8"/>
    <w:rsid w:val="7E9B4CF8"/>
    <w:rsid w:val="7EA700FF"/>
    <w:rsid w:val="7EAECD02"/>
    <w:rsid w:val="7EB7CE8A"/>
    <w:rsid w:val="7EBEBB6E"/>
    <w:rsid w:val="7EBEE3A8"/>
    <w:rsid w:val="7EBF36DE"/>
    <w:rsid w:val="7ECD983E"/>
    <w:rsid w:val="7ED3C995"/>
    <w:rsid w:val="7ED752C6"/>
    <w:rsid w:val="7EDBF00E"/>
    <w:rsid w:val="7EDDB28C"/>
    <w:rsid w:val="7EDF249E"/>
    <w:rsid w:val="7EDFF262"/>
    <w:rsid w:val="7EE12B08"/>
    <w:rsid w:val="7EE76978"/>
    <w:rsid w:val="7EE86890"/>
    <w:rsid w:val="7EE99C2D"/>
    <w:rsid w:val="7EEB05DA"/>
    <w:rsid w:val="7EEC6ADF"/>
    <w:rsid w:val="7EEE9F4D"/>
    <w:rsid w:val="7EEF390E"/>
    <w:rsid w:val="7EEF65F3"/>
    <w:rsid w:val="7EF6AC2F"/>
    <w:rsid w:val="7EF72866"/>
    <w:rsid w:val="7EFB49F8"/>
    <w:rsid w:val="7EFDA60C"/>
    <w:rsid w:val="7EFE64AE"/>
    <w:rsid w:val="7EFF1FED"/>
    <w:rsid w:val="7EFFAB28"/>
    <w:rsid w:val="7EFFB442"/>
    <w:rsid w:val="7EFFF02D"/>
    <w:rsid w:val="7EFFFC04"/>
    <w:rsid w:val="7F1867C7"/>
    <w:rsid w:val="7F1B7938"/>
    <w:rsid w:val="7F1C7057"/>
    <w:rsid w:val="7F2C39BF"/>
    <w:rsid w:val="7F3CEA06"/>
    <w:rsid w:val="7F3E0E65"/>
    <w:rsid w:val="7F3F29DD"/>
    <w:rsid w:val="7F3FC249"/>
    <w:rsid w:val="7F3FD48D"/>
    <w:rsid w:val="7F58D5FF"/>
    <w:rsid w:val="7F5E669F"/>
    <w:rsid w:val="7F5FFF35"/>
    <w:rsid w:val="7F67304A"/>
    <w:rsid w:val="7F6F119F"/>
    <w:rsid w:val="7F6FDD7D"/>
    <w:rsid w:val="7F73FF8F"/>
    <w:rsid w:val="7F77B021"/>
    <w:rsid w:val="7F77F840"/>
    <w:rsid w:val="7F7D4490"/>
    <w:rsid w:val="7F7DB579"/>
    <w:rsid w:val="7F7E15A2"/>
    <w:rsid w:val="7F7EAD9D"/>
    <w:rsid w:val="7F7EF528"/>
    <w:rsid w:val="7F7F1C8C"/>
    <w:rsid w:val="7F7F6C11"/>
    <w:rsid w:val="7F7F7AD4"/>
    <w:rsid w:val="7F7F9A8A"/>
    <w:rsid w:val="7F7FBFF3"/>
    <w:rsid w:val="7F8799B9"/>
    <w:rsid w:val="7F8F2D42"/>
    <w:rsid w:val="7F8FC3C6"/>
    <w:rsid w:val="7F9604E9"/>
    <w:rsid w:val="7F9B9555"/>
    <w:rsid w:val="7F9D81F6"/>
    <w:rsid w:val="7F9EA8BD"/>
    <w:rsid w:val="7F9EF3DD"/>
    <w:rsid w:val="7FAB1049"/>
    <w:rsid w:val="7FACABE1"/>
    <w:rsid w:val="7FAE1234"/>
    <w:rsid w:val="7FAF2EF3"/>
    <w:rsid w:val="7FB09878"/>
    <w:rsid w:val="7FB154BC"/>
    <w:rsid w:val="7FB174E9"/>
    <w:rsid w:val="7FB3D2EB"/>
    <w:rsid w:val="7FB75A20"/>
    <w:rsid w:val="7FB787CA"/>
    <w:rsid w:val="7FB7B399"/>
    <w:rsid w:val="7FBA5111"/>
    <w:rsid w:val="7FBA60DF"/>
    <w:rsid w:val="7FBAF644"/>
    <w:rsid w:val="7FBB31C8"/>
    <w:rsid w:val="7FBCCBC1"/>
    <w:rsid w:val="7FBE2126"/>
    <w:rsid w:val="7FBE3D81"/>
    <w:rsid w:val="7FBF09C5"/>
    <w:rsid w:val="7FBF304E"/>
    <w:rsid w:val="7FBF7AEF"/>
    <w:rsid w:val="7FBFF31F"/>
    <w:rsid w:val="7FBFF5C9"/>
    <w:rsid w:val="7FC71980"/>
    <w:rsid w:val="7FCA2B4F"/>
    <w:rsid w:val="7FCA7817"/>
    <w:rsid w:val="7FCAA1F9"/>
    <w:rsid w:val="7FCFAE03"/>
    <w:rsid w:val="7FD13179"/>
    <w:rsid w:val="7FD71D48"/>
    <w:rsid w:val="7FD77241"/>
    <w:rsid w:val="7FD774A8"/>
    <w:rsid w:val="7FD7C709"/>
    <w:rsid w:val="7FDB06BD"/>
    <w:rsid w:val="7FDB534E"/>
    <w:rsid w:val="7FDBD0E8"/>
    <w:rsid w:val="7FDCEBBB"/>
    <w:rsid w:val="7FDD5C85"/>
    <w:rsid w:val="7FDDBA49"/>
    <w:rsid w:val="7FDEE2EA"/>
    <w:rsid w:val="7FDF6C63"/>
    <w:rsid w:val="7FDF85E7"/>
    <w:rsid w:val="7FDFA463"/>
    <w:rsid w:val="7FDFD78D"/>
    <w:rsid w:val="7FE651B9"/>
    <w:rsid w:val="7FE6A7DF"/>
    <w:rsid w:val="7FE7C05E"/>
    <w:rsid w:val="7FE92E01"/>
    <w:rsid w:val="7FE9C2AA"/>
    <w:rsid w:val="7FEB236A"/>
    <w:rsid w:val="7FECEB5E"/>
    <w:rsid w:val="7FEE463B"/>
    <w:rsid w:val="7FEEE1FE"/>
    <w:rsid w:val="7FEF7E3A"/>
    <w:rsid w:val="7FEFE32A"/>
    <w:rsid w:val="7FF1EB71"/>
    <w:rsid w:val="7FF2ADE3"/>
    <w:rsid w:val="7FF5F917"/>
    <w:rsid w:val="7FF72B56"/>
    <w:rsid w:val="7FF792EE"/>
    <w:rsid w:val="7FF84018"/>
    <w:rsid w:val="7FF9056A"/>
    <w:rsid w:val="7FF96D86"/>
    <w:rsid w:val="7FF9BE37"/>
    <w:rsid w:val="7FFA2B03"/>
    <w:rsid w:val="7FFAACED"/>
    <w:rsid w:val="7FFAFF69"/>
    <w:rsid w:val="7FFBC53C"/>
    <w:rsid w:val="7FFBDF6D"/>
    <w:rsid w:val="7FFC39A4"/>
    <w:rsid w:val="7FFD1696"/>
    <w:rsid w:val="7FFD22F6"/>
    <w:rsid w:val="7FFD6265"/>
    <w:rsid w:val="7FFD6443"/>
    <w:rsid w:val="7FFD6B9A"/>
    <w:rsid w:val="7FFD7D4C"/>
    <w:rsid w:val="7FFD87D8"/>
    <w:rsid w:val="7FFE0279"/>
    <w:rsid w:val="7FFE4C11"/>
    <w:rsid w:val="7FFEE6D4"/>
    <w:rsid w:val="7FFF104A"/>
    <w:rsid w:val="7FFF1457"/>
    <w:rsid w:val="7FFF27F5"/>
    <w:rsid w:val="7FFF3B29"/>
    <w:rsid w:val="7FFF5D93"/>
    <w:rsid w:val="7FFF6BA6"/>
    <w:rsid w:val="7FFF6EE8"/>
    <w:rsid w:val="7FFF7590"/>
    <w:rsid w:val="7FFF7B5D"/>
    <w:rsid w:val="7FFF8367"/>
    <w:rsid w:val="7FFF855B"/>
    <w:rsid w:val="7FFF96C5"/>
    <w:rsid w:val="7FFF97FD"/>
    <w:rsid w:val="7FFFC172"/>
    <w:rsid w:val="7FFFC62E"/>
    <w:rsid w:val="7FFFD764"/>
    <w:rsid w:val="7FFFDD90"/>
    <w:rsid w:val="7FFFF466"/>
    <w:rsid w:val="7FFFF830"/>
    <w:rsid w:val="86B7010F"/>
    <w:rsid w:val="86DD6EE9"/>
    <w:rsid w:val="87AD6FCF"/>
    <w:rsid w:val="87DDD277"/>
    <w:rsid w:val="89D667A1"/>
    <w:rsid w:val="8D5D2AFE"/>
    <w:rsid w:val="8DBE89D7"/>
    <w:rsid w:val="8DF046FD"/>
    <w:rsid w:val="8E9AE5FE"/>
    <w:rsid w:val="8F7D13D3"/>
    <w:rsid w:val="8FAF459E"/>
    <w:rsid w:val="8FBF93F8"/>
    <w:rsid w:val="8FEFDD5F"/>
    <w:rsid w:val="8FFA3F44"/>
    <w:rsid w:val="92BEAEBB"/>
    <w:rsid w:val="94F12563"/>
    <w:rsid w:val="957F3808"/>
    <w:rsid w:val="95FFE2A0"/>
    <w:rsid w:val="97BF4B16"/>
    <w:rsid w:val="97D2FE5D"/>
    <w:rsid w:val="97E611B9"/>
    <w:rsid w:val="97F5A0FA"/>
    <w:rsid w:val="97FFC6F3"/>
    <w:rsid w:val="97FFF3CB"/>
    <w:rsid w:val="9A6FC200"/>
    <w:rsid w:val="9A7BF222"/>
    <w:rsid w:val="9BBEAA35"/>
    <w:rsid w:val="9BFC4202"/>
    <w:rsid w:val="9C7E2714"/>
    <w:rsid w:val="9CC78AA6"/>
    <w:rsid w:val="9D5F038B"/>
    <w:rsid w:val="9DDFD476"/>
    <w:rsid w:val="9DFF1813"/>
    <w:rsid w:val="9E97D101"/>
    <w:rsid w:val="9EB88920"/>
    <w:rsid w:val="9EFB07EA"/>
    <w:rsid w:val="9F6EA7DD"/>
    <w:rsid w:val="9F7B07EE"/>
    <w:rsid w:val="9F7B71DA"/>
    <w:rsid w:val="9F7F6998"/>
    <w:rsid w:val="9F947EAD"/>
    <w:rsid w:val="9FBBF381"/>
    <w:rsid w:val="9FBC8B51"/>
    <w:rsid w:val="9FEB6E7C"/>
    <w:rsid w:val="9FEBBDE7"/>
    <w:rsid w:val="9FF7ED8C"/>
    <w:rsid w:val="9FF9D036"/>
    <w:rsid w:val="9FFD9253"/>
    <w:rsid w:val="9FFE9B11"/>
    <w:rsid w:val="9FFF16EB"/>
    <w:rsid w:val="A1FE134B"/>
    <w:rsid w:val="A23B8F34"/>
    <w:rsid w:val="A3B37882"/>
    <w:rsid w:val="A3BD374D"/>
    <w:rsid w:val="A3E6EE6A"/>
    <w:rsid w:val="A67FFFA1"/>
    <w:rsid w:val="A7D59D4E"/>
    <w:rsid w:val="A7EBD868"/>
    <w:rsid w:val="A7F1B16A"/>
    <w:rsid w:val="A87FC9E4"/>
    <w:rsid w:val="A9BFC601"/>
    <w:rsid w:val="A9F71A12"/>
    <w:rsid w:val="AA3D3940"/>
    <w:rsid w:val="AA7FDEED"/>
    <w:rsid w:val="AAFB2117"/>
    <w:rsid w:val="ABBD33DB"/>
    <w:rsid w:val="ABE7331C"/>
    <w:rsid w:val="ABE802F7"/>
    <w:rsid w:val="ABFA98B1"/>
    <w:rsid w:val="ABFDA47F"/>
    <w:rsid w:val="ACEEE4A3"/>
    <w:rsid w:val="AD7D0EE8"/>
    <w:rsid w:val="ADCF8BE6"/>
    <w:rsid w:val="ADFEEFEC"/>
    <w:rsid w:val="AE69234D"/>
    <w:rsid w:val="AE77F346"/>
    <w:rsid w:val="AE7E8B74"/>
    <w:rsid w:val="AF7F72CF"/>
    <w:rsid w:val="AF7FA982"/>
    <w:rsid w:val="AF9BC0D8"/>
    <w:rsid w:val="AFA750EB"/>
    <w:rsid w:val="AFBBB531"/>
    <w:rsid w:val="AFBFBA57"/>
    <w:rsid w:val="AFD729B7"/>
    <w:rsid w:val="AFE7B694"/>
    <w:rsid w:val="AFEBA265"/>
    <w:rsid w:val="AFECF559"/>
    <w:rsid w:val="AFEF4CFD"/>
    <w:rsid w:val="AFF375EB"/>
    <w:rsid w:val="AFFE2049"/>
    <w:rsid w:val="AFFF9C59"/>
    <w:rsid w:val="B2D6436D"/>
    <w:rsid w:val="B2FFDB55"/>
    <w:rsid w:val="B3FF105E"/>
    <w:rsid w:val="B3FF4897"/>
    <w:rsid w:val="B4B32515"/>
    <w:rsid w:val="B4EF5784"/>
    <w:rsid w:val="B4F79A99"/>
    <w:rsid w:val="B59667DC"/>
    <w:rsid w:val="B59BFC99"/>
    <w:rsid w:val="B67966FE"/>
    <w:rsid w:val="B67F05EB"/>
    <w:rsid w:val="B6CBAD55"/>
    <w:rsid w:val="B75790B6"/>
    <w:rsid w:val="B7750C45"/>
    <w:rsid w:val="B7B75784"/>
    <w:rsid w:val="B7B7B7BC"/>
    <w:rsid w:val="B7BEA1CD"/>
    <w:rsid w:val="B7BEC9FB"/>
    <w:rsid w:val="B7BF0746"/>
    <w:rsid w:val="B7BF5B1C"/>
    <w:rsid w:val="B7DBA38D"/>
    <w:rsid w:val="B7DF5E18"/>
    <w:rsid w:val="B7E41182"/>
    <w:rsid w:val="B7E7C2A4"/>
    <w:rsid w:val="B7F7DE2A"/>
    <w:rsid w:val="B7FB87E4"/>
    <w:rsid w:val="B7FD0D20"/>
    <w:rsid w:val="B7FD8AE0"/>
    <w:rsid w:val="B7FFA487"/>
    <w:rsid w:val="B7FFD97D"/>
    <w:rsid w:val="B7FFF9BC"/>
    <w:rsid w:val="B87DF5F5"/>
    <w:rsid w:val="B8B70718"/>
    <w:rsid w:val="B9909437"/>
    <w:rsid w:val="B9954F37"/>
    <w:rsid w:val="B99D365B"/>
    <w:rsid w:val="B9BB5329"/>
    <w:rsid w:val="B9E73BF6"/>
    <w:rsid w:val="B9EFD63E"/>
    <w:rsid w:val="B9EFFFEB"/>
    <w:rsid w:val="B9F79798"/>
    <w:rsid w:val="B9FBE9AE"/>
    <w:rsid w:val="BA0BA010"/>
    <w:rsid w:val="BAE7129F"/>
    <w:rsid w:val="BAFC0054"/>
    <w:rsid w:val="BAFE661F"/>
    <w:rsid w:val="BAFF2AC0"/>
    <w:rsid w:val="BB67402E"/>
    <w:rsid w:val="BB7E884A"/>
    <w:rsid w:val="BB7FF274"/>
    <w:rsid w:val="BBB737FC"/>
    <w:rsid w:val="BBDF4FC7"/>
    <w:rsid w:val="BBEF1C92"/>
    <w:rsid w:val="BBEF7117"/>
    <w:rsid w:val="BBF0DF52"/>
    <w:rsid w:val="BBFF1150"/>
    <w:rsid w:val="BBFF82FC"/>
    <w:rsid w:val="BC7D9B7E"/>
    <w:rsid w:val="BCD2B6E1"/>
    <w:rsid w:val="BCDF8C0D"/>
    <w:rsid w:val="BCE58D7B"/>
    <w:rsid w:val="BCFDE9E1"/>
    <w:rsid w:val="BD1FB40C"/>
    <w:rsid w:val="BD34F0FA"/>
    <w:rsid w:val="BD7F618A"/>
    <w:rsid w:val="BD97CDDE"/>
    <w:rsid w:val="BDAB9B67"/>
    <w:rsid w:val="BDDD6428"/>
    <w:rsid w:val="BDDF15DE"/>
    <w:rsid w:val="BDF76463"/>
    <w:rsid w:val="BDFC27B4"/>
    <w:rsid w:val="BE6EB3DE"/>
    <w:rsid w:val="BE7D8C4F"/>
    <w:rsid w:val="BEA39D62"/>
    <w:rsid w:val="BEBD17D5"/>
    <w:rsid w:val="BEC1C092"/>
    <w:rsid w:val="BECF6C37"/>
    <w:rsid w:val="BEDFB32A"/>
    <w:rsid w:val="BEEF8B2B"/>
    <w:rsid w:val="BEF1FE84"/>
    <w:rsid w:val="BEF29A4A"/>
    <w:rsid w:val="BEFC6E51"/>
    <w:rsid w:val="BEFD7A14"/>
    <w:rsid w:val="BEFE45AA"/>
    <w:rsid w:val="BEFF34BE"/>
    <w:rsid w:val="BEFFCF0E"/>
    <w:rsid w:val="BF2F3DE9"/>
    <w:rsid w:val="BF390853"/>
    <w:rsid w:val="BF3F82F5"/>
    <w:rsid w:val="BF4FA832"/>
    <w:rsid w:val="BF5120BE"/>
    <w:rsid w:val="BF55E4FD"/>
    <w:rsid w:val="BF57431F"/>
    <w:rsid w:val="BF6B8E4A"/>
    <w:rsid w:val="BF6E4B7F"/>
    <w:rsid w:val="BF766F2C"/>
    <w:rsid w:val="BF7BA79F"/>
    <w:rsid w:val="BF7ED719"/>
    <w:rsid w:val="BF8F398A"/>
    <w:rsid w:val="BF933E3B"/>
    <w:rsid w:val="BF9F064D"/>
    <w:rsid w:val="BFAF9FB7"/>
    <w:rsid w:val="BFBFBC0C"/>
    <w:rsid w:val="BFC94F62"/>
    <w:rsid w:val="BFCF5092"/>
    <w:rsid w:val="BFD5EA17"/>
    <w:rsid w:val="BFD69F49"/>
    <w:rsid w:val="BFD6A739"/>
    <w:rsid w:val="BFDF3D9F"/>
    <w:rsid w:val="BFEE652A"/>
    <w:rsid w:val="BFEFEFC5"/>
    <w:rsid w:val="BFF64835"/>
    <w:rsid w:val="BFFAC0D0"/>
    <w:rsid w:val="BFFB3275"/>
    <w:rsid w:val="BFFBADBA"/>
    <w:rsid w:val="BFFBB27F"/>
    <w:rsid w:val="BFFDCEDF"/>
    <w:rsid w:val="BFFDCFD5"/>
    <w:rsid w:val="BFFF05E4"/>
    <w:rsid w:val="BFFF4307"/>
    <w:rsid w:val="BFFF72C4"/>
    <w:rsid w:val="BFFFB143"/>
    <w:rsid w:val="C2FC2806"/>
    <w:rsid w:val="C4873E7E"/>
    <w:rsid w:val="C57D8F0C"/>
    <w:rsid w:val="C77E0866"/>
    <w:rsid w:val="C7A06D4F"/>
    <w:rsid w:val="C7EE0697"/>
    <w:rsid w:val="C7F72F1F"/>
    <w:rsid w:val="C9FB50BC"/>
    <w:rsid w:val="C9FFCD75"/>
    <w:rsid w:val="C9FFFFDC"/>
    <w:rsid w:val="CAFDA2BF"/>
    <w:rsid w:val="CAFEE099"/>
    <w:rsid w:val="CB3BE501"/>
    <w:rsid w:val="CB90F255"/>
    <w:rsid w:val="CBBF11EC"/>
    <w:rsid w:val="CBBFCC7E"/>
    <w:rsid w:val="CBFEED18"/>
    <w:rsid w:val="CC7BAB99"/>
    <w:rsid w:val="CCF75582"/>
    <w:rsid w:val="CD7CB997"/>
    <w:rsid w:val="CDE3626B"/>
    <w:rsid w:val="CDFF7E83"/>
    <w:rsid w:val="CE627E7F"/>
    <w:rsid w:val="CE7B585F"/>
    <w:rsid w:val="CEDA682D"/>
    <w:rsid w:val="CEE7287A"/>
    <w:rsid w:val="CEE76517"/>
    <w:rsid w:val="CEF78254"/>
    <w:rsid w:val="CEFBE7AC"/>
    <w:rsid w:val="CEFDE737"/>
    <w:rsid w:val="CF37F946"/>
    <w:rsid w:val="CF9D7FCA"/>
    <w:rsid w:val="CFBF0ED5"/>
    <w:rsid w:val="CFE65949"/>
    <w:rsid w:val="CFEF0562"/>
    <w:rsid w:val="CFEFFD38"/>
    <w:rsid w:val="CFF7D1F2"/>
    <w:rsid w:val="CFFBCCF0"/>
    <w:rsid w:val="CFFF93E5"/>
    <w:rsid w:val="D0F7EE21"/>
    <w:rsid w:val="D1BB5C55"/>
    <w:rsid w:val="D27FC2EB"/>
    <w:rsid w:val="D33DE944"/>
    <w:rsid w:val="D39FE940"/>
    <w:rsid w:val="D3BF31B9"/>
    <w:rsid w:val="D3F342E9"/>
    <w:rsid w:val="D3FA4C5E"/>
    <w:rsid w:val="D3FBA0E3"/>
    <w:rsid w:val="D3FEF9EA"/>
    <w:rsid w:val="D3FF4346"/>
    <w:rsid w:val="D43713B8"/>
    <w:rsid w:val="D4FE65E4"/>
    <w:rsid w:val="D53FBB6B"/>
    <w:rsid w:val="D5D74582"/>
    <w:rsid w:val="D5DEE74A"/>
    <w:rsid w:val="D5DF1B33"/>
    <w:rsid w:val="D65C99E6"/>
    <w:rsid w:val="D65F3A94"/>
    <w:rsid w:val="D67A17FF"/>
    <w:rsid w:val="D6AFC5EB"/>
    <w:rsid w:val="D6F6C2C0"/>
    <w:rsid w:val="D6F78F40"/>
    <w:rsid w:val="D6FD5B81"/>
    <w:rsid w:val="D6FF6B06"/>
    <w:rsid w:val="D75DD7A9"/>
    <w:rsid w:val="D775E8AC"/>
    <w:rsid w:val="D77BD672"/>
    <w:rsid w:val="D79B384F"/>
    <w:rsid w:val="D7AFADFD"/>
    <w:rsid w:val="D7B57829"/>
    <w:rsid w:val="D7BEA290"/>
    <w:rsid w:val="D7BFA93F"/>
    <w:rsid w:val="D7DD0F1A"/>
    <w:rsid w:val="D7E304B8"/>
    <w:rsid w:val="D7E45A79"/>
    <w:rsid w:val="D7EF0361"/>
    <w:rsid w:val="D7FB948C"/>
    <w:rsid w:val="D9BBE30E"/>
    <w:rsid w:val="D9DFE8AC"/>
    <w:rsid w:val="D9EF8FF6"/>
    <w:rsid w:val="D9FED0E1"/>
    <w:rsid w:val="DA771C44"/>
    <w:rsid w:val="DAB4411F"/>
    <w:rsid w:val="DB1F25CD"/>
    <w:rsid w:val="DB3CDD40"/>
    <w:rsid w:val="DB491ED2"/>
    <w:rsid w:val="DB6B2DB1"/>
    <w:rsid w:val="DBB8856D"/>
    <w:rsid w:val="DBC6FF6F"/>
    <w:rsid w:val="DBD829FC"/>
    <w:rsid w:val="DBDE1D02"/>
    <w:rsid w:val="DBE9F4A1"/>
    <w:rsid w:val="DBEF0282"/>
    <w:rsid w:val="DBF04EC2"/>
    <w:rsid w:val="DBF16008"/>
    <w:rsid w:val="DBF790E9"/>
    <w:rsid w:val="DBF7A07D"/>
    <w:rsid w:val="DBFB1748"/>
    <w:rsid w:val="DBFBA0D0"/>
    <w:rsid w:val="DBFC9B57"/>
    <w:rsid w:val="DC368653"/>
    <w:rsid w:val="DC6B0658"/>
    <w:rsid w:val="DCBFB705"/>
    <w:rsid w:val="DCDF319A"/>
    <w:rsid w:val="DCEA2D9C"/>
    <w:rsid w:val="DD177223"/>
    <w:rsid w:val="DD2BF905"/>
    <w:rsid w:val="DD53694F"/>
    <w:rsid w:val="DD6FFCA1"/>
    <w:rsid w:val="DD7E763A"/>
    <w:rsid w:val="DDE9AEDE"/>
    <w:rsid w:val="DDEB71D5"/>
    <w:rsid w:val="DDF7AB1C"/>
    <w:rsid w:val="DDFF6F99"/>
    <w:rsid w:val="DDFFB883"/>
    <w:rsid w:val="DDFFD643"/>
    <w:rsid w:val="DE562E39"/>
    <w:rsid w:val="DE732762"/>
    <w:rsid w:val="DE7D1EFD"/>
    <w:rsid w:val="DEA21D55"/>
    <w:rsid w:val="DEB7BAAD"/>
    <w:rsid w:val="DEBDA7B1"/>
    <w:rsid w:val="DEBF2418"/>
    <w:rsid w:val="DEE66020"/>
    <w:rsid w:val="DEEF6022"/>
    <w:rsid w:val="DEEFCBEA"/>
    <w:rsid w:val="DEFB6854"/>
    <w:rsid w:val="DEFE5266"/>
    <w:rsid w:val="DEFE7455"/>
    <w:rsid w:val="DEFF19EE"/>
    <w:rsid w:val="DEFF480F"/>
    <w:rsid w:val="DEFF993E"/>
    <w:rsid w:val="DEFFE471"/>
    <w:rsid w:val="DF0E9DF7"/>
    <w:rsid w:val="DF0FC0DB"/>
    <w:rsid w:val="DF2F8B8F"/>
    <w:rsid w:val="DF3448DC"/>
    <w:rsid w:val="DF490A91"/>
    <w:rsid w:val="DF4FA96E"/>
    <w:rsid w:val="DF55DC32"/>
    <w:rsid w:val="DF5FD443"/>
    <w:rsid w:val="DF6B2118"/>
    <w:rsid w:val="DF6C7BF6"/>
    <w:rsid w:val="DF6DAB84"/>
    <w:rsid w:val="DF6FF6FE"/>
    <w:rsid w:val="DF77BD91"/>
    <w:rsid w:val="DF77E4F5"/>
    <w:rsid w:val="DF79FCE0"/>
    <w:rsid w:val="DF7B106A"/>
    <w:rsid w:val="DF7CDA3B"/>
    <w:rsid w:val="DF7E3FF3"/>
    <w:rsid w:val="DF7E7616"/>
    <w:rsid w:val="DF7F5ACB"/>
    <w:rsid w:val="DF7FAD32"/>
    <w:rsid w:val="DF7FD05E"/>
    <w:rsid w:val="DF8AEDFE"/>
    <w:rsid w:val="DF8B7002"/>
    <w:rsid w:val="DF9F5C22"/>
    <w:rsid w:val="DFBEFC5A"/>
    <w:rsid w:val="DFBFD098"/>
    <w:rsid w:val="DFCDC928"/>
    <w:rsid w:val="DFD21F6E"/>
    <w:rsid w:val="DFDA9850"/>
    <w:rsid w:val="DFDB8416"/>
    <w:rsid w:val="DFDD8C52"/>
    <w:rsid w:val="DFDF40C3"/>
    <w:rsid w:val="DFF51656"/>
    <w:rsid w:val="DFF59A72"/>
    <w:rsid w:val="DFF5F22E"/>
    <w:rsid w:val="DFF6EC4C"/>
    <w:rsid w:val="DFF7DD21"/>
    <w:rsid w:val="DFF7DE98"/>
    <w:rsid w:val="DFF8C44A"/>
    <w:rsid w:val="DFFA1B33"/>
    <w:rsid w:val="DFFABD6F"/>
    <w:rsid w:val="DFFB228D"/>
    <w:rsid w:val="DFFBEE5F"/>
    <w:rsid w:val="DFFD4AFE"/>
    <w:rsid w:val="DFFD5282"/>
    <w:rsid w:val="DFFD5FFB"/>
    <w:rsid w:val="DFFDB0AF"/>
    <w:rsid w:val="DFFEEE5E"/>
    <w:rsid w:val="DFFF8992"/>
    <w:rsid w:val="DFFF967F"/>
    <w:rsid w:val="E25FA200"/>
    <w:rsid w:val="E2AF90DE"/>
    <w:rsid w:val="E35BBAB5"/>
    <w:rsid w:val="E3AB6634"/>
    <w:rsid w:val="E3CFE7AF"/>
    <w:rsid w:val="E3CFE909"/>
    <w:rsid w:val="E3F3D04E"/>
    <w:rsid w:val="E3F655E6"/>
    <w:rsid w:val="E3FFA8B4"/>
    <w:rsid w:val="E47B22F4"/>
    <w:rsid w:val="E4E966DB"/>
    <w:rsid w:val="E4EF6264"/>
    <w:rsid w:val="E5CF937C"/>
    <w:rsid w:val="E5EF7854"/>
    <w:rsid w:val="E65B6896"/>
    <w:rsid w:val="E6DF2273"/>
    <w:rsid w:val="E6E76A97"/>
    <w:rsid w:val="E6E9F04F"/>
    <w:rsid w:val="E6FF0E38"/>
    <w:rsid w:val="E6FFB64A"/>
    <w:rsid w:val="E7474E19"/>
    <w:rsid w:val="E75BCE7E"/>
    <w:rsid w:val="E76C24E3"/>
    <w:rsid w:val="E796ED6E"/>
    <w:rsid w:val="E7971B2C"/>
    <w:rsid w:val="E79BAD36"/>
    <w:rsid w:val="E7AE4A6A"/>
    <w:rsid w:val="E7DA6156"/>
    <w:rsid w:val="E7DFA4BA"/>
    <w:rsid w:val="E7EB165A"/>
    <w:rsid w:val="E7FB3514"/>
    <w:rsid w:val="E7FBFC18"/>
    <w:rsid w:val="E7FE540C"/>
    <w:rsid w:val="E7FEC6FE"/>
    <w:rsid w:val="E7FF3450"/>
    <w:rsid w:val="E88F619D"/>
    <w:rsid w:val="E8FED376"/>
    <w:rsid w:val="E99D11F1"/>
    <w:rsid w:val="E9EDCF2D"/>
    <w:rsid w:val="E9FFFF7B"/>
    <w:rsid w:val="EA2F628B"/>
    <w:rsid w:val="EA3FB48E"/>
    <w:rsid w:val="EA7E495D"/>
    <w:rsid w:val="EAFD1749"/>
    <w:rsid w:val="EAFDA8D3"/>
    <w:rsid w:val="EAFF7E34"/>
    <w:rsid w:val="EB848875"/>
    <w:rsid w:val="EB925FAE"/>
    <w:rsid w:val="EBDF9B16"/>
    <w:rsid w:val="EBF7AAEC"/>
    <w:rsid w:val="EBF904F6"/>
    <w:rsid w:val="EBFFA458"/>
    <w:rsid w:val="EC7F5C68"/>
    <w:rsid w:val="ECBF7319"/>
    <w:rsid w:val="ECDD9CA8"/>
    <w:rsid w:val="ECFEE114"/>
    <w:rsid w:val="ECFF7A27"/>
    <w:rsid w:val="ED575C51"/>
    <w:rsid w:val="ED6DF411"/>
    <w:rsid w:val="ED7221F7"/>
    <w:rsid w:val="EDAE7EC1"/>
    <w:rsid w:val="EDEFBB1B"/>
    <w:rsid w:val="EDF938D6"/>
    <w:rsid w:val="EDFEE8AD"/>
    <w:rsid w:val="EDFF8F8A"/>
    <w:rsid w:val="EDFF9A61"/>
    <w:rsid w:val="EE1E6DBC"/>
    <w:rsid w:val="EE5F5E0D"/>
    <w:rsid w:val="EE9DB6D3"/>
    <w:rsid w:val="EEAF492E"/>
    <w:rsid w:val="EEBB2CA8"/>
    <w:rsid w:val="EEBE1DDA"/>
    <w:rsid w:val="EEBE8024"/>
    <w:rsid w:val="EEBFDD14"/>
    <w:rsid w:val="EEC76750"/>
    <w:rsid w:val="EEDC7A61"/>
    <w:rsid w:val="EEDF86A5"/>
    <w:rsid w:val="EEE43598"/>
    <w:rsid w:val="EEEB8B7D"/>
    <w:rsid w:val="EEF4B1D4"/>
    <w:rsid w:val="EEFAF4F7"/>
    <w:rsid w:val="EEFD7DAD"/>
    <w:rsid w:val="EEFF5C7B"/>
    <w:rsid w:val="EEFFDF15"/>
    <w:rsid w:val="EF55BE78"/>
    <w:rsid w:val="EF592AEF"/>
    <w:rsid w:val="EF66EF59"/>
    <w:rsid w:val="EF6FC11D"/>
    <w:rsid w:val="EF73911B"/>
    <w:rsid w:val="EF73C788"/>
    <w:rsid w:val="EF773918"/>
    <w:rsid w:val="EFA73A71"/>
    <w:rsid w:val="EFAB8F57"/>
    <w:rsid w:val="EFB465E2"/>
    <w:rsid w:val="EFBD88DB"/>
    <w:rsid w:val="EFBE3FD4"/>
    <w:rsid w:val="EFBF5442"/>
    <w:rsid w:val="EFBFF7DF"/>
    <w:rsid w:val="EFC1ADD6"/>
    <w:rsid w:val="EFC3F564"/>
    <w:rsid w:val="EFC75628"/>
    <w:rsid w:val="EFCF21F5"/>
    <w:rsid w:val="EFDE089A"/>
    <w:rsid w:val="EFDFC4D2"/>
    <w:rsid w:val="EFE30899"/>
    <w:rsid w:val="EFE9A2DD"/>
    <w:rsid w:val="EFEC2D30"/>
    <w:rsid w:val="EFEF83FD"/>
    <w:rsid w:val="EFF53CA2"/>
    <w:rsid w:val="EFF6FB08"/>
    <w:rsid w:val="EFF7480E"/>
    <w:rsid w:val="EFF7C8DF"/>
    <w:rsid w:val="EFF7E003"/>
    <w:rsid w:val="EFFB4BB7"/>
    <w:rsid w:val="EFFC3606"/>
    <w:rsid w:val="EFFC8323"/>
    <w:rsid w:val="EFFEAB69"/>
    <w:rsid w:val="EFFEC7D2"/>
    <w:rsid w:val="EFFEF9F7"/>
    <w:rsid w:val="EFFF91B0"/>
    <w:rsid w:val="EFFFF707"/>
    <w:rsid w:val="F09B0809"/>
    <w:rsid w:val="F0FE4ACD"/>
    <w:rsid w:val="F0FF51D5"/>
    <w:rsid w:val="F1AD309A"/>
    <w:rsid w:val="F1F7D83A"/>
    <w:rsid w:val="F1F9D796"/>
    <w:rsid w:val="F2B7A4C9"/>
    <w:rsid w:val="F2B83B71"/>
    <w:rsid w:val="F2BE5170"/>
    <w:rsid w:val="F2DA683E"/>
    <w:rsid w:val="F2FE694A"/>
    <w:rsid w:val="F2FF00E4"/>
    <w:rsid w:val="F3361477"/>
    <w:rsid w:val="F369EF61"/>
    <w:rsid w:val="F36F7FDE"/>
    <w:rsid w:val="F39B4128"/>
    <w:rsid w:val="F39F0180"/>
    <w:rsid w:val="F3B9A02C"/>
    <w:rsid w:val="F3BD0BF0"/>
    <w:rsid w:val="F3DFDA76"/>
    <w:rsid w:val="F3EF0A75"/>
    <w:rsid w:val="F3EF6C76"/>
    <w:rsid w:val="F3EF98D4"/>
    <w:rsid w:val="F3EFA08D"/>
    <w:rsid w:val="F3F55970"/>
    <w:rsid w:val="F3F6E704"/>
    <w:rsid w:val="F3FE9176"/>
    <w:rsid w:val="F46B5E4F"/>
    <w:rsid w:val="F4FDEA5E"/>
    <w:rsid w:val="F4FFCE01"/>
    <w:rsid w:val="F53601CB"/>
    <w:rsid w:val="F53FDD22"/>
    <w:rsid w:val="F54A7456"/>
    <w:rsid w:val="F567B346"/>
    <w:rsid w:val="F57B4DB9"/>
    <w:rsid w:val="F5A75E5B"/>
    <w:rsid w:val="F5B77E31"/>
    <w:rsid w:val="F5C554F2"/>
    <w:rsid w:val="F5EED3F5"/>
    <w:rsid w:val="F5EF8556"/>
    <w:rsid w:val="F5EFE132"/>
    <w:rsid w:val="F5F74D76"/>
    <w:rsid w:val="F5FD5723"/>
    <w:rsid w:val="F5FD98A3"/>
    <w:rsid w:val="F5FDC89D"/>
    <w:rsid w:val="F5FF3DA0"/>
    <w:rsid w:val="F66D245E"/>
    <w:rsid w:val="F66D9DF3"/>
    <w:rsid w:val="F6775FF4"/>
    <w:rsid w:val="F677AB59"/>
    <w:rsid w:val="F67FD0E1"/>
    <w:rsid w:val="F69FF62E"/>
    <w:rsid w:val="F6BBE326"/>
    <w:rsid w:val="F6BF6AE8"/>
    <w:rsid w:val="F6C7A431"/>
    <w:rsid w:val="F6CD6C28"/>
    <w:rsid w:val="F6E72522"/>
    <w:rsid w:val="F6EBFBA7"/>
    <w:rsid w:val="F6F642A5"/>
    <w:rsid w:val="F6F6D5D5"/>
    <w:rsid w:val="F6F74659"/>
    <w:rsid w:val="F6F79405"/>
    <w:rsid w:val="F6F7ED14"/>
    <w:rsid w:val="F6FAB79D"/>
    <w:rsid w:val="F6FB552C"/>
    <w:rsid w:val="F6FBBE0F"/>
    <w:rsid w:val="F6FC7C51"/>
    <w:rsid w:val="F6FD150F"/>
    <w:rsid w:val="F6FDD39B"/>
    <w:rsid w:val="F6FF30BF"/>
    <w:rsid w:val="F71FB46B"/>
    <w:rsid w:val="F737B798"/>
    <w:rsid w:val="F767BE78"/>
    <w:rsid w:val="F76FFF79"/>
    <w:rsid w:val="F7793B01"/>
    <w:rsid w:val="F77DA190"/>
    <w:rsid w:val="F7974C57"/>
    <w:rsid w:val="F79F1B04"/>
    <w:rsid w:val="F79F6395"/>
    <w:rsid w:val="F7B0B429"/>
    <w:rsid w:val="F7B3B600"/>
    <w:rsid w:val="F7BA7EF8"/>
    <w:rsid w:val="F7BB12C2"/>
    <w:rsid w:val="F7BBECBA"/>
    <w:rsid w:val="F7BF5876"/>
    <w:rsid w:val="F7D37336"/>
    <w:rsid w:val="F7D451B3"/>
    <w:rsid w:val="F7DE311B"/>
    <w:rsid w:val="F7DF9C97"/>
    <w:rsid w:val="F7EB60D3"/>
    <w:rsid w:val="F7EE6BDD"/>
    <w:rsid w:val="F7EF1860"/>
    <w:rsid w:val="F7F50C65"/>
    <w:rsid w:val="F7F6B6C2"/>
    <w:rsid w:val="F7F718CB"/>
    <w:rsid w:val="F7F7265C"/>
    <w:rsid w:val="F7F763BB"/>
    <w:rsid w:val="F7F83A8B"/>
    <w:rsid w:val="F7F98DB1"/>
    <w:rsid w:val="F7FAECBB"/>
    <w:rsid w:val="F7FBD447"/>
    <w:rsid w:val="F7FBF580"/>
    <w:rsid w:val="F7FEC628"/>
    <w:rsid w:val="F7FF3422"/>
    <w:rsid w:val="F7FF4C24"/>
    <w:rsid w:val="F7FFECA6"/>
    <w:rsid w:val="F7FFEFA7"/>
    <w:rsid w:val="F7FFF637"/>
    <w:rsid w:val="F82FC5ED"/>
    <w:rsid w:val="F83D4DD0"/>
    <w:rsid w:val="F8FE91EB"/>
    <w:rsid w:val="F8FFFBAB"/>
    <w:rsid w:val="F96D8739"/>
    <w:rsid w:val="F96F15A8"/>
    <w:rsid w:val="F99FEA37"/>
    <w:rsid w:val="F9A436CD"/>
    <w:rsid w:val="F9BF0260"/>
    <w:rsid w:val="F9DB60A5"/>
    <w:rsid w:val="F9DB743A"/>
    <w:rsid w:val="F9DF3329"/>
    <w:rsid w:val="F9E324D6"/>
    <w:rsid w:val="F9E47A10"/>
    <w:rsid w:val="F9EB1C16"/>
    <w:rsid w:val="F9EEFC44"/>
    <w:rsid w:val="F9F310D3"/>
    <w:rsid w:val="F9FAA666"/>
    <w:rsid w:val="F9FDE0C2"/>
    <w:rsid w:val="F9FFF5D3"/>
    <w:rsid w:val="F9FFFCD0"/>
    <w:rsid w:val="FA5D5FD6"/>
    <w:rsid w:val="FA7F7BD1"/>
    <w:rsid w:val="FADE96F0"/>
    <w:rsid w:val="FADF01A8"/>
    <w:rsid w:val="FADFCA56"/>
    <w:rsid w:val="FAEE26F1"/>
    <w:rsid w:val="FAF35879"/>
    <w:rsid w:val="FAF75EC4"/>
    <w:rsid w:val="FAFDC41E"/>
    <w:rsid w:val="FAFE8BA7"/>
    <w:rsid w:val="FAFE90B1"/>
    <w:rsid w:val="FAFEAFAE"/>
    <w:rsid w:val="FAFEF52D"/>
    <w:rsid w:val="FAFF7A6D"/>
    <w:rsid w:val="FAFF8999"/>
    <w:rsid w:val="FB0DF807"/>
    <w:rsid w:val="FB2E099E"/>
    <w:rsid w:val="FB35A866"/>
    <w:rsid w:val="FB5EDE41"/>
    <w:rsid w:val="FB6AF6A0"/>
    <w:rsid w:val="FB6FE66F"/>
    <w:rsid w:val="FB7322C5"/>
    <w:rsid w:val="FB774DF7"/>
    <w:rsid w:val="FB7F03DE"/>
    <w:rsid w:val="FB7FA8BC"/>
    <w:rsid w:val="FB9FE56F"/>
    <w:rsid w:val="FB9FE687"/>
    <w:rsid w:val="FBAE9AC0"/>
    <w:rsid w:val="FBB48FA5"/>
    <w:rsid w:val="FBB6BCDF"/>
    <w:rsid w:val="FBB7BAFE"/>
    <w:rsid w:val="FBBB1AD4"/>
    <w:rsid w:val="FBBC42D9"/>
    <w:rsid w:val="FBCD54E5"/>
    <w:rsid w:val="FBCE1BBB"/>
    <w:rsid w:val="FBCEC14A"/>
    <w:rsid w:val="FBD6553A"/>
    <w:rsid w:val="FBD7A787"/>
    <w:rsid w:val="FBDD610E"/>
    <w:rsid w:val="FBDD8AD5"/>
    <w:rsid w:val="FBE04DAA"/>
    <w:rsid w:val="FBE19BA2"/>
    <w:rsid w:val="FBECE4C6"/>
    <w:rsid w:val="FBEF9B3D"/>
    <w:rsid w:val="FBF351DA"/>
    <w:rsid w:val="FBF79319"/>
    <w:rsid w:val="FBF9B02F"/>
    <w:rsid w:val="FBFB1DCD"/>
    <w:rsid w:val="FBFCF131"/>
    <w:rsid w:val="FBFD5856"/>
    <w:rsid w:val="FBFE9427"/>
    <w:rsid w:val="FBFF1744"/>
    <w:rsid w:val="FBFF31AD"/>
    <w:rsid w:val="FBFF40A4"/>
    <w:rsid w:val="FBFF5C26"/>
    <w:rsid w:val="FBFF7BAD"/>
    <w:rsid w:val="FBFF9CC3"/>
    <w:rsid w:val="FBFFAFCC"/>
    <w:rsid w:val="FC3DB539"/>
    <w:rsid w:val="FC5D6DE7"/>
    <w:rsid w:val="FC7C6DC6"/>
    <w:rsid w:val="FCBE9EF0"/>
    <w:rsid w:val="FCBFA2F5"/>
    <w:rsid w:val="FCBFB117"/>
    <w:rsid w:val="FCE49A5F"/>
    <w:rsid w:val="FCF78FC9"/>
    <w:rsid w:val="FCF795EC"/>
    <w:rsid w:val="FCFFEA10"/>
    <w:rsid w:val="FD3E1736"/>
    <w:rsid w:val="FD3F6A93"/>
    <w:rsid w:val="FD4E82A7"/>
    <w:rsid w:val="FD5751DA"/>
    <w:rsid w:val="FD57EFAA"/>
    <w:rsid w:val="FD5D4D16"/>
    <w:rsid w:val="FD6D2698"/>
    <w:rsid w:val="FD6E63CE"/>
    <w:rsid w:val="FD7301BB"/>
    <w:rsid w:val="FD7F2ACF"/>
    <w:rsid w:val="FD7FE885"/>
    <w:rsid w:val="FD878807"/>
    <w:rsid w:val="FD9F698E"/>
    <w:rsid w:val="FD9FF108"/>
    <w:rsid w:val="FDB732CA"/>
    <w:rsid w:val="FDB74161"/>
    <w:rsid w:val="FDBF2E46"/>
    <w:rsid w:val="FDBF8309"/>
    <w:rsid w:val="FDBFCC53"/>
    <w:rsid w:val="FDC70EA3"/>
    <w:rsid w:val="FDCDD1C5"/>
    <w:rsid w:val="FDD7D97D"/>
    <w:rsid w:val="FDDA66CF"/>
    <w:rsid w:val="FDE54B5C"/>
    <w:rsid w:val="FDEB070F"/>
    <w:rsid w:val="FDF23021"/>
    <w:rsid w:val="FDF332A9"/>
    <w:rsid w:val="FDF51D51"/>
    <w:rsid w:val="FDF69BD9"/>
    <w:rsid w:val="FDF75002"/>
    <w:rsid w:val="FDF9087E"/>
    <w:rsid w:val="FDF91FD1"/>
    <w:rsid w:val="FDFA2F56"/>
    <w:rsid w:val="FDFB5BC7"/>
    <w:rsid w:val="FDFB9D6E"/>
    <w:rsid w:val="FDFBAD06"/>
    <w:rsid w:val="FDFBBD96"/>
    <w:rsid w:val="FDFBEF00"/>
    <w:rsid w:val="FDFD040F"/>
    <w:rsid w:val="FDFD7BBD"/>
    <w:rsid w:val="FDFE6B0F"/>
    <w:rsid w:val="FDFEE772"/>
    <w:rsid w:val="FDFF36FB"/>
    <w:rsid w:val="FDFF3847"/>
    <w:rsid w:val="FDFF5022"/>
    <w:rsid w:val="FDFF5E63"/>
    <w:rsid w:val="FDFF8743"/>
    <w:rsid w:val="FDFF9F51"/>
    <w:rsid w:val="FE140FE2"/>
    <w:rsid w:val="FE2F8B27"/>
    <w:rsid w:val="FE3E5D84"/>
    <w:rsid w:val="FE3F0058"/>
    <w:rsid w:val="FE3FB060"/>
    <w:rsid w:val="FE6FF23D"/>
    <w:rsid w:val="FE79BFF6"/>
    <w:rsid w:val="FE7B533D"/>
    <w:rsid w:val="FE7B7BFE"/>
    <w:rsid w:val="FE7D1AD0"/>
    <w:rsid w:val="FE7D768B"/>
    <w:rsid w:val="FE7F8FC1"/>
    <w:rsid w:val="FE9311B9"/>
    <w:rsid w:val="FEAE7211"/>
    <w:rsid w:val="FEAEF9B9"/>
    <w:rsid w:val="FEB9A464"/>
    <w:rsid w:val="FEBBE3B5"/>
    <w:rsid w:val="FEBF7DA0"/>
    <w:rsid w:val="FEC71653"/>
    <w:rsid w:val="FEC74045"/>
    <w:rsid w:val="FECDF652"/>
    <w:rsid w:val="FED6FD0F"/>
    <w:rsid w:val="FED73EE6"/>
    <w:rsid w:val="FED7698D"/>
    <w:rsid w:val="FEDA924C"/>
    <w:rsid w:val="FEDAAEF7"/>
    <w:rsid w:val="FEDAD813"/>
    <w:rsid w:val="FEDB4A1D"/>
    <w:rsid w:val="FEDDC9FC"/>
    <w:rsid w:val="FEE7A02B"/>
    <w:rsid w:val="FEE7A236"/>
    <w:rsid w:val="FEE7E780"/>
    <w:rsid w:val="FEEA06F1"/>
    <w:rsid w:val="FEEF3BD7"/>
    <w:rsid w:val="FEEFE47D"/>
    <w:rsid w:val="FEF7CEAD"/>
    <w:rsid w:val="FEFBC132"/>
    <w:rsid w:val="FEFC929E"/>
    <w:rsid w:val="FEFCEED8"/>
    <w:rsid w:val="FEFE21DE"/>
    <w:rsid w:val="FEFF636A"/>
    <w:rsid w:val="FEFF6C4C"/>
    <w:rsid w:val="FEFF98C2"/>
    <w:rsid w:val="FEFFB3CB"/>
    <w:rsid w:val="FEFFD655"/>
    <w:rsid w:val="FF09C09D"/>
    <w:rsid w:val="FF0E8C19"/>
    <w:rsid w:val="FF1D808D"/>
    <w:rsid w:val="FF227A59"/>
    <w:rsid w:val="FF3A8609"/>
    <w:rsid w:val="FF3E6259"/>
    <w:rsid w:val="FF3EF106"/>
    <w:rsid w:val="FF3FB4CC"/>
    <w:rsid w:val="FF3FC36F"/>
    <w:rsid w:val="FF4FEE3C"/>
    <w:rsid w:val="FF56CA04"/>
    <w:rsid w:val="FF588570"/>
    <w:rsid w:val="FF5B8B18"/>
    <w:rsid w:val="FF5D746D"/>
    <w:rsid w:val="FF5F588D"/>
    <w:rsid w:val="FF5F6EFA"/>
    <w:rsid w:val="FF5F9B41"/>
    <w:rsid w:val="FF6F2231"/>
    <w:rsid w:val="FF6F46B6"/>
    <w:rsid w:val="FF6FD290"/>
    <w:rsid w:val="FF73B029"/>
    <w:rsid w:val="FF76DC9D"/>
    <w:rsid w:val="FF76DCE7"/>
    <w:rsid w:val="FF771D5D"/>
    <w:rsid w:val="FF7A4293"/>
    <w:rsid w:val="FF7A89AF"/>
    <w:rsid w:val="FF7BC5F9"/>
    <w:rsid w:val="FF7BFC92"/>
    <w:rsid w:val="FF7CB03E"/>
    <w:rsid w:val="FF7DF62B"/>
    <w:rsid w:val="FF7E1F70"/>
    <w:rsid w:val="FF7E71F2"/>
    <w:rsid w:val="FF7F29BA"/>
    <w:rsid w:val="FF7F9447"/>
    <w:rsid w:val="FF7F9E5F"/>
    <w:rsid w:val="FF7FAB15"/>
    <w:rsid w:val="FF7FBAB5"/>
    <w:rsid w:val="FF7FEA91"/>
    <w:rsid w:val="FF9A5ADE"/>
    <w:rsid w:val="FF9D644B"/>
    <w:rsid w:val="FF9E8DA6"/>
    <w:rsid w:val="FF9F4219"/>
    <w:rsid w:val="FF9F76C3"/>
    <w:rsid w:val="FFA78B90"/>
    <w:rsid w:val="FFAF0A6B"/>
    <w:rsid w:val="FFAF88A8"/>
    <w:rsid w:val="FFB4EAFE"/>
    <w:rsid w:val="FFB5B287"/>
    <w:rsid w:val="FFB62189"/>
    <w:rsid w:val="FFB69BD1"/>
    <w:rsid w:val="FFB7BC89"/>
    <w:rsid w:val="FFBB91C2"/>
    <w:rsid w:val="FFBB9BEC"/>
    <w:rsid w:val="FFBBEA6C"/>
    <w:rsid w:val="FFBD7D2B"/>
    <w:rsid w:val="FFBD9FFE"/>
    <w:rsid w:val="FFBED2C5"/>
    <w:rsid w:val="FFBF1131"/>
    <w:rsid w:val="FFBF5FE2"/>
    <w:rsid w:val="FFBFD3B4"/>
    <w:rsid w:val="FFC66E12"/>
    <w:rsid w:val="FFCB397F"/>
    <w:rsid w:val="FFCD67B5"/>
    <w:rsid w:val="FFD209AE"/>
    <w:rsid w:val="FFD73ED3"/>
    <w:rsid w:val="FFD9818B"/>
    <w:rsid w:val="FFDA4A68"/>
    <w:rsid w:val="FFDEA256"/>
    <w:rsid w:val="FFDEDBBD"/>
    <w:rsid w:val="FFDF0B30"/>
    <w:rsid w:val="FFDF1D31"/>
    <w:rsid w:val="FFDF24FE"/>
    <w:rsid w:val="FFDF7475"/>
    <w:rsid w:val="FFDF8BA7"/>
    <w:rsid w:val="FFDFA987"/>
    <w:rsid w:val="FFDFB573"/>
    <w:rsid w:val="FFE19586"/>
    <w:rsid w:val="FFE508C1"/>
    <w:rsid w:val="FFE81071"/>
    <w:rsid w:val="FFEA7778"/>
    <w:rsid w:val="FFEBBB80"/>
    <w:rsid w:val="FFED564D"/>
    <w:rsid w:val="FFEF2670"/>
    <w:rsid w:val="FFEF51DE"/>
    <w:rsid w:val="FFEF71CB"/>
    <w:rsid w:val="FFF3C4AE"/>
    <w:rsid w:val="FFF42181"/>
    <w:rsid w:val="FFF4C9BC"/>
    <w:rsid w:val="FFF5D917"/>
    <w:rsid w:val="FFF5F078"/>
    <w:rsid w:val="FFF71B94"/>
    <w:rsid w:val="FFF71EDA"/>
    <w:rsid w:val="FFF7331A"/>
    <w:rsid w:val="FFF7591A"/>
    <w:rsid w:val="FFF765C3"/>
    <w:rsid w:val="FFF7740C"/>
    <w:rsid w:val="FFF788C0"/>
    <w:rsid w:val="FFF790DE"/>
    <w:rsid w:val="FFF79ECE"/>
    <w:rsid w:val="FFF7E955"/>
    <w:rsid w:val="FFF964B1"/>
    <w:rsid w:val="FFFB1826"/>
    <w:rsid w:val="FFFB2B22"/>
    <w:rsid w:val="FFFBA1C2"/>
    <w:rsid w:val="FFFBA40F"/>
    <w:rsid w:val="FFFBA5BB"/>
    <w:rsid w:val="FFFBA8F7"/>
    <w:rsid w:val="FFFBDB10"/>
    <w:rsid w:val="FFFC8334"/>
    <w:rsid w:val="FFFD0EB0"/>
    <w:rsid w:val="FFFD2DDE"/>
    <w:rsid w:val="FFFD2FE2"/>
    <w:rsid w:val="FFFD36AA"/>
    <w:rsid w:val="FFFD518F"/>
    <w:rsid w:val="FFFD555B"/>
    <w:rsid w:val="FFFD8232"/>
    <w:rsid w:val="FFFEB31B"/>
    <w:rsid w:val="FFFEBE7C"/>
    <w:rsid w:val="FFFF2821"/>
    <w:rsid w:val="FFFF483E"/>
    <w:rsid w:val="FFFF760A"/>
    <w:rsid w:val="FFFF81D8"/>
    <w:rsid w:val="FFFF9E1E"/>
    <w:rsid w:val="FFFFA300"/>
    <w:rsid w:val="FFFFB9AC"/>
    <w:rsid w:val="FFFFE00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jc w:val="both"/>
    </w:pPr>
    <w:rPr>
      <w:rFonts w:ascii="Times New Roman" w:hAnsi="Times New Roman" w:eastAsiaTheme="minorEastAsia" w:cstheme="minorBidi"/>
      <w:sz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4132</Words>
  <Characters>23174</Characters>
  <Lines>0</Lines>
  <Paragraphs>0</Paragraphs>
  <TotalTime>28</TotalTime>
  <ScaleCrop>false</ScaleCrop>
  <LinksUpToDate>false</LinksUpToDate>
  <CharactersWithSpaces>27232</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2023-12-05T20:39:00Z</dcterms:created>
  <dc:creator>Chloe</dc:creator>
  <cp:lastModifiedBy>Chloe</cp:lastModifiedBy>
  <dcterms:modified xsi:type="dcterms:W3CDTF">2023-12-07T23:53:56Z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1033-5.4.0.7913</vt:lpwstr>
  </property>
  <property fmtid="{D5CDD505-2E9C-101B-9397-08002B2CF9AE}" pid="3" name="ICV">
    <vt:lpwstr>3DA3E16D16924E63E4DB7065AAF10F88_41</vt:lpwstr>
  </property>
</Properties>
</file>