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8D28" w14:textId="77777777" w:rsidR="000679F7" w:rsidRPr="000679F7" w:rsidRDefault="000679F7" w:rsidP="000679F7">
      <w:pPr>
        <w:widowControl/>
        <w:shd w:val="clear" w:color="auto" w:fill="E9ECE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0679F7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Basic Information:</w:t>
      </w:r>
    </w:p>
    <w:p w14:paraId="1A7AF0B4" w14:textId="77777777" w:rsidR="000679F7" w:rsidRPr="000679F7" w:rsidRDefault="000679F7" w:rsidP="000679F7">
      <w:pPr>
        <w:widowControl/>
        <w:numPr>
          <w:ilvl w:val="0"/>
          <w:numId w:val="1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Title: Deep High-Resolution Representation Learning for Visual Recognition (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深度高分辨率表示学习用于视觉识别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14:paraId="7970F391" w14:textId="77777777" w:rsidR="000679F7" w:rsidRPr="000679F7" w:rsidRDefault="000679F7" w:rsidP="000679F7">
      <w:pPr>
        <w:widowControl/>
        <w:numPr>
          <w:ilvl w:val="0"/>
          <w:numId w:val="1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Authors: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Jingdong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Wang,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Ke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Sun,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Tianheng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Cheng,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Borui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Jiang,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Chaorui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Deng, Yang Zhao, Dong Liu,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Yadong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Mu,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Mingkui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Tan,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Xinggang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Wang, Wenyu Liu, and Bin Xiao</w:t>
      </w:r>
    </w:p>
    <w:p w14:paraId="7D3D06A2" w14:textId="77777777" w:rsidR="000679F7" w:rsidRPr="000679F7" w:rsidRDefault="000679F7" w:rsidP="000679F7">
      <w:pPr>
        <w:widowControl/>
        <w:numPr>
          <w:ilvl w:val="0"/>
          <w:numId w:val="1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Affiliation: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Jingdong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 Wang is with Microsoft Research, Beijing, P.R. China.</w:t>
      </w:r>
    </w:p>
    <w:p w14:paraId="29346E50" w14:textId="77777777" w:rsidR="000679F7" w:rsidRPr="000679F7" w:rsidRDefault="000679F7" w:rsidP="000679F7">
      <w:pPr>
        <w:widowControl/>
        <w:numPr>
          <w:ilvl w:val="0"/>
          <w:numId w:val="1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Keywords: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, high-resolution representations, low-resolution representations, human pose estimation, semantic segmentation, object detection</w:t>
      </w:r>
    </w:p>
    <w:p w14:paraId="5B78B778" w14:textId="77777777" w:rsidR="000679F7" w:rsidRPr="000679F7" w:rsidRDefault="000679F7" w:rsidP="000679F7">
      <w:pPr>
        <w:widowControl/>
        <w:numPr>
          <w:ilvl w:val="0"/>
          <w:numId w:val="1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URLs: </w:t>
      </w:r>
      <w:hyperlink r:id="rId5" w:history="1">
        <w:r w:rsidRPr="000679F7">
          <w:rPr>
            <w:rFonts w:ascii="Segoe UI" w:eastAsia="宋体" w:hAnsi="Segoe UI" w:cs="Segoe UI"/>
            <w:color w:val="1677FF"/>
            <w:kern w:val="0"/>
            <w:szCs w:val="21"/>
            <w:u w:val="single"/>
          </w:rPr>
          <w:t>Paper</w:t>
        </w:r>
      </w:hyperlink>
      <w:r w:rsidRPr="000679F7">
        <w:rPr>
          <w:rFonts w:ascii="Segoe UI" w:eastAsia="宋体" w:hAnsi="Segoe UI" w:cs="Segoe UI"/>
          <w:color w:val="000000"/>
          <w:kern w:val="0"/>
          <w:szCs w:val="21"/>
        </w:rPr>
        <w:t>, </w:t>
      </w:r>
      <w:hyperlink r:id="rId6" w:history="1">
        <w:r w:rsidRPr="000679F7">
          <w:rPr>
            <w:rFonts w:ascii="Segoe UI" w:eastAsia="宋体" w:hAnsi="Segoe UI" w:cs="Segoe UI"/>
            <w:color w:val="1677FF"/>
            <w:kern w:val="0"/>
            <w:szCs w:val="21"/>
            <w:u w:val="single"/>
          </w:rPr>
          <w:t>GitHub</w:t>
        </w:r>
      </w:hyperlink>
    </w:p>
    <w:p w14:paraId="41237094" w14:textId="77777777" w:rsidR="000679F7" w:rsidRPr="000679F7" w:rsidRDefault="000679F7" w:rsidP="000679F7">
      <w:pPr>
        <w:widowControl/>
        <w:shd w:val="clear" w:color="auto" w:fill="E9ECE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0679F7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方法</w:t>
      </w:r>
      <w:r w:rsidRPr="000679F7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:</w:t>
      </w:r>
    </w:p>
    <w:p w14:paraId="07A2AC85" w14:textId="77777777" w:rsidR="000679F7" w:rsidRPr="000679F7" w:rsidRDefault="000679F7" w:rsidP="000679F7">
      <w:pPr>
        <w:widowControl/>
        <w:numPr>
          <w:ilvl w:val="0"/>
          <w:numId w:val="2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a. 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理论背景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06C11A20" w14:textId="77777777" w:rsidR="000679F7" w:rsidRPr="000679F7" w:rsidRDefault="000679F7" w:rsidP="000679F7">
      <w:pPr>
        <w:widowControl/>
        <w:numPr>
          <w:ilvl w:val="1"/>
          <w:numId w:val="2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本文提出了一种名为高分辨率网络（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）的新型视觉识别架构，旨在通过在并行连接高分辨率到低分辨率卷积流，并在不同分辨率之间重复交换信息，以保持高分辨率表示，而不是从低分辨率表示中恢复。这种方法旨在确保语义丰富性和空间表示的精确性。</w:t>
      </w:r>
    </w:p>
    <w:p w14:paraId="3913ECC1" w14:textId="77777777" w:rsidR="000679F7" w:rsidRPr="000679F7" w:rsidRDefault="000679F7" w:rsidP="000679F7">
      <w:pPr>
        <w:widowControl/>
        <w:numPr>
          <w:ilvl w:val="0"/>
          <w:numId w:val="2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b. 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技术路线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4C6E8B9E" w14:textId="77777777" w:rsidR="000679F7" w:rsidRPr="000679F7" w:rsidRDefault="000679F7" w:rsidP="000679F7">
      <w:pPr>
        <w:widowControl/>
        <w:numPr>
          <w:ilvl w:val="1"/>
          <w:numId w:val="2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HRNetV1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HRNetV2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是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的两个版本，其中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HRNetV2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将所有高分辨率表示从高到低分辨率并行流中合并，两者在人体姿势估计和语义分割任务中都表现出优越性能。</w:t>
      </w:r>
    </w:p>
    <w:p w14:paraId="47EF0EA1" w14:textId="77777777" w:rsidR="000679F7" w:rsidRPr="000679F7" w:rsidRDefault="000679F7" w:rsidP="000679F7">
      <w:pPr>
        <w:widowControl/>
        <w:numPr>
          <w:ilvl w:val="1"/>
          <w:numId w:val="2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此外，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HRNetV2p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是从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HRNetV2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输出构建的多级表示，用于最先进的检测和实例分割框架，实现了更好的检测性能和对小物体的改进。</w:t>
      </w:r>
    </w:p>
    <w:p w14:paraId="39111559" w14:textId="77777777" w:rsidR="000679F7" w:rsidRPr="000679F7" w:rsidRDefault="000679F7" w:rsidP="000679F7">
      <w:pPr>
        <w:widowControl/>
        <w:numPr>
          <w:ilvl w:val="1"/>
          <w:numId w:val="2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文章还回顾了现有的低分辨率表示学习、高分辨率表示恢复和高分辨率表示维持的技术，重点关注与人体姿势估计、语义分割和目标检测相关的工作。</w:t>
      </w:r>
    </w:p>
    <w:p w14:paraId="5F6CCF85" w14:textId="77777777" w:rsidR="000679F7" w:rsidRPr="000679F7" w:rsidRDefault="000679F7" w:rsidP="000679F7">
      <w:pPr>
        <w:widowControl/>
        <w:shd w:val="clear" w:color="auto" w:fill="E9ECE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0679F7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结果</w:t>
      </w:r>
      <w:r w:rsidRPr="000679F7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:</w:t>
      </w:r>
    </w:p>
    <w:p w14:paraId="6C621980" w14:textId="77777777" w:rsidR="000679F7" w:rsidRPr="000679F7" w:rsidRDefault="000679F7" w:rsidP="000679F7">
      <w:pPr>
        <w:widowControl/>
        <w:numPr>
          <w:ilvl w:val="0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a. 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详细的实验设置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0A792AD4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文章讨论了现有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CNN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在图像分割任务中的局限性，并提出了一种名为高分辨率网络（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HRNets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）的新方法，该方法通过并行</w:t>
      </w:r>
      <w:proofErr w:type="gram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连接高</w:t>
      </w:r>
      <w:proofErr w:type="gramEnd"/>
      <w:r w:rsidRPr="000679F7">
        <w:rPr>
          <w:rFonts w:ascii="Segoe UI" w:eastAsia="宋体" w:hAnsi="Segoe UI" w:cs="Segoe UI"/>
          <w:color w:val="000000"/>
          <w:kern w:val="0"/>
          <w:szCs w:val="21"/>
        </w:rPr>
        <w:t>到低分辨率卷积流来保持高分辨率表示。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HRNets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还通过重复融合多分辨率表示来生成可靠的、具有强位置敏感性的高分辨率表示。</w:t>
      </w:r>
    </w:p>
    <w:p w14:paraId="656CCD12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lastRenderedPageBreak/>
        <w:t>HRNets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的主体由几个组件组成，包括并行多分辨率卷积、重复多分辨率融合和表示头。文章还描述了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HRNets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的实例化，并将模块化</w:t>
      </w:r>
      <w:proofErr w:type="gram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块分析</w:t>
      </w:r>
      <w:proofErr w:type="gramEnd"/>
      <w:r w:rsidRPr="000679F7">
        <w:rPr>
          <w:rFonts w:ascii="Segoe UI" w:eastAsia="宋体" w:hAnsi="Segoe UI" w:cs="Segoe UI"/>
          <w:color w:val="000000"/>
          <w:kern w:val="0"/>
          <w:szCs w:val="21"/>
        </w:rPr>
        <w:t>为两个组件：多分辨率并行卷积和多分辨率融合。</w:t>
      </w:r>
    </w:p>
    <w:p w14:paraId="1A042560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最后，文章展示了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HRNets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在语义分割和目标检测等各种应用中相对于现有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CNN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的优越性。</w:t>
      </w:r>
    </w:p>
    <w:p w14:paraId="2C1A94B1" w14:textId="77777777" w:rsidR="000679F7" w:rsidRPr="000679F7" w:rsidRDefault="000679F7" w:rsidP="000679F7">
      <w:pPr>
        <w:widowControl/>
        <w:numPr>
          <w:ilvl w:val="0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b. 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详细的实验结果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12C7025A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文章提供了应用于不同图像数据集的几种目标检测模型的结果，这些模型使用不同的骨干网络、架构和训练方法。</w:t>
      </w:r>
    </w:p>
    <w:p w14:paraId="77B1E513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测试的模型包括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FCOS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（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mstrain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）、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Mask R-CNN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、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Cascade Mask R-CNN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Hybrid Task Cascade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，这些模型都是经典目标检测模型的变体，其中生成特征图并进行区域提议。</w:t>
      </w:r>
    </w:p>
    <w:p w14:paraId="7EADF472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每种方法都使用不同的骨干网络和训练方法进行测试，这会影响模型的性能。使用的骨干网络包括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R-50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（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c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）、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HRNetV2-W18/32/48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X-101-64x4d/32x4d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7287C501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使用不同大小的对象在图像中计算的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APb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（平均精度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-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基准）、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APm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（平均精度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-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中等）和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APm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（平均精度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-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大）等各种指标评估了不同模型的性能。</w:t>
      </w:r>
    </w:p>
    <w:p w14:paraId="5D9DA07C" w14:textId="77777777" w:rsidR="000679F7" w:rsidRPr="000679F7" w:rsidRDefault="000679F7" w:rsidP="000679F7">
      <w:pPr>
        <w:widowControl/>
        <w:numPr>
          <w:ilvl w:val="1"/>
          <w:numId w:val="3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679F7">
        <w:rPr>
          <w:rFonts w:ascii="Segoe UI" w:eastAsia="宋体" w:hAnsi="Segoe UI" w:cs="Segoe UI"/>
          <w:color w:val="000000"/>
          <w:kern w:val="0"/>
          <w:szCs w:val="21"/>
        </w:rPr>
        <w:t>结果表明，选择骨干网络在目标检测模型的性能中起着重要作用，使用更先进和复杂的骨干网络的模型通常表现更好。此外，增加训练轮数也对模型的性能有积极影响。</w:t>
      </w:r>
    </w:p>
    <w:p w14:paraId="0322AF42" w14:textId="77777777" w:rsidR="000679F7" w:rsidRPr="000679F7" w:rsidRDefault="000679F7" w:rsidP="000679F7">
      <w:pPr>
        <w:widowControl/>
        <w:shd w:val="clear" w:color="auto" w:fill="E9ECE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0679F7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Note:</w:t>
      </w:r>
    </w:p>
    <w:p w14:paraId="64AA3444" w14:textId="77777777" w:rsidR="000679F7" w:rsidRPr="000679F7" w:rsidRDefault="000679F7" w:rsidP="000679F7">
      <w:pPr>
        <w:widowControl/>
        <w:numPr>
          <w:ilvl w:val="0"/>
          <w:numId w:val="4"/>
        </w:numPr>
        <w:shd w:val="clear" w:color="auto" w:fill="E9ECE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本总结</w:t>
      </w:r>
      <w:proofErr w:type="gramEnd"/>
      <w:r w:rsidRPr="000679F7">
        <w:rPr>
          <w:rFonts w:ascii="Segoe UI" w:eastAsia="宋体" w:hAnsi="Segoe UI" w:cs="Segoe UI"/>
          <w:color w:val="000000"/>
          <w:kern w:val="0"/>
          <w:szCs w:val="21"/>
        </w:rPr>
        <w:t>源自于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LLM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>的总结，请注意数据判别</w:t>
      </w:r>
      <w:r w:rsidRPr="000679F7">
        <w:rPr>
          <w:rFonts w:ascii="Segoe UI" w:eastAsia="宋体" w:hAnsi="Segoe UI" w:cs="Segoe UI"/>
          <w:color w:val="000000"/>
          <w:kern w:val="0"/>
          <w:szCs w:val="21"/>
        </w:rPr>
        <w:t xml:space="preserve">. Power by </w:t>
      </w:r>
      <w:proofErr w:type="spellStart"/>
      <w:r w:rsidRPr="000679F7">
        <w:rPr>
          <w:rFonts w:ascii="Segoe UI" w:eastAsia="宋体" w:hAnsi="Segoe UI" w:cs="Segoe UI"/>
          <w:color w:val="000000"/>
          <w:kern w:val="0"/>
          <w:szCs w:val="21"/>
        </w:rPr>
        <w:t>ChatPaper</w:t>
      </w:r>
      <w:proofErr w:type="spellEnd"/>
      <w:r w:rsidRPr="000679F7">
        <w:rPr>
          <w:rFonts w:ascii="Segoe UI" w:eastAsia="宋体" w:hAnsi="Segoe UI" w:cs="Segoe UI"/>
          <w:color w:val="000000"/>
          <w:kern w:val="0"/>
          <w:szCs w:val="21"/>
        </w:rPr>
        <w:t>. End</w:t>
      </w:r>
    </w:p>
    <w:p w14:paraId="1AAC4B36" w14:textId="77777777" w:rsidR="00D81304" w:rsidRDefault="00D81304"/>
    <w:sectPr w:rsidR="00D8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89F"/>
    <w:multiLevelType w:val="multilevel"/>
    <w:tmpl w:val="9D0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42ABD"/>
    <w:multiLevelType w:val="multilevel"/>
    <w:tmpl w:val="B55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F6E41"/>
    <w:multiLevelType w:val="multilevel"/>
    <w:tmpl w:val="EF9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B62A5"/>
    <w:multiLevelType w:val="multilevel"/>
    <w:tmpl w:val="398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56"/>
    <w:rsid w:val="000679F7"/>
    <w:rsid w:val="00CD2456"/>
    <w:rsid w:val="00D8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9F2F8-D49C-4DE3-82D9-287762B0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7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9F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79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7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RNet/HRNet-Image-Classification" TargetMode="External"/><Relationship Id="rId5" Type="http://schemas.openxmlformats.org/officeDocument/2006/relationships/hyperlink" Target="https://ieeexplore.ieee.org/document/9092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2023-11-25T02:48:00Z</dcterms:created>
  <dcterms:modified xsi:type="dcterms:W3CDTF">2023-11-25T02:48:00Z</dcterms:modified>
</cp:coreProperties>
</file>