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0"/>
        <w:gridCol w:w="1665"/>
        <w:gridCol w:w="930"/>
        <w:gridCol w:w="915"/>
        <w:gridCol w:w="945"/>
        <w:gridCol w:w="1770"/>
        <w:gridCol w:w="1905"/>
        <w:tblGridChange w:id="0">
          <w:tblGrid>
            <w:gridCol w:w="1230"/>
            <w:gridCol w:w="1665"/>
            <w:gridCol w:w="930"/>
            <w:gridCol w:w="915"/>
            <w:gridCol w:w="945"/>
            <w:gridCol w:w="1770"/>
            <w:gridCol w:w="19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REQ?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SOURCE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RULE / CONSTRAINT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b001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EXAMPLE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Stable unique identifier for the tutoring appointment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Source: Coordinator/System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Unique; automatically generated when request is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REQ-2026-012345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Identifier of the student requesting tutoring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belong to an active enrolled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2268815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 contact email for request updates and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 valid university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tnthay@cougarnet.uh.edu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Course or subject requiring tutoring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 valid tutoring subject offered by the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MIS3371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topicDescription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Description of the topic or academic support needed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Cannot be empty; provides details of tutoring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Database normalization concepts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Preferred date for the tutoring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today or a future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2026-09-20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Preferred time for the tutoring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fall within available tutoring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15:00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Requested length of the tutoring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be an allowed duration (30/60 minutes)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30 minutes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Identifier of the tutor assigned to the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System/Coordinator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Assigned after approval based on subject qualification and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T2205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Current state of the tutoring appointment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Must match defined states: Submitted, Pending Review, Approved, Confirmed, Rejected, In Session, Completed,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Confirmed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request was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Automatically generated upon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2026-09-19 14:05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confirmedAt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tutoring appointment is officially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Set automatically when status changes to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2026-09-19 15:05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completedAt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 and time when the tutoring session is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System (audit)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Updated when tutor marks session as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2026-09-20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tutorNotes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Optional notes recorded by the tutor after the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Maximum length of 300 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272a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2a30"/>
                <w:rtl w:val="0"/>
              </w:rPr>
              <w:t xml:space="preserve">“Covered transition workflow diagrams” 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