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5B" w:rsidRPr="00587E5B" w:rsidRDefault="00587E5B" w:rsidP="00587E5B">
      <w:pPr>
        <w:ind w:left="7920"/>
        <w:rPr>
          <w:sz w:val="26"/>
          <w:szCs w:val="26"/>
        </w:rPr>
      </w:pPr>
      <w:r w:rsidRPr="00587E5B">
        <w:rPr>
          <w:sz w:val="26"/>
          <w:szCs w:val="26"/>
        </w:rPr>
        <w:t>Cihan Aydar</w:t>
      </w:r>
    </w:p>
    <w:p w:rsidR="000F2DD2" w:rsidRPr="000F2DD2" w:rsidRDefault="000F2DD2" w:rsidP="000F2DD2">
      <w:pPr>
        <w:rPr>
          <w:b/>
          <w:u w:val="single"/>
        </w:rPr>
      </w:pPr>
      <w:proofErr w:type="spellStart"/>
      <w:r w:rsidRPr="000F2DD2">
        <w:rPr>
          <w:b/>
          <w:u w:val="single"/>
        </w:rPr>
        <w:t>Assumptions</w:t>
      </w:r>
      <w:proofErr w:type="spellEnd"/>
      <w:r w:rsidRPr="000F2DD2">
        <w:rPr>
          <w:b/>
          <w:u w:val="single"/>
        </w:rPr>
        <w:t>:</w:t>
      </w:r>
    </w:p>
    <w:p w:rsidR="000F2DD2" w:rsidRDefault="000F2DD2" w:rsidP="000F2DD2">
      <w:pPr>
        <w:pStyle w:val="ListParagraph"/>
        <w:numPr>
          <w:ilvl w:val="0"/>
          <w:numId w:val="1"/>
        </w:numPr>
      </w:pPr>
      <w:proofErr w:type="spellStart"/>
      <w:r>
        <w:t>Infinitely</w:t>
      </w:r>
      <w:proofErr w:type="spellEnd"/>
      <w:r>
        <w:t xml:space="preserve"> </w:t>
      </w:r>
      <w:proofErr w:type="spellStart"/>
      <w:r>
        <w:t>Permeable</w:t>
      </w:r>
      <w:proofErr w:type="spellEnd"/>
      <w:r>
        <w:t xml:space="preserve"> </w:t>
      </w:r>
      <w:proofErr w:type="spellStart"/>
      <w:r>
        <w:t>Core</w:t>
      </w:r>
      <w:proofErr w:type="spellEnd"/>
      <w:r w:rsidR="005D53B3">
        <w:t xml:space="preserve"> </w:t>
      </w:r>
      <w:proofErr w:type="spellStart"/>
      <w:r w:rsidR="005D53B3">
        <w:t>and</w:t>
      </w:r>
      <w:proofErr w:type="spellEnd"/>
      <w:r w:rsidR="005D53B3">
        <w:t xml:space="preserve"> </w:t>
      </w:r>
      <w:proofErr w:type="spellStart"/>
      <w:r w:rsidR="005D53B3">
        <w:t>Plunger</w:t>
      </w:r>
      <w:proofErr w:type="spellEnd"/>
    </w:p>
    <w:p w:rsidR="000F2DD2" w:rsidRPr="00772BF4" w:rsidRDefault="000F2DD2" w:rsidP="000F2DD2">
      <w:pPr>
        <w:pStyle w:val="ListParagraph"/>
        <w:numPr>
          <w:ilvl w:val="0"/>
          <w:numId w:val="1"/>
        </w:numPr>
      </w:pPr>
      <w:proofErr w:type="spellStart"/>
      <w:r>
        <w:t>Neglecting</w:t>
      </w:r>
      <w:proofErr w:type="spellEnd"/>
      <w:r>
        <w:t xml:space="preserve"> </w:t>
      </w:r>
      <w:proofErr w:type="spellStart"/>
      <w:r>
        <w:t>fringing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; </w:t>
      </w:r>
      <w:proofErr w:type="spellStart"/>
      <w:r>
        <w:t>so</w:t>
      </w:r>
      <w:proofErr w:type="spellEnd"/>
      <w:r>
        <w:t xml:space="preserve"> </w:t>
      </w:r>
      <m:oMath>
        <m:r>
          <w:rPr>
            <w:rFonts w:ascii="Cambria Math" w:hAnsi="Cambria Math"/>
          </w:rPr>
          <m:t>Acore=Agap</m:t>
        </m:r>
      </m:oMath>
      <w:r w:rsidRPr="000F2DD2">
        <w:rPr>
          <w:rFonts w:eastAsiaTheme="minorEastAsia"/>
        </w:rPr>
        <w:t>.</w:t>
      </w:r>
    </w:p>
    <w:p w:rsidR="00772BF4" w:rsidRPr="00772BF4" w:rsidRDefault="00772BF4" w:rsidP="003102A1">
      <w:pPr>
        <w:pStyle w:val="ListParagraph"/>
        <w:numPr>
          <w:ilvl w:val="0"/>
          <w:numId w:val="1"/>
        </w:numPr>
        <w:spacing w:before="240"/>
      </w:pPr>
      <w:proofErr w:type="spellStart"/>
      <w:r>
        <w:rPr>
          <w:rFonts w:eastAsiaTheme="minorEastAsia"/>
        </w:rPr>
        <w:t>Neglect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leakage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flux</w:t>
      </w:r>
      <w:proofErr w:type="spellEnd"/>
    </w:p>
    <w:p w:rsidR="00AC04FC" w:rsidRPr="004E6D6D" w:rsidRDefault="00772BF4" w:rsidP="00AC04FC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Uniform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flux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distribution</w:t>
      </w:r>
      <w:proofErr w:type="spellEnd"/>
    </w:p>
    <w:p w:rsidR="004E6D6D" w:rsidRDefault="004E6D6D" w:rsidP="004E6D6D">
      <w:pPr>
        <w:pStyle w:val="ListParagraph"/>
        <w:rPr>
          <w:rFonts w:eastAsiaTheme="minorEastAsia"/>
        </w:rPr>
      </w:pPr>
    </w:p>
    <w:p w:rsidR="004E6D6D" w:rsidRPr="000F2DD2" w:rsidRDefault="004E6D6D" w:rsidP="004E6D6D">
      <w:pPr>
        <w:pStyle w:val="ListParagraph"/>
        <w:jc w:val="center"/>
      </w:pPr>
    </w:p>
    <w:p w:rsidR="00AC04FC" w:rsidRDefault="000F2DD2" w:rsidP="00AC04FC">
      <w:pPr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N.I=Rg. ∅g=Hg.lg</m:t>
        </m:r>
      </m:oMath>
      <w:r w:rsidR="00AC04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where Rg=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u.Ag</m:t>
            </m:r>
          </m:den>
        </m:f>
      </m:oMath>
      <w:r w:rsidR="00AC04FC">
        <w:rPr>
          <w:rFonts w:eastAsiaTheme="minorEastAsia"/>
        </w:rPr>
        <w:t xml:space="preserve"> </w:t>
      </w:r>
    </w:p>
    <w:p w:rsidR="00AC04FC" w:rsidRPr="00AC04FC" w:rsidRDefault="00AC04FC" w:rsidP="00AC04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Then,  Hg.lg=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</w:rPr>
                <m:t>4π.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=8000 A.t;  </m:t>
          </m:r>
        </m:oMath>
      </m:oMathPara>
    </w:p>
    <w:p w:rsidR="00707136" w:rsidRDefault="00EA37A9" w:rsidP="00AC04FC">
      <w:pPr>
        <w:ind w:left="288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Bg=0.5T </m:t>
        </m:r>
      </m:oMath>
      <w:r w:rsidR="00AC04FC">
        <w:rPr>
          <w:rFonts w:eastAsiaTheme="minorEastAsia"/>
        </w:rPr>
        <w:t xml:space="preserve">  </w:t>
      </w:r>
    </w:p>
    <w:p w:rsidR="002A6AA4" w:rsidRDefault="002A6AA4" w:rsidP="002A6AA4">
      <w:pPr>
        <w:rPr>
          <w:rFonts w:eastAsiaTheme="minorEastAsia"/>
        </w:rPr>
      </w:pP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assumption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3, </w:t>
      </w:r>
      <w:proofErr w:type="spellStart"/>
      <w:r>
        <w:rPr>
          <w:rFonts w:eastAsiaTheme="minorEastAsia"/>
        </w:rPr>
        <w:t>Inductance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depend</w:t>
      </w:r>
      <w:proofErr w:type="spellEnd"/>
      <w:r>
        <w:rPr>
          <w:rFonts w:eastAsiaTheme="minorEastAsia"/>
        </w:rPr>
        <w:t xml:space="preserve"> on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geometry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turn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ratio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permeability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constant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air</w:t>
      </w:r>
      <w:proofErr w:type="spellEnd"/>
      <w:r>
        <w:rPr>
          <w:rFonts w:eastAsiaTheme="minorEastAsia"/>
        </w:rPr>
        <w:t xml:space="preserve">. Here,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are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linear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area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magnetic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flux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through</w:t>
      </w:r>
      <w:proofErr w:type="spellEnd"/>
      <w:r>
        <w:rPr>
          <w:rFonts w:eastAsiaTheme="minorEastAsia"/>
        </w:rPr>
        <w:t xml:space="preserve"> A is </w:t>
      </w:r>
      <w:proofErr w:type="spellStart"/>
      <w:r>
        <w:rPr>
          <w:rFonts w:eastAsiaTheme="minorEastAsia"/>
        </w:rPr>
        <w:t>assumed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2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So,</w:t>
      </w:r>
    </w:p>
    <w:p w:rsidR="002A6AA4" w:rsidRDefault="002A6AA4" w:rsidP="002A6AA4">
      <w:pPr>
        <w:rPr>
          <w:rFonts w:eastAsiaTheme="minorEastAsia"/>
        </w:rPr>
      </w:pPr>
    </w:p>
    <w:p w:rsidR="002A6AA4" w:rsidRDefault="002A6AA4" w:rsidP="002A6AA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2.4π.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</w:rPr>
          <m:t>=1.25uH</m:t>
        </m:r>
      </m:oMath>
      <w:r>
        <w:rPr>
          <w:rFonts w:eastAsiaTheme="minorEastAsia"/>
        </w:rPr>
        <w:t xml:space="preserve"> </w:t>
      </w:r>
    </w:p>
    <w:p w:rsidR="002A6AA4" w:rsidRPr="00B754CB" w:rsidRDefault="002A6AA4" w:rsidP="00B754C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.u.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Agap</m:t>
              </m:r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.4π.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(2-x)</m:t>
              </m:r>
            </m:num>
            <m:den>
              <m:r>
                <w:rPr>
                  <w:rFonts w:ascii="Cambria Math" w:eastAsiaTheme="minorEastAsia" w:hAnsi="Cambria Math"/>
                </w:rPr>
                <m:t>2.0,05</m:t>
              </m:r>
            </m:den>
          </m:f>
          <m:r>
            <w:rPr>
              <w:rFonts w:ascii="Cambria Math" w:eastAsiaTheme="minorEastAsia" w:hAnsi="Cambria Math"/>
            </w:rPr>
            <m:t>=25*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(H)</m:t>
          </m:r>
        </m:oMath>
      </m:oMathPara>
    </w:p>
    <w:p w:rsidR="00245368" w:rsidRDefault="008D0574" w:rsidP="0063186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Wfld=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*25*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8000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=800*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 (J)</m:t>
        </m:r>
      </m:oMath>
      <w:r w:rsidR="00BB63CA">
        <w:rPr>
          <w:rFonts w:eastAsiaTheme="minorEastAsia"/>
        </w:rPr>
        <w:t xml:space="preserve">   </w:t>
      </w:r>
    </w:p>
    <w:p w:rsidR="00A743DB" w:rsidRDefault="000433F1" w:rsidP="006318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ffld=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.=800*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A743DB" w:rsidRDefault="00195111" w:rsidP="00AC04FC">
      <w:pPr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 w:rsidR="00644E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0&lt;x&lt;2</m:t>
        </m:r>
      </m:oMath>
      <w:r>
        <w:rPr>
          <w:rFonts w:eastAsiaTheme="minorEastAsia"/>
        </w:rPr>
        <w:t>.</w:t>
      </w:r>
    </w:p>
    <w:p w:rsidR="00245368" w:rsidRDefault="00245368" w:rsidP="00AC04FC">
      <w:pPr>
        <w:rPr>
          <w:rFonts w:eastAsiaTheme="minorEastAsia"/>
        </w:rPr>
      </w:pP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analitical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calculations</w:t>
      </w:r>
      <w:proofErr w:type="spellEnd"/>
      <w:r>
        <w:rPr>
          <w:rFonts w:eastAsiaTheme="minorEastAsia"/>
        </w:rPr>
        <w:t>,</w:t>
      </w:r>
      <w:r w:rsidR="00417C8B">
        <w:rPr>
          <w:rFonts w:eastAsiaTheme="minorEastAsia"/>
        </w:rPr>
        <w:t xml:space="preserve"> I </w:t>
      </w:r>
      <w:proofErr w:type="spellStart"/>
      <w:r w:rsidR="00417C8B">
        <w:rPr>
          <w:rFonts w:eastAsiaTheme="minorEastAsia"/>
        </w:rPr>
        <w:t>simulated</w:t>
      </w:r>
      <w:proofErr w:type="spellEnd"/>
      <w:r w:rsidR="00417C8B">
        <w:rPr>
          <w:rFonts w:eastAsiaTheme="minorEastAsia"/>
        </w:rPr>
        <w:t xml:space="preserve"> c-</w:t>
      </w:r>
      <w:proofErr w:type="spellStart"/>
      <w:r w:rsidR="00417C8B">
        <w:rPr>
          <w:rFonts w:eastAsiaTheme="minorEastAsia"/>
        </w:rPr>
        <w:t>core</w:t>
      </w:r>
      <w:proofErr w:type="spellEnd"/>
      <w:r w:rsidR="00417C8B">
        <w:rPr>
          <w:rFonts w:eastAsiaTheme="minorEastAsia"/>
        </w:rPr>
        <w:t xml:space="preserve"> in ANSYS </w:t>
      </w:r>
      <w:proofErr w:type="spellStart"/>
      <w:r w:rsidR="00417C8B">
        <w:rPr>
          <w:rFonts w:eastAsiaTheme="minorEastAsia"/>
        </w:rPr>
        <w:t>Maxwell</w:t>
      </w:r>
      <w:proofErr w:type="spellEnd"/>
      <w:r w:rsidR="00417C8B">
        <w:rPr>
          <w:rFonts w:eastAsiaTheme="minorEastAsia"/>
        </w:rPr>
        <w:t xml:space="preserve"> program as </w:t>
      </w:r>
      <w:proofErr w:type="spellStart"/>
      <w:r w:rsidR="00417C8B">
        <w:rPr>
          <w:rFonts w:eastAsiaTheme="minorEastAsia"/>
        </w:rPr>
        <w:t>following</w:t>
      </w:r>
      <w:proofErr w:type="spellEnd"/>
      <w:r w:rsidR="00417C8B">
        <w:rPr>
          <w:rFonts w:eastAsiaTheme="minorEastAsia"/>
        </w:rPr>
        <w:t>.</w:t>
      </w:r>
    </w:p>
    <w:p w:rsidR="00CA4A95" w:rsidRDefault="00382DAC" w:rsidP="00CA4A9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>ur</w:t>
      </w:r>
      <w:proofErr w:type="gramEnd"/>
      <w:r>
        <w:rPr>
          <w:rFonts w:eastAsiaTheme="minorEastAsia"/>
        </w:rPr>
        <w:t>=1000</w:t>
      </w:r>
      <w:r w:rsidR="00921EAA">
        <w:rPr>
          <w:rFonts w:eastAsiaTheme="minorEastAsia"/>
        </w:rPr>
        <w:t xml:space="preserve"> </w:t>
      </w:r>
      <w:proofErr w:type="spellStart"/>
      <w:r w:rsidR="00921EAA">
        <w:rPr>
          <w:rFonts w:eastAsiaTheme="minorEastAsia"/>
        </w:rPr>
        <w:t>for</w:t>
      </w:r>
      <w:proofErr w:type="spellEnd"/>
      <w:r w:rsidR="00921EAA">
        <w:rPr>
          <w:rFonts w:eastAsiaTheme="minorEastAsia"/>
        </w:rPr>
        <w:t xml:space="preserve"> </w:t>
      </w:r>
      <w:proofErr w:type="spellStart"/>
      <w:r w:rsidR="00921EAA">
        <w:rPr>
          <w:rFonts w:eastAsiaTheme="minorEastAsia"/>
        </w:rPr>
        <w:t>core</w:t>
      </w:r>
      <w:proofErr w:type="spellEnd"/>
      <w:r w:rsidR="00921EAA">
        <w:rPr>
          <w:rFonts w:eastAsiaTheme="minorEastAsia"/>
        </w:rPr>
        <w:t xml:space="preserve"> </w:t>
      </w:r>
      <w:proofErr w:type="spellStart"/>
      <w:r w:rsidR="00921EAA">
        <w:rPr>
          <w:rFonts w:eastAsiaTheme="minorEastAsia"/>
        </w:rPr>
        <w:t>and</w:t>
      </w:r>
      <w:proofErr w:type="spellEnd"/>
      <w:r w:rsidR="00921EAA">
        <w:rPr>
          <w:rFonts w:eastAsiaTheme="minorEastAsia"/>
        </w:rPr>
        <w:t xml:space="preserve"> </w:t>
      </w:r>
      <w:proofErr w:type="spellStart"/>
      <w:r w:rsidR="00921EAA">
        <w:rPr>
          <w:rFonts w:eastAsiaTheme="minorEastAsia"/>
        </w:rPr>
        <w:t>plunger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saturation</w:t>
      </w:r>
      <w:proofErr w:type="spellEnd"/>
      <w:r>
        <w:rPr>
          <w:rFonts w:eastAsiaTheme="minorEastAsia"/>
        </w:rPr>
        <w:t>;</w:t>
      </w:r>
    </w:p>
    <w:p w:rsidR="00141BF4" w:rsidRDefault="00141BF4" w:rsidP="00141BF4">
      <w:pPr>
        <w:rPr>
          <w:rFonts w:eastAsiaTheme="minorEastAsia"/>
        </w:rPr>
      </w:pPr>
    </w:p>
    <w:p w:rsidR="00141BF4" w:rsidRDefault="00141BF4" w:rsidP="00141BF4">
      <w:pPr>
        <w:rPr>
          <w:rFonts w:eastAsiaTheme="minorEastAsia"/>
        </w:rPr>
      </w:pPr>
    </w:p>
    <w:p w:rsidR="00141BF4" w:rsidRDefault="00141BF4" w:rsidP="00141BF4">
      <w:pPr>
        <w:rPr>
          <w:rFonts w:eastAsiaTheme="minorEastAsia"/>
        </w:rPr>
      </w:pPr>
    </w:p>
    <w:p w:rsidR="00141BF4" w:rsidRDefault="00141BF4" w:rsidP="00141BF4">
      <w:pPr>
        <w:rPr>
          <w:rFonts w:eastAsiaTheme="minorEastAsia"/>
        </w:rPr>
      </w:pPr>
    </w:p>
    <w:p w:rsidR="00141BF4" w:rsidRDefault="00141BF4" w:rsidP="00141BF4">
      <w:pPr>
        <w:rPr>
          <w:rFonts w:eastAsiaTheme="minorEastAsia"/>
        </w:rPr>
      </w:pPr>
    </w:p>
    <w:p w:rsidR="00141BF4" w:rsidRDefault="00141BF4" w:rsidP="00141BF4">
      <w:pPr>
        <w:jc w:val="center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 wp14:anchorId="3BEDB2A8" wp14:editId="504769CC">
            <wp:extent cx="5467350" cy="3343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1BF4" w:rsidRDefault="00141BF4" w:rsidP="00141BF4">
      <w:pPr>
        <w:jc w:val="center"/>
        <w:rPr>
          <w:rFonts w:eastAsiaTheme="minorEastAsia"/>
        </w:rPr>
      </w:pPr>
    </w:p>
    <w:p w:rsidR="00141BF4" w:rsidRDefault="00141BF4" w:rsidP="00141BF4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553AFC63" wp14:editId="2D03941B">
            <wp:extent cx="5686425" cy="3933825"/>
            <wp:effectExtent l="0" t="0" r="9525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1BF4" w:rsidRDefault="00141BF4" w:rsidP="00141BF4">
      <w:pPr>
        <w:jc w:val="center"/>
        <w:rPr>
          <w:rFonts w:eastAsiaTheme="minorEastAsia"/>
        </w:rPr>
      </w:pPr>
    </w:p>
    <w:p w:rsidR="00D7246C" w:rsidRDefault="00141BF4" w:rsidP="00AE0E50">
      <w:pPr>
        <w:jc w:val="center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 wp14:anchorId="51428606" wp14:editId="6EF547DC">
            <wp:extent cx="5972810" cy="3958590"/>
            <wp:effectExtent l="0" t="0" r="8890" b="381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1608D" w:rsidRDefault="00453D34" w:rsidP="0021608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w:proofErr w:type="spellStart"/>
      <w:r>
        <w:rPr>
          <w:rFonts w:eastAsiaTheme="minorEastAsia"/>
        </w:rPr>
        <w:t>seen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magnetic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circuit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 w:rsidRPr="00701774">
        <w:rPr>
          <w:rFonts w:eastAsiaTheme="minorEastAsia"/>
          <w:b/>
          <w:u w:val="single"/>
        </w:rPr>
        <w:t>maximize</w:t>
      </w:r>
      <w:proofErr w:type="spellEnd"/>
      <w:r w:rsidRPr="00701774">
        <w:rPr>
          <w:rFonts w:eastAsiaTheme="minorEastAsia"/>
          <w:b/>
          <w:u w:val="single"/>
        </w:rPr>
        <w:t xml:space="preserve"> </w:t>
      </w:r>
      <w:proofErr w:type="spellStart"/>
      <w:r w:rsidRPr="00701774">
        <w:rPr>
          <w:rFonts w:eastAsiaTheme="minorEastAsia"/>
          <w:b/>
          <w:u w:val="single"/>
        </w:rPr>
        <w:t>the</w:t>
      </w:r>
      <w:proofErr w:type="spellEnd"/>
      <w:r w:rsidRPr="00701774">
        <w:rPr>
          <w:rFonts w:eastAsiaTheme="minorEastAsia"/>
          <w:b/>
          <w:u w:val="single"/>
        </w:rPr>
        <w:t xml:space="preserve"> </w:t>
      </w:r>
      <w:proofErr w:type="spellStart"/>
      <w:r w:rsidRPr="00701774">
        <w:rPr>
          <w:rFonts w:eastAsiaTheme="minorEastAsia"/>
          <w:b/>
          <w:u w:val="single"/>
        </w:rPr>
        <w:t>inductance</w:t>
      </w:r>
      <w:proofErr w:type="spellEnd"/>
      <w:r>
        <w:rPr>
          <w:rFonts w:eastAsiaTheme="minorEastAsia"/>
        </w:rPr>
        <w:t xml:space="preserve">, ,in </w:t>
      </w:r>
      <w:proofErr w:type="spellStart"/>
      <w:r>
        <w:rPr>
          <w:rFonts w:eastAsiaTheme="minorEastAsia"/>
        </w:rPr>
        <w:t>other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words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r w:rsidRPr="00701774">
        <w:rPr>
          <w:rFonts w:eastAsiaTheme="minorEastAsia"/>
          <w:b/>
          <w:u w:val="single"/>
        </w:rPr>
        <w:t xml:space="preserve">minimize </w:t>
      </w:r>
      <w:proofErr w:type="spellStart"/>
      <w:r w:rsidRPr="00701774">
        <w:rPr>
          <w:rFonts w:eastAsiaTheme="minorEastAsia"/>
          <w:b/>
          <w:u w:val="single"/>
        </w:rPr>
        <w:t>the</w:t>
      </w:r>
      <w:proofErr w:type="spellEnd"/>
      <w:r w:rsidRPr="00701774">
        <w:rPr>
          <w:rFonts w:eastAsiaTheme="minorEastAsia"/>
          <w:b/>
          <w:u w:val="single"/>
        </w:rPr>
        <w:t xml:space="preserve"> </w:t>
      </w:r>
      <w:proofErr w:type="spellStart"/>
      <w:r w:rsidRPr="00701774">
        <w:rPr>
          <w:rFonts w:eastAsiaTheme="minorEastAsia"/>
          <w:b/>
          <w:u w:val="single"/>
        </w:rPr>
        <w:t>reluctance</w:t>
      </w:r>
      <w:proofErr w:type="spellEnd"/>
      <w:r w:rsidR="006A7450" w:rsidRPr="00701774">
        <w:rPr>
          <w:rFonts w:eastAsiaTheme="minorEastAsia"/>
        </w:rPr>
        <w:t xml:space="preserve"> </w:t>
      </w:r>
      <w:proofErr w:type="spellStart"/>
      <w:r w:rsidR="006A7450" w:rsidRPr="00701774">
        <w:rPr>
          <w:rFonts w:eastAsiaTheme="minorEastAsia"/>
        </w:rPr>
        <w:t>and</w:t>
      </w:r>
      <w:proofErr w:type="spellEnd"/>
      <w:r w:rsidR="006A7450" w:rsidRPr="00701774">
        <w:rPr>
          <w:rFonts w:eastAsiaTheme="minorEastAsia"/>
        </w:rPr>
        <w:t xml:space="preserve"> </w:t>
      </w:r>
      <w:proofErr w:type="spellStart"/>
      <w:r w:rsidR="006A7450" w:rsidRPr="00701774">
        <w:rPr>
          <w:rFonts w:eastAsiaTheme="minorEastAsia"/>
          <w:b/>
          <w:u w:val="single"/>
        </w:rPr>
        <w:t>to</w:t>
      </w:r>
      <w:proofErr w:type="spellEnd"/>
      <w:r w:rsidR="006A7450" w:rsidRPr="00701774">
        <w:rPr>
          <w:rFonts w:eastAsiaTheme="minorEastAsia"/>
          <w:b/>
          <w:u w:val="single"/>
        </w:rPr>
        <w:t xml:space="preserve"> </w:t>
      </w:r>
      <w:proofErr w:type="spellStart"/>
      <w:r w:rsidR="006A7450" w:rsidRPr="00701774">
        <w:rPr>
          <w:rFonts w:eastAsiaTheme="minorEastAsia"/>
          <w:b/>
          <w:u w:val="single"/>
        </w:rPr>
        <w:t>increase</w:t>
      </w:r>
      <w:proofErr w:type="spellEnd"/>
      <w:r w:rsidR="006A7450" w:rsidRPr="00701774">
        <w:rPr>
          <w:rFonts w:eastAsiaTheme="minorEastAsia"/>
          <w:b/>
          <w:u w:val="single"/>
        </w:rPr>
        <w:t xml:space="preserve"> </w:t>
      </w:r>
      <w:proofErr w:type="spellStart"/>
      <w:r w:rsidR="006A7450" w:rsidRPr="00701774">
        <w:rPr>
          <w:rFonts w:eastAsiaTheme="minorEastAsia"/>
          <w:b/>
          <w:u w:val="single"/>
        </w:rPr>
        <w:t>co-energy</w:t>
      </w:r>
      <w:proofErr w:type="spellEnd"/>
      <w:r w:rsidR="006A7450" w:rsidRPr="00701774">
        <w:rPr>
          <w:rFonts w:eastAsiaTheme="minorEastAsia"/>
          <w:b/>
          <w:u w:val="single"/>
        </w:rPr>
        <w:t xml:space="preserve"> of </w:t>
      </w:r>
      <w:proofErr w:type="spellStart"/>
      <w:r w:rsidR="006A7450" w:rsidRPr="00701774">
        <w:rPr>
          <w:rFonts w:eastAsiaTheme="minorEastAsia"/>
          <w:b/>
          <w:u w:val="single"/>
        </w:rPr>
        <w:t>system</w:t>
      </w:r>
      <w:proofErr w:type="spellEnd"/>
      <w:r w:rsidR="006A7450">
        <w:rPr>
          <w:rFonts w:eastAsiaTheme="minorEastAsia"/>
        </w:rPr>
        <w:t>.</w:t>
      </w:r>
      <w:r w:rsidR="0021608D">
        <w:rPr>
          <w:rFonts w:eastAsiaTheme="minorEastAsia"/>
        </w:rPr>
        <w:t xml:space="preserve"> At x=7cm, </w:t>
      </w:r>
      <w:proofErr w:type="spellStart"/>
      <w:r w:rsidR="0021608D">
        <w:rPr>
          <w:rFonts w:eastAsiaTheme="minorEastAsia"/>
        </w:rPr>
        <w:t>force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changes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sign</w:t>
      </w:r>
      <w:proofErr w:type="spellEnd"/>
      <w:r w:rsidR="0021608D">
        <w:rPr>
          <w:rFonts w:eastAsiaTheme="minorEastAsia"/>
        </w:rPr>
        <w:t xml:space="preserve"> (+) </w:t>
      </w:r>
      <w:proofErr w:type="spellStart"/>
      <w:r w:rsidR="0021608D">
        <w:rPr>
          <w:rFonts w:eastAsiaTheme="minorEastAsia"/>
        </w:rPr>
        <w:t>and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tries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to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have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maximum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inductance</w:t>
      </w:r>
      <w:proofErr w:type="spellEnd"/>
      <w:r w:rsidR="0021608D">
        <w:rPr>
          <w:rFonts w:eastAsiaTheme="minorEastAsia"/>
        </w:rPr>
        <w:t xml:space="preserve"> </w:t>
      </w:r>
      <w:proofErr w:type="spellStart"/>
      <w:r w:rsidR="0021608D">
        <w:rPr>
          <w:rFonts w:eastAsiaTheme="minorEastAsia"/>
        </w:rPr>
        <w:t>again</w:t>
      </w:r>
      <w:proofErr w:type="spellEnd"/>
      <w:r w:rsidR="0021608D">
        <w:rPr>
          <w:rFonts w:eastAsiaTheme="minorEastAsia"/>
        </w:rPr>
        <w:t>.</w:t>
      </w:r>
    </w:p>
    <w:p w:rsidR="00D7246C" w:rsidRDefault="00AE0E50" w:rsidP="0048742A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3529C473" wp14:editId="379B9304">
            <wp:extent cx="5286375" cy="3228975"/>
            <wp:effectExtent l="0" t="0" r="9525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246C" w:rsidRDefault="00D7246C" w:rsidP="00D7246C">
      <w:pPr>
        <w:rPr>
          <w:rFonts w:eastAsiaTheme="minorEastAsia"/>
        </w:rPr>
      </w:pPr>
    </w:p>
    <w:p w:rsidR="00D7246C" w:rsidRDefault="00545774" w:rsidP="00304FA5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3A072E3A" wp14:editId="35D34900">
            <wp:extent cx="4638675" cy="321393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788" cy="32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F4" w:rsidRPr="00ED7E01" w:rsidRDefault="00AE3E76" w:rsidP="00AE3E76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Pr="00AD7184">
        <w:rPr>
          <w:sz w:val="24"/>
          <w:szCs w:val="24"/>
        </w:rPr>
        <w:fldChar w:fldCharType="begin"/>
      </w:r>
      <w:r w:rsidRPr="00AD7184">
        <w:rPr>
          <w:sz w:val="24"/>
          <w:szCs w:val="24"/>
        </w:rPr>
        <w:instrText xml:space="preserve"> SEQ Figure \* ARABIC </w:instrText>
      </w:r>
      <w:r w:rsidRPr="00AD7184">
        <w:rPr>
          <w:sz w:val="24"/>
          <w:szCs w:val="24"/>
        </w:rPr>
        <w:fldChar w:fldCharType="separate"/>
      </w:r>
      <w:r w:rsidRPr="00AD7184">
        <w:rPr>
          <w:noProof/>
          <w:sz w:val="24"/>
          <w:szCs w:val="24"/>
        </w:rPr>
        <w:t>1</w:t>
      </w:r>
      <w:r w:rsidRPr="00AD7184">
        <w:rPr>
          <w:sz w:val="24"/>
          <w:szCs w:val="24"/>
        </w:rPr>
        <w:fldChar w:fldCharType="end"/>
      </w:r>
      <w:r w:rsidR="00DE3CF4" w:rsidRPr="00AD7184">
        <w:rPr>
          <w:sz w:val="24"/>
          <w:szCs w:val="24"/>
        </w:rPr>
        <w:t xml:space="preserve"> </w:t>
      </w:r>
      <w:proofErr w:type="spellStart"/>
      <w:r w:rsidR="00DE3CF4" w:rsidRPr="00ED7E01">
        <w:rPr>
          <w:sz w:val="24"/>
          <w:szCs w:val="24"/>
        </w:rPr>
        <w:t>Flux</w:t>
      </w:r>
      <w:proofErr w:type="spellEnd"/>
      <w:r w:rsidR="00DE3CF4" w:rsidRPr="00ED7E01">
        <w:rPr>
          <w:sz w:val="24"/>
          <w:szCs w:val="24"/>
        </w:rPr>
        <w:t xml:space="preserve"> </w:t>
      </w:r>
      <w:proofErr w:type="spellStart"/>
      <w:r w:rsidR="00DE3CF4" w:rsidRPr="00ED7E01">
        <w:rPr>
          <w:sz w:val="24"/>
          <w:szCs w:val="24"/>
        </w:rPr>
        <w:t>Density</w:t>
      </w:r>
      <w:proofErr w:type="spellEnd"/>
      <w:r w:rsidR="00DE3CF4" w:rsidRPr="00ED7E01">
        <w:rPr>
          <w:sz w:val="24"/>
          <w:szCs w:val="24"/>
        </w:rPr>
        <w:t xml:space="preserve"> </w:t>
      </w:r>
      <w:proofErr w:type="spellStart"/>
      <w:r w:rsidR="00DE3CF4" w:rsidRPr="00ED7E01">
        <w:rPr>
          <w:sz w:val="24"/>
          <w:szCs w:val="24"/>
        </w:rPr>
        <w:t>Vector</w:t>
      </w:r>
      <w:proofErr w:type="spellEnd"/>
      <w:r w:rsidR="00DE3CF4" w:rsidRPr="00ED7E01">
        <w:rPr>
          <w:sz w:val="24"/>
          <w:szCs w:val="24"/>
        </w:rPr>
        <w:t xml:space="preserve"> Distribution</w:t>
      </w:r>
      <w:r w:rsidR="00834789">
        <w:rPr>
          <w:sz w:val="24"/>
          <w:szCs w:val="24"/>
        </w:rPr>
        <w:t xml:space="preserve"> (x=13cm)</w:t>
      </w:r>
    </w:p>
    <w:p w:rsidR="00DE3CF4" w:rsidRDefault="00DE3CF4" w:rsidP="00D7246C">
      <w:pPr>
        <w:rPr>
          <w:rFonts w:eastAsiaTheme="minorEastAsia"/>
        </w:rPr>
      </w:pPr>
    </w:p>
    <w:p w:rsidR="00545774" w:rsidRDefault="00545774" w:rsidP="00304FA5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C287441" wp14:editId="62EDC19A">
            <wp:extent cx="4829175" cy="349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514" cy="35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48742A" w:rsidRDefault="007D4F79" w:rsidP="0048742A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AD7184" w:rsidRPr="00AD7184">
        <w:rPr>
          <w:sz w:val="24"/>
          <w:szCs w:val="24"/>
        </w:rPr>
        <w:t>2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065AD0">
        <w:rPr>
          <w:sz w:val="24"/>
          <w:szCs w:val="24"/>
        </w:rPr>
        <w:t xml:space="preserve"> (x=12cm)</w:t>
      </w:r>
      <w:bookmarkStart w:id="0" w:name="_GoBack"/>
      <w:bookmarkEnd w:id="0"/>
    </w:p>
    <w:p w:rsidR="00A40C78" w:rsidRDefault="00A40C78" w:rsidP="007D4F79">
      <w:pPr>
        <w:jc w:val="center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 wp14:anchorId="046DD9A9" wp14:editId="06B13D56">
            <wp:extent cx="4972050" cy="3778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627" cy="37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BE781A" w:rsidRDefault="007D4F79" w:rsidP="00BE781A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AD7184">
        <w:rPr>
          <w:sz w:val="24"/>
          <w:szCs w:val="24"/>
        </w:rPr>
        <w:t>3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143C6A">
        <w:rPr>
          <w:sz w:val="24"/>
          <w:szCs w:val="24"/>
        </w:rPr>
        <w:t xml:space="preserve"> (x=11cm)</w:t>
      </w:r>
    </w:p>
    <w:p w:rsidR="008A6005" w:rsidRPr="00AD7184" w:rsidRDefault="008A6005" w:rsidP="007D4F79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7CF20967" wp14:editId="6C5FB5AB">
            <wp:extent cx="4743450" cy="371215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378" cy="37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ED7E01" w:rsidRDefault="007D4F79" w:rsidP="007D4F79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3E3499">
        <w:rPr>
          <w:sz w:val="24"/>
          <w:szCs w:val="24"/>
        </w:rPr>
        <w:t>4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B8430D">
        <w:rPr>
          <w:sz w:val="24"/>
          <w:szCs w:val="24"/>
        </w:rPr>
        <w:t xml:space="preserve"> (x=10cm)</w:t>
      </w:r>
    </w:p>
    <w:p w:rsidR="007D4F79" w:rsidRPr="00AD7184" w:rsidRDefault="007D4F79" w:rsidP="00D7246C">
      <w:pPr>
        <w:rPr>
          <w:i/>
          <w:iCs/>
          <w:color w:val="44546A" w:themeColor="text2"/>
          <w:szCs w:val="24"/>
        </w:rPr>
      </w:pPr>
    </w:p>
    <w:p w:rsidR="00C9430E" w:rsidRDefault="00C9430E" w:rsidP="007D4F79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1C3460BC" wp14:editId="6AB0DE73">
            <wp:extent cx="4362450" cy="34960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011" cy="35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BE781A" w:rsidRDefault="007D4F79" w:rsidP="00BE781A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3E3499">
        <w:rPr>
          <w:sz w:val="24"/>
          <w:szCs w:val="24"/>
        </w:rPr>
        <w:t>5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3E19AB">
        <w:rPr>
          <w:sz w:val="24"/>
          <w:szCs w:val="24"/>
        </w:rPr>
        <w:t xml:space="preserve"> (x=9cm)</w:t>
      </w:r>
    </w:p>
    <w:p w:rsidR="005268C2" w:rsidRPr="00AD7184" w:rsidRDefault="005268C2" w:rsidP="007D4F79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46048330" wp14:editId="3629A400">
            <wp:extent cx="4467225" cy="359952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36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ED7E01" w:rsidRDefault="007D4F79" w:rsidP="007D4F79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3E3499">
        <w:rPr>
          <w:sz w:val="24"/>
          <w:szCs w:val="24"/>
        </w:rPr>
        <w:t>6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E201A5">
        <w:rPr>
          <w:sz w:val="24"/>
          <w:szCs w:val="24"/>
        </w:rPr>
        <w:t xml:space="preserve"> (x=8cm)</w:t>
      </w:r>
    </w:p>
    <w:p w:rsidR="007D4F79" w:rsidRPr="00AD7184" w:rsidRDefault="007D4F79" w:rsidP="007D4F79">
      <w:pPr>
        <w:jc w:val="center"/>
        <w:rPr>
          <w:i/>
          <w:iCs/>
          <w:color w:val="44546A" w:themeColor="text2"/>
          <w:szCs w:val="24"/>
        </w:rPr>
      </w:pPr>
    </w:p>
    <w:p w:rsidR="00C328D9" w:rsidRPr="00AD7184" w:rsidRDefault="00C328D9" w:rsidP="007D4F79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76856C7D" wp14:editId="779FE51A">
            <wp:extent cx="4543425" cy="3660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161" cy="36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2D6ECD" w:rsidRDefault="003E3499" w:rsidP="002D6ECD">
      <w:pPr>
        <w:pStyle w:val="Caption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7</w:t>
      </w:r>
      <w:r w:rsidR="007D4F79" w:rsidRPr="00ED7E01">
        <w:rPr>
          <w:sz w:val="24"/>
          <w:szCs w:val="24"/>
        </w:rPr>
        <w:t xml:space="preserve"> </w:t>
      </w:r>
      <w:proofErr w:type="spellStart"/>
      <w:r w:rsidR="007D4F79" w:rsidRPr="00ED7E01">
        <w:rPr>
          <w:sz w:val="24"/>
          <w:szCs w:val="24"/>
        </w:rPr>
        <w:t>Flux</w:t>
      </w:r>
      <w:proofErr w:type="spellEnd"/>
      <w:r w:rsidR="007D4F79" w:rsidRPr="00ED7E01">
        <w:rPr>
          <w:sz w:val="24"/>
          <w:szCs w:val="24"/>
        </w:rPr>
        <w:t xml:space="preserve"> </w:t>
      </w:r>
      <w:proofErr w:type="spellStart"/>
      <w:r w:rsidR="007D4F79" w:rsidRPr="00ED7E01">
        <w:rPr>
          <w:sz w:val="24"/>
          <w:szCs w:val="24"/>
        </w:rPr>
        <w:t>Density</w:t>
      </w:r>
      <w:proofErr w:type="spellEnd"/>
      <w:r w:rsidR="007D4F79" w:rsidRPr="00ED7E01">
        <w:rPr>
          <w:sz w:val="24"/>
          <w:szCs w:val="24"/>
        </w:rPr>
        <w:t xml:space="preserve"> </w:t>
      </w:r>
      <w:proofErr w:type="spellStart"/>
      <w:r w:rsidR="007D4F79" w:rsidRPr="00ED7E01">
        <w:rPr>
          <w:sz w:val="24"/>
          <w:szCs w:val="24"/>
        </w:rPr>
        <w:t>Vector</w:t>
      </w:r>
      <w:proofErr w:type="spellEnd"/>
      <w:r w:rsidR="007D4F79" w:rsidRPr="00ED7E01">
        <w:rPr>
          <w:sz w:val="24"/>
          <w:szCs w:val="24"/>
        </w:rPr>
        <w:t xml:space="preserve"> Distribution</w:t>
      </w:r>
      <w:r w:rsidR="00856CCE">
        <w:rPr>
          <w:sz w:val="24"/>
          <w:szCs w:val="24"/>
        </w:rPr>
        <w:t xml:space="preserve"> (x=7cm)</w:t>
      </w:r>
    </w:p>
    <w:p w:rsidR="00222304" w:rsidRPr="00AD7184" w:rsidRDefault="00222304" w:rsidP="007D4F79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4C2513A6" wp14:editId="456FB539">
            <wp:extent cx="4438650" cy="357319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435" cy="35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ED7E01" w:rsidRDefault="007D4F79" w:rsidP="007D4F79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3E3499">
        <w:rPr>
          <w:sz w:val="24"/>
          <w:szCs w:val="24"/>
        </w:rPr>
        <w:t>8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01295F">
        <w:rPr>
          <w:sz w:val="24"/>
          <w:szCs w:val="24"/>
        </w:rPr>
        <w:t xml:space="preserve"> (x=6cm)</w:t>
      </w:r>
    </w:p>
    <w:p w:rsidR="007D4F79" w:rsidRPr="00AD7184" w:rsidRDefault="007D4F79" w:rsidP="00D7246C">
      <w:pPr>
        <w:rPr>
          <w:i/>
          <w:iCs/>
          <w:color w:val="44546A" w:themeColor="text2"/>
          <w:szCs w:val="24"/>
        </w:rPr>
      </w:pPr>
    </w:p>
    <w:p w:rsidR="00244919" w:rsidRPr="00AD7184" w:rsidRDefault="00244919" w:rsidP="007D4F79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69883774" wp14:editId="29C43EA0">
            <wp:extent cx="4343400" cy="34900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089" cy="34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ED7E01" w:rsidRDefault="007D4F79" w:rsidP="007D4F79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="003E3499">
        <w:rPr>
          <w:sz w:val="24"/>
          <w:szCs w:val="24"/>
        </w:rPr>
        <w:t>9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C7321C">
        <w:rPr>
          <w:sz w:val="24"/>
          <w:szCs w:val="24"/>
        </w:rPr>
        <w:t xml:space="preserve"> (x=5cm)</w:t>
      </w:r>
    </w:p>
    <w:p w:rsidR="007D4F79" w:rsidRPr="00AD7184" w:rsidRDefault="007D4F79" w:rsidP="007D4F79">
      <w:pPr>
        <w:jc w:val="center"/>
        <w:rPr>
          <w:i/>
          <w:iCs/>
          <w:color w:val="44546A" w:themeColor="text2"/>
          <w:szCs w:val="24"/>
        </w:rPr>
      </w:pPr>
    </w:p>
    <w:p w:rsidR="0046039E" w:rsidRPr="00AD7184" w:rsidRDefault="0046039E" w:rsidP="00921EAA">
      <w:pPr>
        <w:jc w:val="center"/>
        <w:rPr>
          <w:i/>
          <w:iCs/>
          <w:color w:val="44546A" w:themeColor="text2"/>
          <w:szCs w:val="24"/>
        </w:rPr>
      </w:pPr>
      <w:r w:rsidRPr="00AD7184">
        <w:rPr>
          <w:i/>
          <w:iCs/>
          <w:noProof/>
          <w:color w:val="44546A" w:themeColor="text2"/>
          <w:szCs w:val="24"/>
          <w:lang w:val="en-US"/>
        </w:rPr>
        <w:drawing>
          <wp:inline distT="0" distB="0" distL="0" distR="0" wp14:anchorId="68A33FA9" wp14:editId="59CE37CB">
            <wp:extent cx="3867150" cy="308352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883" cy="30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9" w:rsidRPr="00ED7E01" w:rsidRDefault="007D4F79" w:rsidP="007D4F79">
      <w:pPr>
        <w:pStyle w:val="Caption"/>
        <w:jc w:val="center"/>
        <w:rPr>
          <w:sz w:val="24"/>
          <w:szCs w:val="24"/>
        </w:rPr>
      </w:pPr>
      <w:proofErr w:type="spellStart"/>
      <w:r w:rsidRPr="00AD7184">
        <w:rPr>
          <w:sz w:val="24"/>
          <w:szCs w:val="24"/>
        </w:rPr>
        <w:t>Figure</w:t>
      </w:r>
      <w:proofErr w:type="spellEnd"/>
      <w:r w:rsidRPr="00AD7184">
        <w:rPr>
          <w:sz w:val="24"/>
          <w:szCs w:val="24"/>
        </w:rPr>
        <w:t xml:space="preserve"> </w:t>
      </w:r>
      <w:r w:rsidRPr="00AD7184">
        <w:rPr>
          <w:sz w:val="24"/>
          <w:szCs w:val="24"/>
        </w:rPr>
        <w:fldChar w:fldCharType="begin"/>
      </w:r>
      <w:r w:rsidRPr="00AD7184">
        <w:rPr>
          <w:sz w:val="24"/>
          <w:szCs w:val="24"/>
        </w:rPr>
        <w:instrText xml:space="preserve"> SEQ Figure \* ARABIC </w:instrText>
      </w:r>
      <w:r w:rsidRPr="00AD7184">
        <w:rPr>
          <w:sz w:val="24"/>
          <w:szCs w:val="24"/>
        </w:rPr>
        <w:fldChar w:fldCharType="separate"/>
      </w:r>
      <w:r w:rsidRPr="00AD7184">
        <w:rPr>
          <w:sz w:val="24"/>
          <w:szCs w:val="24"/>
        </w:rPr>
        <w:t>1</w:t>
      </w:r>
      <w:r w:rsidRPr="00AD7184">
        <w:rPr>
          <w:sz w:val="24"/>
          <w:szCs w:val="24"/>
        </w:rPr>
        <w:fldChar w:fldCharType="end"/>
      </w:r>
      <w:r w:rsidR="003E3499">
        <w:rPr>
          <w:sz w:val="24"/>
          <w:szCs w:val="24"/>
        </w:rPr>
        <w:t>0</w:t>
      </w:r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Flux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Density</w:t>
      </w:r>
      <w:proofErr w:type="spellEnd"/>
      <w:r w:rsidRPr="00ED7E01">
        <w:rPr>
          <w:sz w:val="24"/>
          <w:szCs w:val="24"/>
        </w:rPr>
        <w:t xml:space="preserve"> </w:t>
      </w:r>
      <w:proofErr w:type="spellStart"/>
      <w:r w:rsidRPr="00ED7E01">
        <w:rPr>
          <w:sz w:val="24"/>
          <w:szCs w:val="24"/>
        </w:rPr>
        <w:t>Vector</w:t>
      </w:r>
      <w:proofErr w:type="spellEnd"/>
      <w:r w:rsidRPr="00ED7E01">
        <w:rPr>
          <w:sz w:val="24"/>
          <w:szCs w:val="24"/>
        </w:rPr>
        <w:t xml:space="preserve"> Distribution</w:t>
      </w:r>
      <w:r w:rsidR="006057BD">
        <w:rPr>
          <w:sz w:val="24"/>
          <w:szCs w:val="24"/>
        </w:rPr>
        <w:t xml:space="preserve"> (x=4cm)</w:t>
      </w:r>
    </w:p>
    <w:p w:rsidR="00A15A36" w:rsidRPr="00AD7184" w:rsidRDefault="00A15A36" w:rsidP="00A15A36">
      <w:pPr>
        <w:jc w:val="both"/>
        <w:rPr>
          <w:iCs/>
          <w:color w:val="44546A" w:themeColor="text2"/>
          <w:szCs w:val="24"/>
        </w:rPr>
      </w:pPr>
    </w:p>
    <w:sectPr w:rsidR="00A15A36" w:rsidRPr="00AD71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77B0"/>
    <w:multiLevelType w:val="hybridMultilevel"/>
    <w:tmpl w:val="D304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2BD"/>
    <w:multiLevelType w:val="hybridMultilevel"/>
    <w:tmpl w:val="65864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24CD"/>
    <w:multiLevelType w:val="hybridMultilevel"/>
    <w:tmpl w:val="65864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5961"/>
    <w:multiLevelType w:val="hybridMultilevel"/>
    <w:tmpl w:val="BBD46226"/>
    <w:lvl w:ilvl="0" w:tplc="7C52B58E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D149E"/>
    <w:multiLevelType w:val="hybridMultilevel"/>
    <w:tmpl w:val="2ABE4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F7"/>
    <w:rsid w:val="0001295F"/>
    <w:rsid w:val="000433F1"/>
    <w:rsid w:val="00065785"/>
    <w:rsid w:val="00065AD0"/>
    <w:rsid w:val="00085541"/>
    <w:rsid w:val="000E14EA"/>
    <w:rsid w:val="000F0086"/>
    <w:rsid w:val="000F2DD2"/>
    <w:rsid w:val="00141BF4"/>
    <w:rsid w:val="00143C6A"/>
    <w:rsid w:val="00150C45"/>
    <w:rsid w:val="0019011D"/>
    <w:rsid w:val="00195111"/>
    <w:rsid w:val="001B318C"/>
    <w:rsid w:val="001E7BA5"/>
    <w:rsid w:val="00214BB8"/>
    <w:rsid w:val="0021608D"/>
    <w:rsid w:val="00222304"/>
    <w:rsid w:val="00230891"/>
    <w:rsid w:val="00240554"/>
    <w:rsid w:val="0024259C"/>
    <w:rsid w:val="00244919"/>
    <w:rsid w:val="00245368"/>
    <w:rsid w:val="00294746"/>
    <w:rsid w:val="002A6AA4"/>
    <w:rsid w:val="002C4E7B"/>
    <w:rsid w:val="002C572B"/>
    <w:rsid w:val="002D6ECD"/>
    <w:rsid w:val="00304FA5"/>
    <w:rsid w:val="003102A1"/>
    <w:rsid w:val="00344CE1"/>
    <w:rsid w:val="00382DAC"/>
    <w:rsid w:val="003A5F21"/>
    <w:rsid w:val="003D0C64"/>
    <w:rsid w:val="003E19AB"/>
    <w:rsid w:val="003E3499"/>
    <w:rsid w:val="003E76F8"/>
    <w:rsid w:val="003F238C"/>
    <w:rsid w:val="00417C8B"/>
    <w:rsid w:val="00441161"/>
    <w:rsid w:val="00453D34"/>
    <w:rsid w:val="0046039E"/>
    <w:rsid w:val="0048742A"/>
    <w:rsid w:val="004E6D6D"/>
    <w:rsid w:val="005211F1"/>
    <w:rsid w:val="005268C2"/>
    <w:rsid w:val="00545774"/>
    <w:rsid w:val="0058731F"/>
    <w:rsid w:val="00587E5B"/>
    <w:rsid w:val="005B532D"/>
    <w:rsid w:val="005D53B3"/>
    <w:rsid w:val="0060528B"/>
    <w:rsid w:val="006057BD"/>
    <w:rsid w:val="00620151"/>
    <w:rsid w:val="00622CAB"/>
    <w:rsid w:val="00631866"/>
    <w:rsid w:val="00644EB0"/>
    <w:rsid w:val="006530EC"/>
    <w:rsid w:val="006A7450"/>
    <w:rsid w:val="006B0291"/>
    <w:rsid w:val="00701774"/>
    <w:rsid w:val="00707136"/>
    <w:rsid w:val="0074316E"/>
    <w:rsid w:val="00750C0D"/>
    <w:rsid w:val="00772BF4"/>
    <w:rsid w:val="00794367"/>
    <w:rsid w:val="007C2F7A"/>
    <w:rsid w:val="007D4F79"/>
    <w:rsid w:val="00800C7A"/>
    <w:rsid w:val="00827785"/>
    <w:rsid w:val="00834789"/>
    <w:rsid w:val="0083578A"/>
    <w:rsid w:val="00856CCE"/>
    <w:rsid w:val="00860490"/>
    <w:rsid w:val="008800F7"/>
    <w:rsid w:val="008A6005"/>
    <w:rsid w:val="008D0574"/>
    <w:rsid w:val="00921EAA"/>
    <w:rsid w:val="009A3576"/>
    <w:rsid w:val="009F6F5B"/>
    <w:rsid w:val="00A043AF"/>
    <w:rsid w:val="00A15A36"/>
    <w:rsid w:val="00A40C78"/>
    <w:rsid w:val="00A55985"/>
    <w:rsid w:val="00A743DB"/>
    <w:rsid w:val="00A7772F"/>
    <w:rsid w:val="00AC04FC"/>
    <w:rsid w:val="00AD7184"/>
    <w:rsid w:val="00AE07C9"/>
    <w:rsid w:val="00AE0E50"/>
    <w:rsid w:val="00AE226C"/>
    <w:rsid w:val="00AE3E76"/>
    <w:rsid w:val="00B5732F"/>
    <w:rsid w:val="00B61EB0"/>
    <w:rsid w:val="00B6651E"/>
    <w:rsid w:val="00B754CB"/>
    <w:rsid w:val="00B8430D"/>
    <w:rsid w:val="00BB4B53"/>
    <w:rsid w:val="00BB63CA"/>
    <w:rsid w:val="00BC1C03"/>
    <w:rsid w:val="00BE781A"/>
    <w:rsid w:val="00C328D9"/>
    <w:rsid w:val="00C464FE"/>
    <w:rsid w:val="00C7321C"/>
    <w:rsid w:val="00C9430E"/>
    <w:rsid w:val="00CA4A95"/>
    <w:rsid w:val="00D03E87"/>
    <w:rsid w:val="00D530E6"/>
    <w:rsid w:val="00D54302"/>
    <w:rsid w:val="00D63E5B"/>
    <w:rsid w:val="00D7246C"/>
    <w:rsid w:val="00DB6DB3"/>
    <w:rsid w:val="00DC5486"/>
    <w:rsid w:val="00DE3CF4"/>
    <w:rsid w:val="00E201A5"/>
    <w:rsid w:val="00E217F2"/>
    <w:rsid w:val="00E55313"/>
    <w:rsid w:val="00EA37A9"/>
    <w:rsid w:val="00EB564D"/>
    <w:rsid w:val="00ED7E01"/>
    <w:rsid w:val="00EE43CE"/>
    <w:rsid w:val="00F11428"/>
    <w:rsid w:val="00F91C55"/>
    <w:rsid w:val="00FB4CCD"/>
    <w:rsid w:val="00FD043F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E04F2-7525-405F-BB07-C7D71B57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D2"/>
    <w:rPr>
      <w:rFonts w:ascii="Garamond" w:hAnsi="Garamond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DD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D2"/>
    <w:rPr>
      <w:rFonts w:ascii="Garamond" w:eastAsiaTheme="majorEastAsia" w:hAnsi="Garamond" w:cstheme="majorBidi"/>
      <w:color w:val="2E74B5" w:themeColor="accent1" w:themeShade="BF"/>
      <w:sz w:val="32"/>
      <w:szCs w:val="32"/>
      <w:lang w:val="tr-TR"/>
    </w:rPr>
  </w:style>
  <w:style w:type="character" w:styleId="PlaceholderText">
    <w:name w:val="Placeholder Text"/>
    <w:basedOn w:val="DefaultParagraphFont"/>
    <w:uiPriority w:val="99"/>
    <w:semiHidden/>
    <w:rsid w:val="000F2DD2"/>
    <w:rPr>
      <w:color w:val="808080"/>
    </w:rPr>
  </w:style>
  <w:style w:type="paragraph" w:styleId="ListParagraph">
    <w:name w:val="List Paragraph"/>
    <w:basedOn w:val="Normal"/>
    <w:uiPriority w:val="34"/>
    <w:qFormat/>
    <w:rsid w:val="000F2D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17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ydar\Desktop\Documents\Power%20Electronics\Graduate%20School\Motor%20Design\Week%203%20-%20Electromechanical%20Energy%20Conversion\Week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ydar\Desktop\Documents\Power%20Electronics\Graduate%20School\Motor%20Design\Week%203%20-%20Electromechanical%20Energy%20Conversion\Week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ydar\Desktop\Documents\Power%20Electronics\Graduate%20School\Motor%20Design\Week%203%20-%20Electromechanical%20Energy%20Conversion\Week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ydar\Desktop\Documents\Power%20Electronics\Graduate%20School\Motor%20Design\Week%203%20-%20Electromechanical%20Energy%20Conversion\Week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Inductance</a:t>
            </a:r>
            <a:r>
              <a:rPr lang="tr-TR">
                <a:latin typeface="Times New Roman" panose="02020603050405020304" pitchFamily="18" charset="0"/>
                <a:cs typeface="Times New Roman" panose="02020603050405020304" pitchFamily="18" charset="0"/>
              </a:rPr>
              <a:t> (uH)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Inductance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Sheet1!$D$2:$D$11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4.8899999999999997</c:v>
                </c:pt>
                <c:pt idx="1">
                  <c:v>4.9210000000000003</c:v>
                </c:pt>
                <c:pt idx="2">
                  <c:v>4.9870000000000001</c:v>
                </c:pt>
                <c:pt idx="3">
                  <c:v>5.23</c:v>
                </c:pt>
                <c:pt idx="4">
                  <c:v>5.78</c:v>
                </c:pt>
                <c:pt idx="5">
                  <c:v>6.2240000000000002</c:v>
                </c:pt>
                <c:pt idx="6">
                  <c:v>6.3739999999999997</c:v>
                </c:pt>
                <c:pt idx="7">
                  <c:v>6.2789999999999999</c:v>
                </c:pt>
                <c:pt idx="8">
                  <c:v>5.8819999999999997</c:v>
                </c:pt>
                <c:pt idx="9">
                  <c:v>5.3680000000000003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33514152"/>
        <c:axId val="233514544"/>
      </c:scatterChart>
      <c:valAx>
        <c:axId val="233514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Distance(m)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14544"/>
        <c:crosses val="autoZero"/>
        <c:crossBetween val="midCat"/>
        <c:majorUnit val="1"/>
      </c:valAx>
      <c:valAx>
        <c:axId val="23351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Inductance(uH)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14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>
                <a:latin typeface="Times New Roman" panose="02020603050405020304" pitchFamily="18" charset="0"/>
                <a:cs typeface="Times New Roman" panose="02020603050405020304" pitchFamily="18" charset="0"/>
              </a:rPr>
              <a:t>Force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-48.14</c:v>
                </c:pt>
                <c:pt idx="1">
                  <c:v>-119.56</c:v>
                </c:pt>
                <c:pt idx="2">
                  <c:v>-404.19</c:v>
                </c:pt>
                <c:pt idx="3">
                  <c:v>-1700</c:v>
                </c:pt>
                <c:pt idx="4">
                  <c:v>-2000</c:v>
                </c:pt>
                <c:pt idx="5">
                  <c:v>-1193</c:v>
                </c:pt>
                <c:pt idx="6">
                  <c:v>-100.28</c:v>
                </c:pt>
                <c:pt idx="7">
                  <c:v>952</c:v>
                </c:pt>
                <c:pt idx="8">
                  <c:v>1850</c:v>
                </c:pt>
                <c:pt idx="9">
                  <c:v>1447.7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513760"/>
        <c:axId val="233515328"/>
      </c:scatterChart>
      <c:valAx>
        <c:axId val="23351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Distance(m)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15328"/>
        <c:crosses val="autoZero"/>
        <c:crossBetween val="midCat"/>
        <c:majorUnit val="1"/>
      </c:valAx>
      <c:valAx>
        <c:axId val="23351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Force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1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>
                <a:latin typeface="Times New Roman" panose="02020603050405020304" pitchFamily="18" charset="0"/>
                <a:cs typeface="Times New Roman" panose="02020603050405020304" pitchFamily="18" charset="0"/>
              </a:rPr>
              <a:t>Total Magnetic Co-Energy (J)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Magnetic Co-Energy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</c:numRef>
          </c:xVal>
          <c:yVal>
            <c:numRef>
              <c:f>Sheet1!$A$2:$A$11</c:f>
              <c:numCache>
                <c:formatCode>General</c:formatCode>
                <c:ptCount val="10"/>
                <c:pt idx="0">
                  <c:v>176.65125</c:v>
                </c:pt>
                <c:pt idx="1">
                  <c:v>177.77112500000001</c:v>
                </c:pt>
                <c:pt idx="2">
                  <c:v>180.15537499999999</c:v>
                </c:pt>
                <c:pt idx="3">
                  <c:v>188.93375</c:v>
                </c:pt>
                <c:pt idx="4">
                  <c:v>208.80249999999998</c:v>
                </c:pt>
                <c:pt idx="5">
                  <c:v>224.84200000000001</c:v>
                </c:pt>
                <c:pt idx="6">
                  <c:v>230.26074999999997</c:v>
                </c:pt>
                <c:pt idx="7">
                  <c:v>226.82887499999998</c:v>
                </c:pt>
                <c:pt idx="8">
                  <c:v>212.48724999999999</c:v>
                </c:pt>
                <c:pt idx="9">
                  <c:v>193.91900000000001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489792"/>
        <c:axId val="233490184"/>
      </c:scatterChart>
      <c:valAx>
        <c:axId val="23348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Distance(m)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90184"/>
        <c:crosses val="autoZero"/>
        <c:crossBetween val="midCat"/>
        <c:majorUnit val="1"/>
      </c:valAx>
      <c:valAx>
        <c:axId val="23349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Total Magnetic Co-Energy(N)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8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>
                <a:latin typeface="Times New Roman" panose="02020603050405020304" pitchFamily="18" charset="0"/>
                <a:cs typeface="Times New Roman" panose="02020603050405020304" pitchFamily="18" charset="0"/>
              </a:rPr>
              <a:t>Inductance (uH), </a:t>
            </a:r>
            <a:r>
              <a:rPr lang="tr-TR" sz="1400" b="0" i="0" u="none" strike="noStrike" baseline="0">
                <a:effectLst/>
              </a:rPr>
              <a:t>Force (kN)</a:t>
            </a:r>
            <a:endParaRPr lang="tr-TR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'[Week 3.xlsx]Sheet1'!$D$2:$D$11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  <c:extLst xmlns:c15="http://schemas.microsoft.com/office/drawing/2012/chart"/>
            </c:numRef>
          </c:xVal>
          <c:yVal>
            <c:numRef>
              <c:f>'[Week 3.xlsx]Sheet1'!$B$13:$B$22</c:f>
              <c:numCache>
                <c:formatCode>General</c:formatCode>
                <c:ptCount val="10"/>
                <c:pt idx="0">
                  <c:v>-4.8140000000000002E-2</c:v>
                </c:pt>
                <c:pt idx="1">
                  <c:v>-0.11956</c:v>
                </c:pt>
                <c:pt idx="2">
                  <c:v>-0.40418999999999999</c:v>
                </c:pt>
                <c:pt idx="3">
                  <c:v>-1.7</c:v>
                </c:pt>
                <c:pt idx="4">
                  <c:v>-2</c:v>
                </c:pt>
                <c:pt idx="5">
                  <c:v>-1.1930000000000001</c:v>
                </c:pt>
                <c:pt idx="6">
                  <c:v>-0.10028000000000001</c:v>
                </c:pt>
                <c:pt idx="7">
                  <c:v>0.95199999999999996</c:v>
                </c:pt>
                <c:pt idx="8">
                  <c:v>1.85</c:v>
                </c:pt>
                <c:pt idx="9">
                  <c:v>1.4477</c:v>
                </c:pt>
              </c:numCache>
            </c:numRef>
          </c:yVal>
          <c:smooth val="1"/>
        </c:ser>
        <c:ser>
          <c:idx val="1"/>
          <c:order val="1"/>
          <c:tx>
            <c:v>Inductance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'[Week 3.xlsx]Sheet1'!$D$2:$D$11</c:f>
              <c:numCache>
                <c:formatCode>General</c:formatCode>
                <c:ptCount val="10"/>
                <c:pt idx="0">
                  <c:v>13</c:v>
                </c:pt>
                <c:pt idx="1">
                  <c:v>12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</c:numCache>
            </c:numRef>
          </c:xVal>
          <c:yVal>
            <c:numRef>
              <c:f>'[Week 3.xlsx]Sheet1'!$C$2:$C$11</c:f>
              <c:numCache>
                <c:formatCode>General</c:formatCode>
                <c:ptCount val="10"/>
                <c:pt idx="0">
                  <c:v>4.8899999999999997</c:v>
                </c:pt>
                <c:pt idx="1">
                  <c:v>4.9210000000000003</c:v>
                </c:pt>
                <c:pt idx="2">
                  <c:v>4.9870000000000001</c:v>
                </c:pt>
                <c:pt idx="3">
                  <c:v>5.23</c:v>
                </c:pt>
                <c:pt idx="4">
                  <c:v>5.78</c:v>
                </c:pt>
                <c:pt idx="5">
                  <c:v>6.2240000000000002</c:v>
                </c:pt>
                <c:pt idx="6">
                  <c:v>6.3739999999999997</c:v>
                </c:pt>
                <c:pt idx="7">
                  <c:v>6.2789999999999999</c:v>
                </c:pt>
                <c:pt idx="8">
                  <c:v>5.8819999999999997</c:v>
                </c:pt>
                <c:pt idx="9">
                  <c:v>5.3680000000000003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490968"/>
        <c:axId val="3118168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Total Magnetic Co-Energy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'[Week 3.xlsx]Sheet1'!$D$2:$D$11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</c:v>
                      </c:pt>
                      <c:pt idx="1">
                        <c:v>12</c:v>
                      </c:pt>
                      <c:pt idx="2">
                        <c:v>11</c:v>
                      </c:pt>
                      <c:pt idx="3">
                        <c:v>10</c:v>
                      </c:pt>
                      <c:pt idx="4">
                        <c:v>9</c:v>
                      </c:pt>
                      <c:pt idx="5">
                        <c:v>8</c:v>
                      </c:pt>
                      <c:pt idx="6">
                        <c:v>7</c:v>
                      </c:pt>
                      <c:pt idx="7">
                        <c:v>6</c:v>
                      </c:pt>
                      <c:pt idx="8">
                        <c:v>5</c:v>
                      </c:pt>
                      <c:pt idx="9">
                        <c:v>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'[Week 3.xlsx]Sheet1'!$A$2:$A$11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176.65125</c:v>
                      </c:pt>
                      <c:pt idx="1">
                        <c:v>177.77112500000001</c:v>
                      </c:pt>
                      <c:pt idx="2">
                        <c:v>180.15537499999999</c:v>
                      </c:pt>
                      <c:pt idx="3">
                        <c:v>188.93375</c:v>
                      </c:pt>
                      <c:pt idx="4">
                        <c:v>208.80249999999998</c:v>
                      </c:pt>
                      <c:pt idx="5">
                        <c:v>224.84200000000001</c:v>
                      </c:pt>
                      <c:pt idx="6">
                        <c:v>230.26074999999997</c:v>
                      </c:pt>
                      <c:pt idx="7">
                        <c:v>226.82887499999998</c:v>
                      </c:pt>
                      <c:pt idx="8">
                        <c:v>212.48724999999999</c:v>
                      </c:pt>
                      <c:pt idx="9">
                        <c:v>193.91900000000001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233490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Distance(m)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16880"/>
        <c:crosses val="autoZero"/>
        <c:crossBetween val="midCat"/>
        <c:majorUnit val="1"/>
      </c:valAx>
      <c:valAx>
        <c:axId val="31181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Force (kN)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490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CC4FDF-720E-404C-B84D-87CBDA72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AYDAR</dc:creator>
  <cp:keywords/>
  <dc:description/>
  <cp:lastModifiedBy>Cihan AYDAR</cp:lastModifiedBy>
  <cp:revision>78</cp:revision>
  <dcterms:created xsi:type="dcterms:W3CDTF">2017-11-21T12:30:00Z</dcterms:created>
  <dcterms:modified xsi:type="dcterms:W3CDTF">2017-11-23T14:39:00Z</dcterms:modified>
</cp:coreProperties>
</file>