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43A1" w14:textId="77777777" w:rsidR="00EB5F7C" w:rsidRDefault="00EB5F7C" w:rsidP="00EB5F7C">
      <w:r>
        <w:rPr>
          <w:noProof/>
        </w:rPr>
        <w:drawing>
          <wp:inline distT="0" distB="0" distL="0" distR="0" wp14:anchorId="176F3384" wp14:editId="7186BDDF">
            <wp:extent cx="1636776" cy="685800"/>
            <wp:effectExtent l="0" t="0" r="1905" b="0"/>
            <wp:docPr id="56195175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51753" name="Graphique 561951753"/>
                    <pic:cNvPicPr/>
                  </pic:nvPicPr>
                  <pic:blipFill>
                    <a:blip r:embed="rId6">
                      <a:extLst>
                        <a:ext uri="{96DAC541-7B7A-43D3-8B79-37D633B846F1}">
                          <asvg:svgBlip xmlns:asvg="http://schemas.microsoft.com/office/drawing/2016/SVG/main" r:embed="rId7"/>
                        </a:ext>
                      </a:extLst>
                    </a:blip>
                    <a:stretch>
                      <a:fillRect/>
                    </a:stretch>
                  </pic:blipFill>
                  <pic:spPr>
                    <a:xfrm>
                      <a:off x="0" y="0"/>
                      <a:ext cx="1636776" cy="685800"/>
                    </a:xfrm>
                    <a:prstGeom prst="rect">
                      <a:avLst/>
                    </a:prstGeom>
                  </pic:spPr>
                </pic:pic>
              </a:graphicData>
            </a:graphic>
          </wp:inline>
        </w:drawing>
      </w:r>
    </w:p>
    <w:p w14:paraId="3DAA9D0D" w14:textId="77777777" w:rsidR="00EB5F7C" w:rsidRDefault="00EB5F7C" w:rsidP="00EB5F7C">
      <w:pPr>
        <w:jc w:val="center"/>
        <w:rPr>
          <w:b/>
          <w:bCs/>
          <w:sz w:val="40"/>
          <w:szCs w:val="40"/>
        </w:rPr>
      </w:pPr>
    </w:p>
    <w:p w14:paraId="77E5E472" w14:textId="5B935181" w:rsidR="00BD5AA0" w:rsidRPr="002E4BF7" w:rsidRDefault="00EB5F7C" w:rsidP="00EB5F7C">
      <w:pPr>
        <w:jc w:val="center"/>
        <w:rPr>
          <w:b/>
          <w:bCs/>
          <w:sz w:val="32"/>
          <w:szCs w:val="32"/>
        </w:rPr>
      </w:pPr>
      <w:r w:rsidRPr="002E4BF7">
        <w:rPr>
          <w:b/>
          <w:bCs/>
          <w:noProof/>
          <w:sz w:val="32"/>
          <w:szCs w:val="32"/>
        </w:rPr>
        <w:drawing>
          <wp:anchor distT="0" distB="0" distL="114300" distR="114300" simplePos="0" relativeHeight="251658240" behindDoc="0" locked="0" layoutInCell="1" allowOverlap="1" wp14:anchorId="59FDBA68" wp14:editId="5557D7BC">
            <wp:simplePos x="2541270" y="902335"/>
            <wp:positionH relativeFrom="margin">
              <wp:align>right</wp:align>
            </wp:positionH>
            <wp:positionV relativeFrom="margin">
              <wp:align>top</wp:align>
            </wp:positionV>
            <wp:extent cx="1645920" cy="685800"/>
            <wp:effectExtent l="0" t="0" r="0" b="0"/>
            <wp:wrapSquare wrapText="bothSides"/>
            <wp:docPr id="9758989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98936" name="Image 9758989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685800"/>
                    </a:xfrm>
                    <a:prstGeom prst="rect">
                      <a:avLst/>
                    </a:prstGeom>
                  </pic:spPr>
                </pic:pic>
              </a:graphicData>
            </a:graphic>
          </wp:anchor>
        </w:drawing>
      </w:r>
      <w:r w:rsidRPr="002E4BF7">
        <w:rPr>
          <w:b/>
          <w:bCs/>
          <w:sz w:val="32"/>
          <w:szCs w:val="32"/>
        </w:rPr>
        <w:t>Université CADI AYYAD - Marrakech</w:t>
      </w:r>
    </w:p>
    <w:p w14:paraId="4FC92A5E" w14:textId="6A3F663A" w:rsidR="00EB5F7C" w:rsidRDefault="00EB5F7C" w:rsidP="00EB5F7C">
      <w:pPr>
        <w:jc w:val="center"/>
        <w:rPr>
          <w:sz w:val="32"/>
          <w:szCs w:val="32"/>
        </w:rPr>
      </w:pPr>
      <w:r w:rsidRPr="002E4BF7">
        <w:rPr>
          <w:sz w:val="32"/>
          <w:szCs w:val="32"/>
        </w:rPr>
        <w:t>Ecole Nationale des Sciences Appliquées</w:t>
      </w:r>
    </w:p>
    <w:p w14:paraId="15E6AB1D" w14:textId="77777777" w:rsidR="002E4BF7" w:rsidRDefault="002E4BF7" w:rsidP="00EB5F7C">
      <w:pPr>
        <w:jc w:val="center"/>
        <w:rPr>
          <w:sz w:val="32"/>
          <w:szCs w:val="32"/>
        </w:rPr>
      </w:pPr>
    </w:p>
    <w:p w14:paraId="0AEC0911" w14:textId="67EFA20D" w:rsidR="002E4BF7" w:rsidRDefault="002E4BF7" w:rsidP="002E4BF7">
      <w:pPr>
        <w:jc w:val="center"/>
        <w:rPr>
          <w:sz w:val="32"/>
          <w:szCs w:val="32"/>
        </w:rPr>
      </w:pPr>
      <w:r w:rsidRPr="002E4BF7">
        <w:rPr>
          <w:sz w:val="32"/>
          <w:szCs w:val="32"/>
        </w:rPr>
        <w:t>Rapport de stage</w:t>
      </w:r>
      <w:r>
        <w:rPr>
          <w:sz w:val="32"/>
          <w:szCs w:val="32"/>
        </w:rPr>
        <w:t xml:space="preserve"> d’observation</w:t>
      </w:r>
    </w:p>
    <w:p w14:paraId="0AEB960A" w14:textId="173AA206" w:rsidR="002E4BF7" w:rsidRDefault="002E4BF7" w:rsidP="002E4BF7">
      <w:pPr>
        <w:jc w:val="center"/>
        <w:rPr>
          <w:sz w:val="32"/>
          <w:szCs w:val="32"/>
        </w:rPr>
      </w:pPr>
      <w:r w:rsidRPr="002E4BF7">
        <w:rPr>
          <w:b/>
          <w:bCs/>
          <w:sz w:val="32"/>
          <w:szCs w:val="32"/>
        </w:rPr>
        <w:t>Spécialité</w:t>
      </w:r>
      <w:r w:rsidR="00E903D8">
        <w:rPr>
          <w:b/>
          <w:bCs/>
          <w:sz w:val="32"/>
          <w:szCs w:val="32"/>
        </w:rPr>
        <w:t xml:space="preserve"> </w:t>
      </w:r>
      <w:r w:rsidRPr="002E4BF7">
        <w:rPr>
          <w:b/>
          <w:bCs/>
          <w:sz w:val="32"/>
          <w:szCs w:val="32"/>
        </w:rPr>
        <w:t>:</w:t>
      </w:r>
      <w:r>
        <w:rPr>
          <w:b/>
          <w:bCs/>
          <w:sz w:val="32"/>
          <w:szCs w:val="32"/>
        </w:rPr>
        <w:t xml:space="preserve"> </w:t>
      </w:r>
      <w:r>
        <w:rPr>
          <w:sz w:val="32"/>
          <w:szCs w:val="32"/>
        </w:rPr>
        <w:t>Systèmes Electroniques Embarqués et Commande des</w:t>
      </w:r>
      <w:r w:rsidR="00E903D8">
        <w:rPr>
          <w:sz w:val="32"/>
          <w:szCs w:val="32"/>
        </w:rPr>
        <w:t xml:space="preserve"> </w:t>
      </w:r>
      <w:r>
        <w:rPr>
          <w:sz w:val="32"/>
          <w:szCs w:val="32"/>
        </w:rPr>
        <w:t>Systèmes</w:t>
      </w:r>
    </w:p>
    <w:p w14:paraId="7E10E812" w14:textId="77777777" w:rsidR="002E4BF7" w:rsidRDefault="002E4BF7" w:rsidP="002E4BF7">
      <w:pPr>
        <w:jc w:val="center"/>
        <w:rPr>
          <w:sz w:val="32"/>
          <w:szCs w:val="32"/>
        </w:rPr>
      </w:pPr>
    </w:p>
    <w:p w14:paraId="74C1A094" w14:textId="5C1C393C" w:rsidR="002E4BF7" w:rsidRPr="00E903D8" w:rsidRDefault="002E4BF7" w:rsidP="00A01155">
      <w:pPr>
        <w:pStyle w:val="TitreSpcial"/>
      </w:pPr>
      <w:r w:rsidRPr="00E903D8">
        <w:t>Sujet</w:t>
      </w:r>
      <w:r w:rsidR="00E903D8" w:rsidRPr="00E903D8">
        <w:t xml:space="preserve"> </w:t>
      </w:r>
      <w:r w:rsidRPr="00E903D8">
        <w:t>:</w:t>
      </w:r>
    </w:p>
    <w:p w14:paraId="00E3318D" w14:textId="31872665" w:rsidR="002E4BF7" w:rsidRDefault="002E4BF7" w:rsidP="00E903D8">
      <w:pPr>
        <w:jc w:val="center"/>
        <w:rPr>
          <w:b/>
          <w:bCs/>
          <w:sz w:val="40"/>
          <w:szCs w:val="40"/>
        </w:rPr>
      </w:pPr>
      <w:r w:rsidRPr="002E4BF7">
        <w:rPr>
          <w:b/>
          <w:bCs/>
          <w:sz w:val="40"/>
          <w:szCs w:val="40"/>
        </w:rPr>
        <w:t xml:space="preserve">La </w:t>
      </w:r>
      <w:r>
        <w:rPr>
          <w:b/>
          <w:bCs/>
          <w:sz w:val="40"/>
          <w:szCs w:val="40"/>
        </w:rPr>
        <w:t>C</w:t>
      </w:r>
      <w:r w:rsidRPr="002E4BF7">
        <w:rPr>
          <w:b/>
          <w:bCs/>
          <w:sz w:val="40"/>
          <w:szCs w:val="40"/>
        </w:rPr>
        <w:t xml:space="preserve">onduite </w:t>
      </w:r>
      <w:r>
        <w:rPr>
          <w:b/>
          <w:bCs/>
          <w:sz w:val="40"/>
          <w:szCs w:val="40"/>
        </w:rPr>
        <w:t>A</w:t>
      </w:r>
      <w:r w:rsidRPr="002E4BF7">
        <w:rPr>
          <w:b/>
          <w:bCs/>
          <w:sz w:val="40"/>
          <w:szCs w:val="40"/>
        </w:rPr>
        <w:t>utonome de</w:t>
      </w:r>
      <w:r>
        <w:rPr>
          <w:b/>
          <w:bCs/>
          <w:sz w:val="40"/>
          <w:szCs w:val="40"/>
        </w:rPr>
        <w:t>s M</w:t>
      </w:r>
      <w:r w:rsidRPr="002E4BF7">
        <w:rPr>
          <w:b/>
          <w:bCs/>
          <w:sz w:val="40"/>
          <w:szCs w:val="40"/>
        </w:rPr>
        <w:t>achine</w:t>
      </w:r>
      <w:r>
        <w:rPr>
          <w:b/>
          <w:bCs/>
          <w:sz w:val="40"/>
          <w:szCs w:val="40"/>
        </w:rPr>
        <w:t>s</w:t>
      </w:r>
      <w:r w:rsidR="00E903D8">
        <w:rPr>
          <w:b/>
          <w:bCs/>
          <w:sz w:val="40"/>
          <w:szCs w:val="40"/>
        </w:rPr>
        <w:t xml:space="preserve"> </w:t>
      </w:r>
      <w:r>
        <w:rPr>
          <w:b/>
          <w:bCs/>
          <w:sz w:val="40"/>
          <w:szCs w:val="40"/>
        </w:rPr>
        <w:t>S</w:t>
      </w:r>
      <w:r w:rsidRPr="002E4BF7">
        <w:rPr>
          <w:b/>
          <w:bCs/>
          <w:sz w:val="40"/>
          <w:szCs w:val="40"/>
        </w:rPr>
        <w:t>tockeuse</w:t>
      </w:r>
      <w:r>
        <w:rPr>
          <w:b/>
          <w:bCs/>
          <w:sz w:val="40"/>
          <w:szCs w:val="40"/>
        </w:rPr>
        <w:t>s</w:t>
      </w:r>
    </w:p>
    <w:p w14:paraId="6EFD6122" w14:textId="77777777" w:rsidR="00E903D8" w:rsidRDefault="00E903D8" w:rsidP="00E903D8">
      <w:pPr>
        <w:rPr>
          <w:b/>
          <w:bCs/>
          <w:sz w:val="40"/>
          <w:szCs w:val="40"/>
        </w:rPr>
      </w:pPr>
    </w:p>
    <w:p w14:paraId="33ED04AE" w14:textId="4F1D94D9" w:rsidR="00E903D8" w:rsidRPr="00E903D8" w:rsidRDefault="00E903D8" w:rsidP="00E903D8">
      <w:pPr>
        <w:rPr>
          <w:i/>
          <w:iCs/>
          <w:szCs w:val="28"/>
        </w:rPr>
      </w:pPr>
      <w:r w:rsidRPr="00E903D8">
        <w:rPr>
          <w:i/>
          <w:iCs/>
          <w:szCs w:val="28"/>
        </w:rPr>
        <w:t>Réalisé par :</w:t>
      </w:r>
    </w:p>
    <w:p w14:paraId="55E6847C" w14:textId="44354333" w:rsidR="00E903D8" w:rsidRPr="00E903D8" w:rsidRDefault="00E903D8" w:rsidP="00E903D8">
      <w:pPr>
        <w:pStyle w:val="Paragraphedeliste"/>
        <w:numPr>
          <w:ilvl w:val="0"/>
          <w:numId w:val="1"/>
        </w:numPr>
        <w:rPr>
          <w:rFonts w:asciiTheme="majorBidi" w:hAnsiTheme="majorBidi" w:cstheme="majorBidi"/>
          <w:szCs w:val="28"/>
        </w:rPr>
      </w:pPr>
      <w:r w:rsidRPr="00E903D8">
        <w:rPr>
          <w:rFonts w:asciiTheme="majorBidi" w:hAnsiTheme="majorBidi" w:cstheme="majorBidi"/>
          <w:szCs w:val="28"/>
        </w:rPr>
        <w:t>ELMADI Choaib</w:t>
      </w:r>
    </w:p>
    <w:p w14:paraId="51E5E8B7" w14:textId="77777777" w:rsidR="00E903D8" w:rsidRDefault="00E903D8" w:rsidP="00E903D8">
      <w:pPr>
        <w:rPr>
          <w:szCs w:val="28"/>
        </w:rPr>
      </w:pPr>
    </w:p>
    <w:p w14:paraId="17D22FF8" w14:textId="071243BC" w:rsidR="00E903D8" w:rsidRDefault="00E903D8" w:rsidP="00E903D8">
      <w:pPr>
        <w:rPr>
          <w:i/>
          <w:iCs/>
          <w:szCs w:val="28"/>
        </w:rPr>
      </w:pPr>
      <w:r>
        <w:rPr>
          <w:i/>
          <w:iCs/>
          <w:szCs w:val="28"/>
        </w:rPr>
        <w:t>Encadré par :</w:t>
      </w:r>
    </w:p>
    <w:p w14:paraId="102A58C2" w14:textId="2FCF7560" w:rsidR="00E903D8" w:rsidRPr="00E903D8" w:rsidRDefault="00E903D8" w:rsidP="00E903D8">
      <w:pPr>
        <w:pStyle w:val="Paragraphedeliste"/>
        <w:numPr>
          <w:ilvl w:val="0"/>
          <w:numId w:val="1"/>
        </w:numPr>
        <w:rPr>
          <w:rFonts w:asciiTheme="majorBidi" w:hAnsiTheme="majorBidi" w:cstheme="majorBidi"/>
          <w:szCs w:val="28"/>
        </w:rPr>
      </w:pPr>
      <w:r w:rsidRPr="00E903D8">
        <w:rPr>
          <w:rFonts w:asciiTheme="majorBidi" w:hAnsiTheme="majorBidi" w:cstheme="majorBidi"/>
          <w:szCs w:val="28"/>
        </w:rPr>
        <w:t>M. Fahim …</w:t>
      </w:r>
    </w:p>
    <w:p w14:paraId="515176D4" w14:textId="4C40CEBF" w:rsidR="00E903D8" w:rsidRDefault="00E903D8" w:rsidP="00E903D8">
      <w:pPr>
        <w:pStyle w:val="Paragraphedeliste"/>
        <w:numPr>
          <w:ilvl w:val="0"/>
          <w:numId w:val="1"/>
        </w:numPr>
        <w:rPr>
          <w:rFonts w:asciiTheme="majorBidi" w:hAnsiTheme="majorBidi" w:cstheme="majorBidi"/>
          <w:szCs w:val="28"/>
        </w:rPr>
      </w:pPr>
      <w:r w:rsidRPr="00E903D8">
        <w:rPr>
          <w:rFonts w:asciiTheme="majorBidi" w:hAnsiTheme="majorBidi" w:cstheme="majorBidi"/>
          <w:szCs w:val="28"/>
        </w:rPr>
        <w:t>M. Khalid Ezzahrawi</w:t>
      </w:r>
    </w:p>
    <w:p w14:paraId="0B7D95F5" w14:textId="77777777" w:rsidR="00E903D8" w:rsidRDefault="00E903D8" w:rsidP="00E903D8">
      <w:pPr>
        <w:rPr>
          <w:rFonts w:asciiTheme="majorBidi" w:hAnsiTheme="majorBidi" w:cstheme="majorBidi"/>
          <w:szCs w:val="28"/>
        </w:rPr>
      </w:pPr>
    </w:p>
    <w:p w14:paraId="7752F742" w14:textId="1119EFDF" w:rsidR="00E903D8" w:rsidRDefault="00E903D8" w:rsidP="00E903D8">
      <w:pPr>
        <w:jc w:val="center"/>
        <w:rPr>
          <w:rFonts w:cstheme="minorHAnsi"/>
          <w:sz w:val="32"/>
          <w:szCs w:val="32"/>
        </w:rPr>
      </w:pPr>
      <w:r w:rsidRPr="00E903D8">
        <w:rPr>
          <w:rFonts w:cstheme="minorHAnsi"/>
          <w:sz w:val="32"/>
          <w:szCs w:val="32"/>
        </w:rPr>
        <w:t>Réalisé au s</w:t>
      </w:r>
      <w:r>
        <w:rPr>
          <w:rFonts w:cstheme="minorHAnsi"/>
          <w:sz w:val="32"/>
          <w:szCs w:val="32"/>
        </w:rPr>
        <w:t>e</w:t>
      </w:r>
      <w:r w:rsidRPr="00E903D8">
        <w:rPr>
          <w:rFonts w:cstheme="minorHAnsi"/>
          <w:sz w:val="32"/>
          <w:szCs w:val="32"/>
        </w:rPr>
        <w:t>in du groupe OCP</w:t>
      </w:r>
    </w:p>
    <w:p w14:paraId="1F314AE0" w14:textId="77777777" w:rsidR="00E903D8" w:rsidRDefault="00E903D8" w:rsidP="00E903D8">
      <w:pPr>
        <w:jc w:val="center"/>
        <w:rPr>
          <w:rFonts w:cstheme="minorHAnsi"/>
          <w:sz w:val="32"/>
          <w:szCs w:val="32"/>
        </w:rPr>
      </w:pPr>
    </w:p>
    <w:p w14:paraId="667978C6" w14:textId="5D1B300D" w:rsidR="00E903D8" w:rsidRDefault="00E903D8" w:rsidP="00E903D8">
      <w:pPr>
        <w:jc w:val="center"/>
        <w:rPr>
          <w:rFonts w:cstheme="minorHAnsi"/>
          <w:sz w:val="32"/>
          <w:szCs w:val="32"/>
        </w:rPr>
      </w:pPr>
      <w:r>
        <w:rPr>
          <w:rFonts w:cstheme="minorHAnsi"/>
          <w:noProof/>
          <w:sz w:val="32"/>
          <w:szCs w:val="32"/>
        </w:rPr>
        <w:drawing>
          <wp:inline distT="0" distB="0" distL="0" distR="0" wp14:anchorId="4583CA35" wp14:editId="04FC3F7C">
            <wp:extent cx="1068779" cy="1364170"/>
            <wp:effectExtent l="0" t="0" r="0" b="7620"/>
            <wp:docPr id="18338109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0923" name="Image 1833810923"/>
                    <pic:cNvPicPr/>
                  </pic:nvPicPr>
                  <pic:blipFill>
                    <a:blip r:embed="rId9">
                      <a:extLst>
                        <a:ext uri="{28A0092B-C50C-407E-A947-70E740481C1C}">
                          <a14:useLocalDpi xmlns:a14="http://schemas.microsoft.com/office/drawing/2010/main" val="0"/>
                        </a:ext>
                      </a:extLst>
                    </a:blip>
                    <a:stretch>
                      <a:fillRect/>
                    </a:stretch>
                  </pic:blipFill>
                  <pic:spPr>
                    <a:xfrm>
                      <a:off x="0" y="0"/>
                      <a:ext cx="1078906" cy="1377096"/>
                    </a:xfrm>
                    <a:prstGeom prst="rect">
                      <a:avLst/>
                    </a:prstGeom>
                  </pic:spPr>
                </pic:pic>
              </a:graphicData>
            </a:graphic>
          </wp:inline>
        </w:drawing>
      </w:r>
    </w:p>
    <w:p w14:paraId="081916D8" w14:textId="77777777" w:rsidR="00C519BC" w:rsidRDefault="00C519BC" w:rsidP="00E903D8">
      <w:pPr>
        <w:jc w:val="center"/>
        <w:rPr>
          <w:rFonts w:cstheme="minorHAnsi"/>
          <w:sz w:val="32"/>
          <w:szCs w:val="32"/>
        </w:rPr>
      </w:pPr>
    </w:p>
    <w:p w14:paraId="36D66779" w14:textId="2F134609" w:rsidR="007D12FD" w:rsidRPr="007D12FD" w:rsidRDefault="0075445E" w:rsidP="00A01155">
      <w:pPr>
        <w:pStyle w:val="TitreSpcial"/>
      </w:pPr>
      <w:r>
        <w:lastRenderedPageBreak/>
        <w:t>Résumé :</w:t>
      </w:r>
    </w:p>
    <w:p w14:paraId="717F702D" w14:textId="6D925B3D" w:rsidR="007D12FD" w:rsidRDefault="007D12FD" w:rsidP="003F336D">
      <w:pPr>
        <w:ind w:firstLine="708"/>
        <w:rPr>
          <w:rFonts w:cstheme="minorHAnsi"/>
          <w:szCs w:val="28"/>
        </w:rPr>
      </w:pPr>
      <w:r w:rsidRPr="007D12FD">
        <w:rPr>
          <w:rFonts w:cstheme="minorHAnsi"/>
          <w:szCs w:val="28"/>
        </w:rPr>
        <w:t>Le marché mondial est aujourd'hui marqué par une concurrence de plus en plus féroce. Pour rester compétitives dans un tel contexte, les entreprises doivent améliorer la qualité de leurs produits et services. Elles doivent donc adopter une politique qui tient compte des évolutions économiques et technologiques actuelles et futures.</w:t>
      </w:r>
      <w:r>
        <w:rPr>
          <w:rFonts w:cstheme="minorHAnsi"/>
          <w:szCs w:val="28"/>
        </w:rPr>
        <w:t xml:space="preserve"> </w:t>
      </w:r>
      <w:r w:rsidRPr="007D12FD">
        <w:rPr>
          <w:rFonts w:cstheme="minorHAnsi"/>
          <w:szCs w:val="28"/>
        </w:rPr>
        <w:t>Conscient de ces enjeux, l’OCP poursuit une vision stratégique en implémentant un programme ambitieux de Smart Mining pour ses installations. Dans le contexte de l'approche digitale de la mine de Benguerir et de l’implémentation des technologies de smart mining, ainsi que dans le cadre du projet de la conduite autonome des machines stockeuses, l’OCP a opté pour le renouvellement et la mise à niveau du système d’automatisation et de supervision pour les machines stockeuses. Ces machines assurent le déchargement du phosphate au niveau de l’épierrage, ce qui confère à cette installation une importance stratégique pour le fonctionnement normal et dégradé de la mine.</w:t>
      </w:r>
    </w:p>
    <w:p w14:paraId="3FB471F0" w14:textId="77777777" w:rsidR="007D12FD" w:rsidRDefault="007D12FD" w:rsidP="007D12FD">
      <w:pPr>
        <w:ind w:firstLine="708"/>
        <w:rPr>
          <w:rFonts w:cstheme="minorHAnsi"/>
          <w:szCs w:val="28"/>
        </w:rPr>
      </w:pPr>
    </w:p>
    <w:p w14:paraId="326BAD01" w14:textId="0FCD6A22" w:rsidR="007D12FD" w:rsidRDefault="007D12FD" w:rsidP="007D12FD">
      <w:pPr>
        <w:rPr>
          <w:rFonts w:cstheme="minorHAnsi"/>
          <w:szCs w:val="28"/>
        </w:rPr>
      </w:pPr>
      <w:r>
        <w:rPr>
          <w:rFonts w:cstheme="minorHAnsi"/>
          <w:szCs w:val="28"/>
        </w:rPr>
        <w:tab/>
      </w:r>
      <w:r w:rsidRPr="007D12FD">
        <w:rPr>
          <w:rFonts w:cstheme="minorHAnsi"/>
          <w:szCs w:val="28"/>
        </w:rPr>
        <w:t>C’est dans cette optique que la Direction Exécutive Opérations Industrielles du Site Industriel de Gantour Production Benguerir a lancé une série de projets, dont mon stage d'observation. Ce stage porte sur la digitalisation de la gestion du stock du site OCP Benguerir. Il consiste en l'observation et l'étude des systèmes de pilotage permettant la gestion et la conduite autonome des machines stockeuses, afin de comprendre comment ces systèmes facilitent la prise de décisions et assurent un stockage de phosphate efficient et efficace en termes de durée, de qualité et de performance.</w:t>
      </w:r>
    </w:p>
    <w:p w14:paraId="47F1CCCF" w14:textId="77777777" w:rsidR="007D12FD" w:rsidRDefault="007D12FD" w:rsidP="007D12FD">
      <w:pPr>
        <w:rPr>
          <w:rFonts w:cstheme="minorHAnsi"/>
          <w:szCs w:val="28"/>
        </w:rPr>
      </w:pPr>
    </w:p>
    <w:p w14:paraId="2EEFBE70" w14:textId="59F949B3" w:rsidR="007D12FD" w:rsidRDefault="007D12FD" w:rsidP="00523CE1">
      <w:pPr>
        <w:rPr>
          <w:rFonts w:cstheme="minorHAnsi"/>
          <w:szCs w:val="28"/>
        </w:rPr>
      </w:pPr>
      <w:r>
        <w:rPr>
          <w:rFonts w:cstheme="minorHAnsi"/>
          <w:szCs w:val="28"/>
        </w:rPr>
        <w:tab/>
      </w:r>
      <w:r w:rsidR="00523CE1" w:rsidRPr="00523CE1">
        <w:rPr>
          <w:rFonts w:cstheme="minorHAnsi"/>
          <w:szCs w:val="28"/>
        </w:rPr>
        <w:t>Le système permet de commander les machines de stockage et assure une supervision en temps réel des opérations de stockage du phosphate dans la zone, en utilisant les données fournies par les instruments de mesure. Il respecte les modalités et conditions décrites dans le descriptif technique, tout en prenant en compte les contraintes et obstacles présents sur le terrain. Ainsi, nous avons développé une application de supervision à distance qui simule le processus de stockage en recueillant les données</w:t>
      </w:r>
      <w:r w:rsidR="00523CE1">
        <w:rPr>
          <w:rFonts w:cstheme="minorHAnsi"/>
          <w:szCs w:val="28"/>
        </w:rPr>
        <w:t>.</w:t>
      </w:r>
    </w:p>
    <w:p w14:paraId="0220CA70" w14:textId="77777777" w:rsidR="00523CE1" w:rsidRDefault="00523CE1" w:rsidP="00523CE1">
      <w:pPr>
        <w:rPr>
          <w:rFonts w:cstheme="minorHAnsi"/>
          <w:szCs w:val="28"/>
        </w:rPr>
      </w:pPr>
    </w:p>
    <w:p w14:paraId="6B7969C9" w14:textId="3773F56B" w:rsidR="00523CE1" w:rsidRDefault="00523CE1" w:rsidP="00523CE1">
      <w:pPr>
        <w:rPr>
          <w:rFonts w:cstheme="minorHAnsi"/>
          <w:szCs w:val="28"/>
        </w:rPr>
      </w:pPr>
      <w:r>
        <w:rPr>
          <w:rFonts w:cstheme="minorHAnsi"/>
          <w:szCs w:val="28"/>
        </w:rPr>
        <w:tab/>
      </w:r>
      <w:r w:rsidRPr="00523CE1">
        <w:rPr>
          <w:rFonts w:cstheme="minorHAnsi"/>
          <w:szCs w:val="28"/>
        </w:rPr>
        <w:t>Notre</w:t>
      </w:r>
      <w:r>
        <w:rPr>
          <w:rFonts w:cstheme="minorHAnsi"/>
          <w:szCs w:val="28"/>
        </w:rPr>
        <w:t xml:space="preserve"> </w:t>
      </w:r>
      <w:r w:rsidRPr="00523CE1">
        <w:rPr>
          <w:rFonts w:cstheme="minorHAnsi"/>
          <w:szCs w:val="28"/>
        </w:rPr>
        <w:t>projet s’inscrit pleinement dans le cadre de cette strat</w:t>
      </w:r>
      <w:r>
        <w:rPr>
          <w:rFonts w:cstheme="minorHAnsi"/>
          <w:szCs w:val="28"/>
        </w:rPr>
        <w:t>é</w:t>
      </w:r>
      <w:r w:rsidRPr="00523CE1">
        <w:rPr>
          <w:rFonts w:cstheme="minorHAnsi"/>
          <w:szCs w:val="28"/>
        </w:rPr>
        <w:t>gie de digitalisation du syst</w:t>
      </w:r>
      <w:r>
        <w:rPr>
          <w:rFonts w:cstheme="minorHAnsi"/>
          <w:szCs w:val="28"/>
        </w:rPr>
        <w:t>è</w:t>
      </w:r>
      <w:r w:rsidRPr="00523CE1">
        <w:rPr>
          <w:rFonts w:cstheme="minorHAnsi"/>
          <w:szCs w:val="28"/>
        </w:rPr>
        <w:t>me par l’impl</w:t>
      </w:r>
      <w:r>
        <w:rPr>
          <w:rFonts w:cstheme="minorHAnsi"/>
          <w:szCs w:val="28"/>
        </w:rPr>
        <w:t>é</w:t>
      </w:r>
      <w:r w:rsidRPr="00523CE1">
        <w:rPr>
          <w:rFonts w:cstheme="minorHAnsi"/>
          <w:szCs w:val="28"/>
        </w:rPr>
        <w:t>mentation des technologies de smart mining.</w:t>
      </w:r>
    </w:p>
    <w:p w14:paraId="2C754D71" w14:textId="77777777" w:rsidR="00523CE1" w:rsidRDefault="00523CE1" w:rsidP="00523CE1">
      <w:pPr>
        <w:rPr>
          <w:rFonts w:cstheme="minorHAnsi"/>
          <w:szCs w:val="28"/>
        </w:rPr>
      </w:pPr>
    </w:p>
    <w:p w14:paraId="52787DF8" w14:textId="6246788B" w:rsidR="00523CE1" w:rsidRPr="00523CE1" w:rsidRDefault="00523CE1" w:rsidP="00523CE1">
      <w:pPr>
        <w:rPr>
          <w:rFonts w:cstheme="minorHAnsi"/>
          <w:b/>
          <w:bCs/>
          <w:i/>
          <w:iCs/>
          <w:szCs w:val="28"/>
        </w:rPr>
      </w:pPr>
      <w:r w:rsidRPr="00523CE1">
        <w:rPr>
          <w:rFonts w:cstheme="minorHAnsi"/>
          <w:b/>
          <w:bCs/>
          <w:i/>
          <w:iCs/>
          <w:szCs w:val="28"/>
        </w:rPr>
        <w:t>Mots clés :</w:t>
      </w:r>
      <w:r>
        <w:rPr>
          <w:rFonts w:cstheme="minorHAnsi"/>
          <w:b/>
          <w:bCs/>
          <w:i/>
          <w:iCs/>
          <w:szCs w:val="28"/>
        </w:rPr>
        <w:t xml:space="preserve"> </w:t>
      </w:r>
      <w:r w:rsidRPr="00523CE1">
        <w:rPr>
          <w:rFonts w:cstheme="minorHAnsi"/>
          <w:i/>
          <w:iCs/>
          <w:sz w:val="24"/>
          <w:szCs w:val="24"/>
        </w:rPr>
        <w:t>OCP, Mine de Benguerir, Smart mining, Automatisation, Supervision, Digitalisation de stock, Industrie 4.0, Machine stockeuse (STACKER), Robotique</w:t>
      </w:r>
      <w:r>
        <w:rPr>
          <w:rFonts w:cstheme="minorHAnsi"/>
          <w:i/>
          <w:iCs/>
          <w:sz w:val="24"/>
          <w:szCs w:val="24"/>
        </w:rPr>
        <w:t>, PLC</w:t>
      </w:r>
    </w:p>
    <w:p w14:paraId="2847AFC0" w14:textId="4E5E0829" w:rsidR="007D12FD" w:rsidRPr="00523CE1" w:rsidRDefault="00523CE1" w:rsidP="00A01155">
      <w:pPr>
        <w:pStyle w:val="TitreSpcial"/>
      </w:pPr>
      <w:r w:rsidRPr="00523CE1">
        <w:lastRenderedPageBreak/>
        <w:t>Table des matières :</w:t>
      </w:r>
    </w:p>
    <w:p w14:paraId="55FE5897" w14:textId="77777777" w:rsidR="00C519BC" w:rsidRDefault="00C519BC" w:rsidP="00C519BC">
      <w:pPr>
        <w:rPr>
          <w:rFonts w:cstheme="minorHAnsi"/>
          <w:sz w:val="32"/>
          <w:szCs w:val="32"/>
        </w:rPr>
      </w:pPr>
    </w:p>
    <w:p w14:paraId="2F870031" w14:textId="77777777" w:rsidR="00C519BC" w:rsidRDefault="00C519BC" w:rsidP="00C519BC">
      <w:pPr>
        <w:rPr>
          <w:rFonts w:cstheme="minorHAnsi"/>
          <w:sz w:val="32"/>
          <w:szCs w:val="32"/>
        </w:rPr>
      </w:pPr>
    </w:p>
    <w:p w14:paraId="684545D9" w14:textId="77777777" w:rsidR="00C519BC" w:rsidRDefault="00C519BC" w:rsidP="00C519BC">
      <w:pPr>
        <w:rPr>
          <w:rFonts w:cstheme="minorHAnsi"/>
          <w:sz w:val="32"/>
          <w:szCs w:val="32"/>
        </w:rPr>
      </w:pPr>
    </w:p>
    <w:p w14:paraId="38CC52E6" w14:textId="77777777" w:rsidR="00C519BC" w:rsidRDefault="00C519BC" w:rsidP="00C519BC">
      <w:pPr>
        <w:rPr>
          <w:rFonts w:cstheme="minorHAnsi"/>
          <w:sz w:val="32"/>
          <w:szCs w:val="32"/>
        </w:rPr>
      </w:pPr>
    </w:p>
    <w:p w14:paraId="21C7122A" w14:textId="77777777" w:rsidR="00C519BC" w:rsidRDefault="00C519BC" w:rsidP="00C519BC">
      <w:pPr>
        <w:rPr>
          <w:rFonts w:cstheme="minorHAnsi"/>
          <w:sz w:val="32"/>
          <w:szCs w:val="32"/>
        </w:rPr>
      </w:pPr>
    </w:p>
    <w:p w14:paraId="3262578B" w14:textId="77777777" w:rsidR="00C519BC" w:rsidRDefault="00C519BC" w:rsidP="00C519BC">
      <w:pPr>
        <w:rPr>
          <w:rFonts w:cstheme="minorHAnsi"/>
          <w:sz w:val="32"/>
          <w:szCs w:val="32"/>
        </w:rPr>
      </w:pPr>
    </w:p>
    <w:p w14:paraId="054E1FF1" w14:textId="77777777" w:rsidR="00C519BC" w:rsidRDefault="00C519BC" w:rsidP="00C519BC">
      <w:pPr>
        <w:rPr>
          <w:rFonts w:cstheme="minorHAnsi"/>
          <w:sz w:val="32"/>
          <w:szCs w:val="32"/>
        </w:rPr>
      </w:pPr>
    </w:p>
    <w:p w14:paraId="3090D5A9" w14:textId="77777777" w:rsidR="00C519BC" w:rsidRDefault="00C519BC" w:rsidP="00C519BC">
      <w:pPr>
        <w:rPr>
          <w:rFonts w:cstheme="minorHAnsi"/>
          <w:sz w:val="32"/>
          <w:szCs w:val="32"/>
        </w:rPr>
      </w:pPr>
    </w:p>
    <w:p w14:paraId="1C87B650" w14:textId="77777777" w:rsidR="00C519BC" w:rsidRDefault="00C519BC" w:rsidP="00C519BC">
      <w:pPr>
        <w:rPr>
          <w:rFonts w:cstheme="minorHAnsi"/>
          <w:sz w:val="32"/>
          <w:szCs w:val="32"/>
        </w:rPr>
      </w:pPr>
    </w:p>
    <w:p w14:paraId="00366986" w14:textId="77777777" w:rsidR="00C519BC" w:rsidRDefault="00C519BC" w:rsidP="00C519BC">
      <w:pPr>
        <w:rPr>
          <w:rFonts w:cstheme="minorHAnsi"/>
          <w:sz w:val="32"/>
          <w:szCs w:val="32"/>
        </w:rPr>
      </w:pPr>
    </w:p>
    <w:p w14:paraId="7FA9D78E" w14:textId="77777777" w:rsidR="00C519BC" w:rsidRDefault="00C519BC" w:rsidP="00C519BC">
      <w:pPr>
        <w:rPr>
          <w:rFonts w:cstheme="minorHAnsi"/>
          <w:sz w:val="32"/>
          <w:szCs w:val="32"/>
        </w:rPr>
      </w:pPr>
    </w:p>
    <w:p w14:paraId="17E43E32" w14:textId="77777777" w:rsidR="00C519BC" w:rsidRDefault="00C519BC" w:rsidP="00C519BC">
      <w:pPr>
        <w:rPr>
          <w:rFonts w:cstheme="minorHAnsi"/>
          <w:sz w:val="32"/>
          <w:szCs w:val="32"/>
        </w:rPr>
      </w:pPr>
    </w:p>
    <w:p w14:paraId="79F4DB21" w14:textId="77777777" w:rsidR="00C519BC" w:rsidRDefault="00C519BC" w:rsidP="00C519BC">
      <w:pPr>
        <w:rPr>
          <w:rFonts w:cstheme="minorHAnsi"/>
          <w:sz w:val="32"/>
          <w:szCs w:val="32"/>
        </w:rPr>
      </w:pPr>
    </w:p>
    <w:p w14:paraId="075CDC00" w14:textId="1ABF19A0" w:rsidR="00A01155" w:rsidRDefault="00A01155" w:rsidP="00C519BC">
      <w:pPr>
        <w:rPr>
          <w:rFonts w:cstheme="minorHAnsi"/>
          <w:sz w:val="32"/>
          <w:szCs w:val="32"/>
        </w:rPr>
      </w:pPr>
    </w:p>
    <w:p w14:paraId="3046DA21" w14:textId="77777777" w:rsidR="00A01155" w:rsidRDefault="00A01155">
      <w:pPr>
        <w:rPr>
          <w:rFonts w:cstheme="minorHAnsi"/>
          <w:sz w:val="32"/>
          <w:szCs w:val="32"/>
        </w:rPr>
      </w:pPr>
      <w:r>
        <w:rPr>
          <w:rFonts w:cstheme="minorHAnsi"/>
          <w:sz w:val="32"/>
          <w:szCs w:val="32"/>
        </w:rPr>
        <w:br w:type="page"/>
      </w:r>
    </w:p>
    <w:p w14:paraId="7491DC58" w14:textId="77777777" w:rsidR="00C519BC" w:rsidRDefault="00C519BC" w:rsidP="00C519BC">
      <w:pPr>
        <w:rPr>
          <w:rFonts w:cstheme="minorHAnsi"/>
          <w:sz w:val="32"/>
          <w:szCs w:val="32"/>
        </w:rPr>
      </w:pPr>
    </w:p>
    <w:p w14:paraId="4D4969FB" w14:textId="77777777" w:rsidR="00C519BC" w:rsidRDefault="00C519BC" w:rsidP="00C519BC">
      <w:pPr>
        <w:rPr>
          <w:rFonts w:cstheme="minorHAnsi"/>
          <w:sz w:val="32"/>
          <w:szCs w:val="32"/>
        </w:rPr>
      </w:pPr>
    </w:p>
    <w:p w14:paraId="3357B6CA" w14:textId="77777777" w:rsidR="00C519BC" w:rsidRDefault="00C519BC" w:rsidP="00C519BC">
      <w:pPr>
        <w:rPr>
          <w:rFonts w:cstheme="minorHAnsi"/>
          <w:sz w:val="32"/>
          <w:szCs w:val="32"/>
        </w:rPr>
      </w:pPr>
    </w:p>
    <w:p w14:paraId="3C619C33" w14:textId="77777777" w:rsidR="00C519BC" w:rsidRDefault="00C519BC" w:rsidP="00C519BC">
      <w:pPr>
        <w:rPr>
          <w:rFonts w:cstheme="minorHAnsi"/>
          <w:sz w:val="32"/>
          <w:szCs w:val="32"/>
        </w:rPr>
      </w:pPr>
    </w:p>
    <w:p w14:paraId="5564341C" w14:textId="77777777" w:rsidR="00C519BC" w:rsidRDefault="00C519BC" w:rsidP="00C519BC">
      <w:pPr>
        <w:rPr>
          <w:rFonts w:cstheme="minorHAnsi"/>
          <w:sz w:val="32"/>
          <w:szCs w:val="32"/>
        </w:rPr>
      </w:pPr>
    </w:p>
    <w:p w14:paraId="4AC10D22" w14:textId="77777777" w:rsidR="00C519BC" w:rsidRDefault="00C519BC" w:rsidP="00C519BC">
      <w:pPr>
        <w:rPr>
          <w:rFonts w:cstheme="minorHAnsi"/>
          <w:sz w:val="32"/>
          <w:szCs w:val="32"/>
        </w:rPr>
      </w:pPr>
    </w:p>
    <w:p w14:paraId="03AECE03" w14:textId="77777777" w:rsidR="00C519BC" w:rsidRDefault="00C519BC" w:rsidP="00C519BC">
      <w:pPr>
        <w:rPr>
          <w:rFonts w:cstheme="minorHAnsi"/>
          <w:sz w:val="32"/>
          <w:szCs w:val="32"/>
        </w:rPr>
      </w:pPr>
    </w:p>
    <w:p w14:paraId="076D1225" w14:textId="77777777" w:rsidR="00C519BC" w:rsidRDefault="00C519BC" w:rsidP="00C519BC">
      <w:pPr>
        <w:rPr>
          <w:rFonts w:cstheme="minorHAnsi"/>
          <w:sz w:val="32"/>
          <w:szCs w:val="32"/>
        </w:rPr>
      </w:pPr>
    </w:p>
    <w:p w14:paraId="6DFA7C2A" w14:textId="77777777" w:rsidR="00C519BC" w:rsidRDefault="00C519BC" w:rsidP="00C519BC">
      <w:pPr>
        <w:rPr>
          <w:rFonts w:cstheme="minorHAnsi"/>
          <w:sz w:val="32"/>
          <w:szCs w:val="32"/>
        </w:rPr>
      </w:pPr>
    </w:p>
    <w:p w14:paraId="1507CED4" w14:textId="77777777" w:rsidR="00C519BC" w:rsidRDefault="00C519BC" w:rsidP="00C519BC">
      <w:pPr>
        <w:rPr>
          <w:rFonts w:cstheme="minorHAnsi"/>
          <w:sz w:val="32"/>
          <w:szCs w:val="32"/>
        </w:rPr>
      </w:pPr>
    </w:p>
    <w:p w14:paraId="10617A81" w14:textId="77777777" w:rsidR="00C519BC" w:rsidRDefault="00C519BC" w:rsidP="00C519BC">
      <w:pPr>
        <w:rPr>
          <w:rFonts w:cstheme="minorHAnsi"/>
          <w:sz w:val="32"/>
          <w:szCs w:val="32"/>
        </w:rPr>
      </w:pPr>
    </w:p>
    <w:p w14:paraId="37654062" w14:textId="59ED76C6" w:rsidR="00C519BC" w:rsidRDefault="00C519BC" w:rsidP="00C519BC">
      <w:pPr>
        <w:rPr>
          <w:rFonts w:cstheme="minorHAnsi"/>
          <w:sz w:val="32"/>
          <w:szCs w:val="32"/>
        </w:rPr>
      </w:pPr>
    </w:p>
    <w:p w14:paraId="7052EB74" w14:textId="77777777" w:rsidR="00A01155" w:rsidRDefault="00A01155">
      <w:pPr>
        <w:rPr>
          <w:rFonts w:cstheme="minorHAnsi"/>
          <w:b/>
          <w:bCs/>
          <w:sz w:val="32"/>
          <w:szCs w:val="32"/>
          <w:u w:val="single"/>
        </w:rPr>
      </w:pPr>
      <w:r>
        <w:rPr>
          <w:rFonts w:cstheme="minorHAnsi"/>
          <w:b/>
          <w:bCs/>
          <w:sz w:val="32"/>
          <w:szCs w:val="32"/>
          <w:u w:val="single"/>
        </w:rPr>
        <w:br w:type="page"/>
      </w:r>
    </w:p>
    <w:p w14:paraId="0A9275F3" w14:textId="292AF703" w:rsidR="00C519BC" w:rsidRDefault="00250C00" w:rsidP="00A01155">
      <w:pPr>
        <w:pStyle w:val="TitreSpcial"/>
      </w:pPr>
      <w:r>
        <w:lastRenderedPageBreak/>
        <w:t>Introduction générale :</w:t>
      </w:r>
    </w:p>
    <w:p w14:paraId="2A7BF350" w14:textId="77777777" w:rsidR="00250C00" w:rsidRDefault="00250C00" w:rsidP="00250C00">
      <w:pPr>
        <w:ind w:firstLine="708"/>
        <w:rPr>
          <w:rFonts w:cstheme="minorHAnsi"/>
          <w:szCs w:val="28"/>
        </w:rPr>
      </w:pPr>
      <w:r w:rsidRPr="00250C00">
        <w:rPr>
          <w:rFonts w:cstheme="minorHAnsi"/>
          <w:szCs w:val="28"/>
        </w:rPr>
        <w:t xml:space="preserve">Dans un monde où l'innovation technologique transforme chaque secteur, l'industrie minière n'échappe pas à cette révolution numérique. Le site minier de Benguerir, reconnu pour ses initiatives avant-gardistes, s'engage résolument dans l'ère du </w:t>
      </w:r>
      <w:r w:rsidRPr="00250C00">
        <w:rPr>
          <w:rFonts w:cstheme="minorHAnsi"/>
          <w:i/>
          <w:iCs/>
          <w:szCs w:val="28"/>
        </w:rPr>
        <w:t>smart mining</w:t>
      </w:r>
      <w:r w:rsidRPr="00250C00">
        <w:rPr>
          <w:rFonts w:cstheme="minorHAnsi"/>
          <w:szCs w:val="28"/>
        </w:rPr>
        <w:t>. Ce projet ambitieux vise à intégrer des technologies avancées pour optimiser les opérations, et l'un des aspects clés de cette transformation est la conduite autonome des machines stockeuses.</w:t>
      </w:r>
    </w:p>
    <w:p w14:paraId="5B9FB15F" w14:textId="3D34B7CC" w:rsidR="00250C00" w:rsidRPr="00250C00" w:rsidRDefault="00250C00" w:rsidP="003F336D">
      <w:pPr>
        <w:ind w:firstLine="708"/>
        <w:rPr>
          <w:rFonts w:cstheme="minorHAnsi"/>
          <w:szCs w:val="28"/>
        </w:rPr>
      </w:pPr>
      <w:r w:rsidRPr="00250C00">
        <w:rPr>
          <w:rFonts w:cstheme="minorHAnsi"/>
          <w:szCs w:val="28"/>
        </w:rPr>
        <w:t>Dans ce contexte, le programme de stage proposé se concentre sur plusieurs axes majeurs :</w:t>
      </w:r>
    </w:p>
    <w:p w14:paraId="18647051" w14:textId="77777777" w:rsidR="00250C00" w:rsidRPr="00250C00" w:rsidRDefault="00250C00" w:rsidP="00250C00">
      <w:pPr>
        <w:numPr>
          <w:ilvl w:val="0"/>
          <w:numId w:val="2"/>
        </w:numPr>
        <w:rPr>
          <w:rFonts w:cstheme="minorHAnsi"/>
          <w:szCs w:val="28"/>
        </w:rPr>
      </w:pPr>
      <w:r w:rsidRPr="00250C00">
        <w:rPr>
          <w:rFonts w:cstheme="minorHAnsi"/>
          <w:szCs w:val="28"/>
        </w:rPr>
        <w:t>Réalisation de l'Architecture Globale : Conception d'une architecture numérique basée sur une API, permettant une intégration fluide et une gestion efficace des différents composants du système.</w:t>
      </w:r>
    </w:p>
    <w:p w14:paraId="60358EFE" w14:textId="77777777" w:rsidR="00250C00" w:rsidRPr="00250C00" w:rsidRDefault="00250C00" w:rsidP="00250C00">
      <w:pPr>
        <w:numPr>
          <w:ilvl w:val="0"/>
          <w:numId w:val="2"/>
        </w:numPr>
        <w:rPr>
          <w:rFonts w:cstheme="minorHAnsi"/>
          <w:szCs w:val="28"/>
        </w:rPr>
      </w:pPr>
      <w:r w:rsidRPr="00250C00">
        <w:rPr>
          <w:rFonts w:cstheme="minorHAnsi"/>
          <w:szCs w:val="28"/>
        </w:rPr>
        <w:t>Dimensionnement et Gestion des Ressources : Détermination des spécifications de la CPU et recensement des entrées/sorties nécessaires pour assurer une performance optimale et une communication efficace.</w:t>
      </w:r>
    </w:p>
    <w:p w14:paraId="01BB8FA0" w14:textId="77777777" w:rsidR="00250C00" w:rsidRPr="00250C00" w:rsidRDefault="00250C00" w:rsidP="00250C00">
      <w:pPr>
        <w:numPr>
          <w:ilvl w:val="0"/>
          <w:numId w:val="2"/>
        </w:numPr>
        <w:rPr>
          <w:rFonts w:cstheme="minorHAnsi"/>
          <w:szCs w:val="28"/>
        </w:rPr>
      </w:pPr>
      <w:r w:rsidRPr="00250C00">
        <w:rPr>
          <w:rFonts w:cstheme="minorHAnsi"/>
          <w:szCs w:val="28"/>
        </w:rPr>
        <w:t>Étude Techno-Commerciale : Analyse approfondie du système proposé, évaluant sa faisabilité technique et son coût, pour garantir une solution viable sur le plan économique et opérationnel.</w:t>
      </w:r>
    </w:p>
    <w:p w14:paraId="1381AF71" w14:textId="77777777" w:rsidR="00250C00" w:rsidRPr="00250C00" w:rsidRDefault="00250C00" w:rsidP="00250C00">
      <w:pPr>
        <w:numPr>
          <w:ilvl w:val="0"/>
          <w:numId w:val="2"/>
        </w:numPr>
        <w:rPr>
          <w:rFonts w:cstheme="minorHAnsi"/>
          <w:szCs w:val="28"/>
        </w:rPr>
      </w:pPr>
      <w:r w:rsidRPr="00250C00">
        <w:rPr>
          <w:rFonts w:cstheme="minorHAnsi"/>
          <w:szCs w:val="28"/>
        </w:rPr>
        <w:t>Élaboration des Algorithmes : Développement des algorithmes nécessaires pour les différents modes de fonctionnement de la stockeuse autonome, afin d'assurer une conduite précise et adaptée aux besoins du processus de stockage.</w:t>
      </w:r>
    </w:p>
    <w:p w14:paraId="71342C03" w14:textId="77777777" w:rsidR="00250C00" w:rsidRPr="00250C00" w:rsidRDefault="00250C00" w:rsidP="00250C00">
      <w:pPr>
        <w:numPr>
          <w:ilvl w:val="0"/>
          <w:numId w:val="2"/>
        </w:numPr>
        <w:rPr>
          <w:rFonts w:cstheme="minorHAnsi"/>
          <w:szCs w:val="28"/>
        </w:rPr>
      </w:pPr>
      <w:r w:rsidRPr="00250C00">
        <w:rPr>
          <w:rFonts w:cstheme="minorHAnsi"/>
          <w:szCs w:val="28"/>
        </w:rPr>
        <w:t>Programmation du Système : Rédaction du code nécessaire pour la mise en œuvre du système, en veillant à son intégration harmonieuse avec les autres éléments de l'architecture.</w:t>
      </w:r>
    </w:p>
    <w:p w14:paraId="79895524" w14:textId="77777777" w:rsidR="00250C00" w:rsidRPr="00250C00" w:rsidRDefault="00250C00" w:rsidP="00250C00">
      <w:pPr>
        <w:numPr>
          <w:ilvl w:val="0"/>
          <w:numId w:val="2"/>
        </w:numPr>
        <w:rPr>
          <w:rFonts w:cstheme="minorHAnsi"/>
          <w:szCs w:val="28"/>
        </w:rPr>
      </w:pPr>
      <w:r w:rsidRPr="00250C00">
        <w:rPr>
          <w:rFonts w:cstheme="minorHAnsi"/>
          <w:szCs w:val="28"/>
        </w:rPr>
        <w:t>Supervision à Distance : Mise en place d'une salle de contrôle distante pour la gestion en temps réel et la surveillance continue des opérations de stockage, facilitant ainsi une gestion proactive et réactive.</w:t>
      </w:r>
    </w:p>
    <w:p w14:paraId="24942F34" w14:textId="77777777" w:rsidR="00250C00" w:rsidRPr="00250C00" w:rsidRDefault="00250C00" w:rsidP="00250C00">
      <w:pPr>
        <w:numPr>
          <w:ilvl w:val="0"/>
          <w:numId w:val="2"/>
        </w:numPr>
        <w:rPr>
          <w:rFonts w:cstheme="minorHAnsi"/>
          <w:szCs w:val="28"/>
        </w:rPr>
      </w:pPr>
      <w:r w:rsidRPr="00250C00">
        <w:rPr>
          <w:rFonts w:cstheme="minorHAnsi"/>
          <w:szCs w:val="28"/>
        </w:rPr>
        <w:t>Proposition d'Améliorations : Identification des opportunités d'amélioration pour affiner et optimiser le système, en prenant en compte les retours d'expérience et les évolutions technologiques.</w:t>
      </w:r>
    </w:p>
    <w:p w14:paraId="63E3B1BC" w14:textId="77777777" w:rsidR="00250C00" w:rsidRPr="00250C00" w:rsidRDefault="00250C00" w:rsidP="00250C00">
      <w:pPr>
        <w:numPr>
          <w:ilvl w:val="0"/>
          <w:numId w:val="2"/>
        </w:numPr>
        <w:rPr>
          <w:rFonts w:cstheme="minorHAnsi"/>
          <w:szCs w:val="28"/>
        </w:rPr>
      </w:pPr>
      <w:r w:rsidRPr="00250C00">
        <w:rPr>
          <w:rFonts w:cstheme="minorHAnsi"/>
          <w:szCs w:val="28"/>
        </w:rPr>
        <w:t>Intégration des Technologies Avancées : Exploration des technologies de pointe qui peuvent être intégrées pour améliorer la performance et la fiabilité du système de stockage autonome.</w:t>
      </w:r>
    </w:p>
    <w:p w14:paraId="5450BDC3" w14:textId="5CB5A913" w:rsidR="00250C00" w:rsidRPr="00A01155" w:rsidRDefault="00250C00" w:rsidP="00A01155">
      <w:pPr>
        <w:pStyle w:val="Paragraphedeliste"/>
        <w:numPr>
          <w:ilvl w:val="0"/>
          <w:numId w:val="3"/>
        </w:numPr>
        <w:rPr>
          <w:szCs w:val="28"/>
        </w:rPr>
      </w:pPr>
      <w:r w:rsidRPr="00A01155">
        <w:rPr>
          <w:szCs w:val="28"/>
        </w:rPr>
        <w:t>Sécurité et Maintenance : Évaluation des aspects liés à la sécurité des opérations et à la maintenance préventive et corrective du système pour garantir une longévité et une sécurité optimales.</w:t>
      </w:r>
    </w:p>
    <w:p w14:paraId="1B75FEE2" w14:textId="77777777" w:rsidR="00E70267" w:rsidRDefault="00E70267" w:rsidP="007436C6">
      <w:pPr>
        <w:pStyle w:val="GrandChapitre"/>
      </w:pPr>
    </w:p>
    <w:p w14:paraId="12B85AB3" w14:textId="77777777" w:rsidR="00E70267" w:rsidRDefault="00E70267" w:rsidP="007436C6">
      <w:pPr>
        <w:pStyle w:val="GrandChapitre"/>
      </w:pPr>
    </w:p>
    <w:p w14:paraId="7E01AB8B" w14:textId="18BFD76E" w:rsidR="00C519BC" w:rsidRDefault="007436C6" w:rsidP="007436C6">
      <w:pPr>
        <w:pStyle w:val="GrandChapitre"/>
      </w:pPr>
      <w:r w:rsidRPr="007436C6">
        <w:t>Chapitre 1</w:t>
      </w:r>
      <w:r>
        <w:t> :</w:t>
      </w:r>
      <w:r w:rsidRPr="007436C6">
        <w:t xml:space="preserve"> Pr</w:t>
      </w:r>
      <w:r>
        <w:t>é</w:t>
      </w:r>
      <w:r w:rsidRPr="007436C6">
        <w:t>sentation de l’organisme d’</w:t>
      </w:r>
      <w:r w:rsidRPr="007436C6">
        <w:t>accueil</w:t>
      </w:r>
      <w:r w:rsidRPr="007436C6">
        <w:t xml:space="preserve"> OCP</w:t>
      </w:r>
    </w:p>
    <w:p w14:paraId="795C4389" w14:textId="7EA07644" w:rsidR="007436C6" w:rsidRDefault="007436C6" w:rsidP="007436C6">
      <w:r w:rsidRPr="007436C6">
        <w:t>Introduction :</w:t>
      </w:r>
      <w:r w:rsidR="00E4438E">
        <w:t xml:space="preserve"> NIVEAU 1</w:t>
      </w:r>
    </w:p>
    <w:p w14:paraId="4C6ECCFF" w14:textId="44CCDBB0" w:rsidR="007436C6" w:rsidRDefault="007436C6" w:rsidP="007436C6">
      <w:pPr>
        <w:ind w:firstLine="708"/>
      </w:pPr>
      <w:r w:rsidRPr="007436C6">
        <w:t>Avant d’entamer le vif du sujet, nous allons essayer dans ce chapitre de pr</w:t>
      </w:r>
      <w:r>
        <w:t>é</w:t>
      </w:r>
      <w:r w:rsidRPr="007436C6">
        <w:t xml:space="preserve">senter l’OCP. </w:t>
      </w:r>
      <w:r>
        <w:t>D</w:t>
      </w:r>
      <w:r w:rsidRPr="007436C6">
        <w:t>ans lequel j’ai pass</w:t>
      </w:r>
      <w:r>
        <w:t>é</w:t>
      </w:r>
      <w:r w:rsidRPr="007436C6">
        <w:t xml:space="preserve"> le</w:t>
      </w:r>
      <w:r>
        <w:t xml:space="preserve"> </w:t>
      </w:r>
      <w:r w:rsidRPr="007436C6">
        <w:t>mois d</w:t>
      </w:r>
      <w:r>
        <w:t>u</w:t>
      </w:r>
      <w:r w:rsidRPr="007436C6">
        <w:t xml:space="preserve"> stage, du projet sur lequel j’ai travaill</w:t>
      </w:r>
      <w:r>
        <w:t>é</w:t>
      </w:r>
      <w:r w:rsidRPr="007436C6">
        <w:t>, ainsi que son environnement. Cette phase reste indispensable pour cerner le sujet de notre pr</w:t>
      </w:r>
      <w:r>
        <w:t>é</w:t>
      </w:r>
      <w:r w:rsidRPr="007436C6">
        <w:t>sent rapport.</w:t>
      </w:r>
    </w:p>
    <w:p w14:paraId="71283A51" w14:textId="643AE3BF" w:rsidR="007436C6" w:rsidRDefault="007436C6" w:rsidP="00E4438E">
      <w:pPr>
        <w:jc w:val="left"/>
      </w:pPr>
      <w:r w:rsidRPr="007436C6">
        <w:t>Pr</w:t>
      </w:r>
      <w:r>
        <w:t>é</w:t>
      </w:r>
      <w:r w:rsidRPr="007436C6">
        <w:t>sentation de l’organisme d’accueil OCP</w:t>
      </w:r>
      <w:r w:rsidR="00E4438E">
        <w:t> : NIVEAU 2</w:t>
      </w:r>
    </w:p>
    <w:p w14:paraId="278217CD" w14:textId="67DF2437" w:rsidR="007436C6" w:rsidRDefault="007436C6" w:rsidP="007436C6">
      <w:pPr>
        <w:ind w:firstLine="708"/>
      </w:pPr>
      <w:r w:rsidRPr="007436C6">
        <w:t>L’Office ch</w:t>
      </w:r>
      <w:r>
        <w:t>é</w:t>
      </w:r>
      <w:r w:rsidRPr="007436C6">
        <w:t>rifien du phosphate (OCP) fond</w:t>
      </w:r>
      <w:r>
        <w:t>é</w:t>
      </w:r>
      <w:r w:rsidRPr="007436C6">
        <w:t xml:space="preserve"> le 7 </w:t>
      </w:r>
      <w:r w:rsidRPr="007436C6">
        <w:t>a</w:t>
      </w:r>
      <w:r>
        <w:t>o</w:t>
      </w:r>
      <w:r w:rsidRPr="007436C6">
        <w:t>ût</w:t>
      </w:r>
      <w:r w:rsidRPr="007436C6">
        <w:t xml:space="preserve"> 1920 au Maroc et transform</w:t>
      </w:r>
      <w:r>
        <w:t>é</w:t>
      </w:r>
      <w:r w:rsidRPr="007436C6">
        <w:t xml:space="preserve"> en 2008 en une soci</w:t>
      </w:r>
      <w:r>
        <w:t>é</w:t>
      </w:r>
      <w:r w:rsidRPr="007436C6">
        <w:t>t</w:t>
      </w:r>
      <w:r>
        <w:t>é</w:t>
      </w:r>
      <w:r w:rsidRPr="007436C6">
        <w:t xml:space="preserve"> anonyme (OCP SA), est le premier exportateur de phosphate brut, d’acide phosphorique et d’engrais phosphat</w:t>
      </w:r>
      <w:r>
        <w:t>é</w:t>
      </w:r>
      <w:r w:rsidRPr="007436C6">
        <w:t>s dans le monde. Le groupe OCP compte pr</w:t>
      </w:r>
      <w:r>
        <w:t>è</w:t>
      </w:r>
      <w:r w:rsidRPr="007436C6">
        <w:t>s de 20 000 collaborateurs implant</w:t>
      </w:r>
      <w:r>
        <w:t>é</w:t>
      </w:r>
      <w:r w:rsidRPr="007436C6">
        <w:t>s principalement au Maroc, sur quatre sites miniers et deux complexes chimiques, ainsi que sur d’autres sites internationaux. Le groupe d</w:t>
      </w:r>
      <w:r>
        <w:t>é</w:t>
      </w:r>
      <w:r w:rsidRPr="007436C6">
        <w:t xml:space="preserve">tient plusieurs filiales </w:t>
      </w:r>
      <w:r>
        <w:t>à</w:t>
      </w:r>
      <w:r w:rsidRPr="007436C6">
        <w:t xml:space="preserve"> l’int</w:t>
      </w:r>
      <w:r>
        <w:t>é</w:t>
      </w:r>
      <w:r w:rsidRPr="007436C6">
        <w:t>rieur et</w:t>
      </w:r>
      <w:r>
        <w:t xml:space="preserve"> </w:t>
      </w:r>
      <w:r w:rsidRPr="007436C6">
        <w:t>à</w:t>
      </w:r>
      <w:r w:rsidRPr="007436C6">
        <w:t xml:space="preserve"> l’</w:t>
      </w:r>
      <w:r w:rsidRPr="007436C6">
        <w:t>extérieur</w:t>
      </w:r>
      <w:r w:rsidRPr="007436C6">
        <w:t xml:space="preserve"> du Maroc. En 2018, son chiffre d’affaires s´</w:t>
      </w:r>
      <w:r w:rsidRPr="007436C6">
        <w:t>élevait</w:t>
      </w:r>
      <w:r w:rsidRPr="007436C6">
        <w:t xml:space="preserve"> </w:t>
      </w:r>
      <w:r>
        <w:t>à</w:t>
      </w:r>
      <w:r w:rsidRPr="007436C6">
        <w:t xml:space="preserve"> 55,9 milliards de dirhams marocains, et </w:t>
      </w:r>
      <w:r w:rsidR="00E70267">
        <w:t>à</w:t>
      </w:r>
      <w:r w:rsidRPr="007436C6">
        <w:t xml:space="preserve"> 54 milliards de dirhams en 2019</w:t>
      </w:r>
      <w:r>
        <w:t>.</w:t>
      </w:r>
    </w:p>
    <w:p w14:paraId="38365148" w14:textId="7D4606F5" w:rsidR="00C519BC" w:rsidRDefault="00E70267" w:rsidP="00E4438E">
      <w:pPr>
        <w:ind w:firstLine="708"/>
      </w:pPr>
      <w:r w:rsidRPr="00E70267">
        <w:t>Le groupe OCP est pr</w:t>
      </w:r>
      <w:r>
        <w:t>é</w:t>
      </w:r>
      <w:r w:rsidRPr="00E70267">
        <w:t>sent dans six zones g</w:t>
      </w:r>
      <w:r>
        <w:t>é</w:t>
      </w:r>
      <w:r w:rsidRPr="00E70267">
        <w:t>ographiques du pays (4 sites d’</w:t>
      </w:r>
      <w:r>
        <w:t>e</w:t>
      </w:r>
      <w:r w:rsidRPr="00E70267">
        <w:t>xploitation</w:t>
      </w:r>
      <w:r w:rsidRPr="00E70267">
        <w:t xml:space="preserve"> mini</w:t>
      </w:r>
      <w:r>
        <w:t>è</w:t>
      </w:r>
      <w:r w:rsidRPr="00E70267">
        <w:t>res et deux sites de transformation chimique,</w:t>
      </w:r>
      <w:r>
        <w:t xml:space="preserve"> </w:t>
      </w:r>
      <w:r w:rsidRPr="00E70267">
        <w:t>OCP constitue un vecteur de d</w:t>
      </w:r>
      <w:r>
        <w:t>é</w:t>
      </w:r>
      <w:r w:rsidRPr="00E70267">
        <w:t>veloppement r</w:t>
      </w:r>
      <w:r>
        <w:t>é</w:t>
      </w:r>
      <w:r w:rsidRPr="00E70267">
        <w:t>gional et national important.</w:t>
      </w:r>
    </w:p>
    <w:p w14:paraId="64A6B1AB" w14:textId="77777777" w:rsidR="00E70267" w:rsidRDefault="00E70267" w:rsidP="00E70267">
      <w:pPr>
        <w:rPr>
          <w:rFonts w:cstheme="minorHAnsi"/>
          <w:szCs w:val="28"/>
        </w:rPr>
      </w:pPr>
      <w:r w:rsidRPr="00E70267">
        <w:rPr>
          <w:rFonts w:cstheme="minorHAnsi"/>
          <w:szCs w:val="28"/>
        </w:rPr>
        <w:t xml:space="preserve">Les principaux gisements se trouvent </w:t>
      </w:r>
      <w:r>
        <w:rPr>
          <w:rFonts w:cstheme="minorHAnsi"/>
          <w:szCs w:val="28"/>
        </w:rPr>
        <w:t>à</w:t>
      </w:r>
      <w:r w:rsidRPr="00E70267">
        <w:rPr>
          <w:rFonts w:cstheme="minorHAnsi"/>
          <w:szCs w:val="28"/>
        </w:rPr>
        <w:t xml:space="preserve"> : </w:t>
      </w:r>
    </w:p>
    <w:p w14:paraId="0E045A19" w14:textId="77777777" w:rsidR="00E70267" w:rsidRPr="00E70267" w:rsidRDefault="00E70267" w:rsidP="00E70267">
      <w:pPr>
        <w:pStyle w:val="Paragraphedeliste"/>
        <w:numPr>
          <w:ilvl w:val="0"/>
          <w:numId w:val="4"/>
        </w:numPr>
        <w:rPr>
          <w:rFonts w:cstheme="minorHAnsi"/>
          <w:szCs w:val="28"/>
        </w:rPr>
      </w:pPr>
      <w:r w:rsidRPr="00E70267">
        <w:rPr>
          <w:rFonts w:cstheme="minorHAnsi"/>
          <w:b/>
          <w:bCs/>
          <w:szCs w:val="28"/>
        </w:rPr>
        <w:t>OULAD ABDOUN</w:t>
      </w:r>
      <w:r w:rsidRPr="00E70267">
        <w:rPr>
          <w:rFonts w:cstheme="minorHAnsi"/>
          <w:szCs w:val="28"/>
        </w:rPr>
        <w:t xml:space="preserve"> </w:t>
      </w:r>
      <w:r w:rsidRPr="00E70267">
        <w:rPr>
          <w:rFonts w:cstheme="minorHAnsi"/>
          <w:szCs w:val="28"/>
        </w:rPr>
        <w:t>situé</w:t>
      </w:r>
      <w:r w:rsidRPr="00E70267">
        <w:rPr>
          <w:rFonts w:cstheme="minorHAnsi"/>
          <w:szCs w:val="28"/>
        </w:rPr>
        <w:t xml:space="preserve"> dans la </w:t>
      </w:r>
      <w:r w:rsidRPr="00E70267">
        <w:rPr>
          <w:rFonts w:cstheme="minorHAnsi"/>
          <w:szCs w:val="28"/>
        </w:rPr>
        <w:t>région</w:t>
      </w:r>
      <w:r w:rsidRPr="00E70267">
        <w:rPr>
          <w:rFonts w:cstheme="minorHAnsi"/>
          <w:szCs w:val="28"/>
        </w:rPr>
        <w:t xml:space="preserve"> de Khouribga.</w:t>
      </w:r>
    </w:p>
    <w:p w14:paraId="4F6CB249" w14:textId="77777777" w:rsidR="00E70267" w:rsidRPr="00E70267" w:rsidRDefault="00E70267" w:rsidP="00E70267">
      <w:pPr>
        <w:pStyle w:val="Paragraphedeliste"/>
        <w:numPr>
          <w:ilvl w:val="0"/>
          <w:numId w:val="4"/>
        </w:numPr>
        <w:rPr>
          <w:rFonts w:cstheme="minorHAnsi"/>
          <w:szCs w:val="28"/>
        </w:rPr>
      </w:pPr>
      <w:r w:rsidRPr="00E70267">
        <w:rPr>
          <w:rFonts w:cstheme="minorHAnsi"/>
          <w:b/>
          <w:bCs/>
          <w:szCs w:val="28"/>
        </w:rPr>
        <w:t>GANTOUR</w:t>
      </w:r>
      <w:r w:rsidRPr="00E70267">
        <w:rPr>
          <w:rFonts w:cstheme="minorHAnsi"/>
          <w:szCs w:val="28"/>
        </w:rPr>
        <w:t xml:space="preserve"> </w:t>
      </w:r>
      <w:r w:rsidRPr="00E70267">
        <w:rPr>
          <w:rFonts w:cstheme="minorHAnsi"/>
          <w:szCs w:val="28"/>
        </w:rPr>
        <w:t>situé</w:t>
      </w:r>
      <w:r w:rsidRPr="00E70267">
        <w:rPr>
          <w:rFonts w:cstheme="minorHAnsi"/>
          <w:szCs w:val="28"/>
        </w:rPr>
        <w:t xml:space="preserve"> dans la </w:t>
      </w:r>
      <w:r w:rsidRPr="00E70267">
        <w:rPr>
          <w:rFonts w:cstheme="minorHAnsi"/>
          <w:szCs w:val="28"/>
        </w:rPr>
        <w:t>région</w:t>
      </w:r>
      <w:r w:rsidRPr="00E70267">
        <w:rPr>
          <w:rFonts w:cstheme="minorHAnsi"/>
          <w:szCs w:val="28"/>
        </w:rPr>
        <w:t xml:space="preserve"> de Youssoufia Benguerir</w:t>
      </w:r>
      <w:r w:rsidRPr="00E70267">
        <w:rPr>
          <w:rFonts w:cstheme="minorHAnsi"/>
          <w:szCs w:val="28"/>
        </w:rPr>
        <w:t>.</w:t>
      </w:r>
    </w:p>
    <w:p w14:paraId="060B1A94" w14:textId="77777777" w:rsidR="00E70267" w:rsidRPr="00E70267" w:rsidRDefault="00E70267" w:rsidP="00E70267">
      <w:pPr>
        <w:pStyle w:val="Paragraphedeliste"/>
        <w:numPr>
          <w:ilvl w:val="0"/>
          <w:numId w:val="4"/>
        </w:numPr>
        <w:rPr>
          <w:rFonts w:cstheme="minorHAnsi"/>
          <w:szCs w:val="28"/>
        </w:rPr>
      </w:pPr>
      <w:r w:rsidRPr="00E70267">
        <w:rPr>
          <w:rFonts w:cstheme="minorHAnsi"/>
          <w:b/>
          <w:bCs/>
          <w:szCs w:val="28"/>
        </w:rPr>
        <w:t>BOUCRAA</w:t>
      </w:r>
      <w:r w:rsidRPr="00E70267">
        <w:rPr>
          <w:rFonts w:cstheme="minorHAnsi"/>
          <w:szCs w:val="28"/>
        </w:rPr>
        <w:t xml:space="preserve"> </w:t>
      </w:r>
      <w:r w:rsidRPr="00E70267">
        <w:rPr>
          <w:rFonts w:cstheme="minorHAnsi"/>
          <w:szCs w:val="28"/>
        </w:rPr>
        <w:t>situé</w:t>
      </w:r>
      <w:r w:rsidRPr="00E70267">
        <w:rPr>
          <w:rFonts w:cstheme="minorHAnsi"/>
          <w:szCs w:val="28"/>
        </w:rPr>
        <w:t xml:space="preserve"> dans la </w:t>
      </w:r>
      <w:r w:rsidRPr="00E70267">
        <w:rPr>
          <w:rFonts w:cstheme="minorHAnsi"/>
          <w:szCs w:val="28"/>
        </w:rPr>
        <w:t>région</w:t>
      </w:r>
      <w:r w:rsidRPr="00E70267">
        <w:rPr>
          <w:rFonts w:cstheme="minorHAnsi"/>
          <w:szCs w:val="28"/>
        </w:rPr>
        <w:t xml:space="preserve"> de Boucraa </w:t>
      </w:r>
      <w:r w:rsidRPr="00E70267">
        <w:rPr>
          <w:rFonts w:cstheme="minorHAnsi"/>
          <w:szCs w:val="28"/>
        </w:rPr>
        <w:t>Laâyoune.</w:t>
      </w:r>
    </w:p>
    <w:p w14:paraId="1C886530" w14:textId="7E6F11CE" w:rsidR="00C519BC" w:rsidRDefault="00E70267" w:rsidP="00E70267">
      <w:pPr>
        <w:pStyle w:val="Paragraphedeliste"/>
        <w:numPr>
          <w:ilvl w:val="0"/>
          <w:numId w:val="4"/>
        </w:numPr>
        <w:rPr>
          <w:rFonts w:cstheme="minorHAnsi"/>
          <w:szCs w:val="28"/>
        </w:rPr>
      </w:pPr>
      <w:r w:rsidRPr="00E70267">
        <w:rPr>
          <w:rFonts w:cstheme="minorHAnsi"/>
          <w:b/>
          <w:bCs/>
          <w:szCs w:val="28"/>
        </w:rPr>
        <w:t>MESKALA</w:t>
      </w:r>
      <w:r w:rsidRPr="00E70267">
        <w:rPr>
          <w:rFonts w:cstheme="minorHAnsi"/>
          <w:szCs w:val="28"/>
        </w:rPr>
        <w:t xml:space="preserve"> se trouvant dans la </w:t>
      </w:r>
      <w:r w:rsidRPr="00E70267">
        <w:rPr>
          <w:rFonts w:cstheme="minorHAnsi"/>
          <w:szCs w:val="28"/>
        </w:rPr>
        <w:t>région</w:t>
      </w:r>
      <w:r w:rsidRPr="00E70267">
        <w:rPr>
          <w:rFonts w:cstheme="minorHAnsi"/>
          <w:szCs w:val="28"/>
        </w:rPr>
        <w:t xml:space="preserve"> </w:t>
      </w:r>
      <w:r w:rsidRPr="00E70267">
        <w:rPr>
          <w:rFonts w:cstheme="minorHAnsi"/>
          <w:szCs w:val="28"/>
        </w:rPr>
        <w:t>d’Essaouira</w:t>
      </w:r>
      <w:r w:rsidRPr="00E70267">
        <w:rPr>
          <w:rFonts w:cstheme="minorHAnsi"/>
          <w:szCs w:val="28"/>
        </w:rPr>
        <w:t xml:space="preserve">, gisement non encore </w:t>
      </w:r>
      <w:r w:rsidRPr="00E70267">
        <w:rPr>
          <w:rFonts w:cstheme="minorHAnsi"/>
          <w:szCs w:val="28"/>
        </w:rPr>
        <w:t>exploité</w:t>
      </w:r>
      <w:r w:rsidRPr="00E70267">
        <w:rPr>
          <w:rFonts w:cstheme="minorHAnsi"/>
          <w:szCs w:val="28"/>
        </w:rPr>
        <w:t>.</w:t>
      </w:r>
    </w:p>
    <w:p w14:paraId="7B212639" w14:textId="77777777" w:rsidR="00E70267" w:rsidRDefault="00E70267" w:rsidP="00E70267">
      <w:pPr>
        <w:rPr>
          <w:rFonts w:cstheme="minorHAnsi"/>
          <w:szCs w:val="28"/>
        </w:rPr>
      </w:pPr>
      <w:r w:rsidRPr="00E70267">
        <w:rPr>
          <w:rFonts w:cstheme="minorHAnsi"/>
          <w:szCs w:val="28"/>
        </w:rPr>
        <w:t xml:space="preserve">L’industrie chimique des phosphates se trouve </w:t>
      </w:r>
      <w:r>
        <w:rPr>
          <w:rFonts w:cstheme="minorHAnsi"/>
          <w:szCs w:val="28"/>
        </w:rPr>
        <w:t>à</w:t>
      </w:r>
      <w:r w:rsidRPr="00E70267">
        <w:rPr>
          <w:rFonts w:cstheme="minorHAnsi"/>
          <w:szCs w:val="28"/>
        </w:rPr>
        <w:t xml:space="preserve"> : </w:t>
      </w:r>
    </w:p>
    <w:p w14:paraId="22A54AA3" w14:textId="35063DA1" w:rsidR="00E70267" w:rsidRPr="00E70267" w:rsidRDefault="00E70267" w:rsidP="00E70267">
      <w:pPr>
        <w:pStyle w:val="Paragraphedeliste"/>
        <w:numPr>
          <w:ilvl w:val="0"/>
          <w:numId w:val="5"/>
        </w:numPr>
        <w:rPr>
          <w:rFonts w:cstheme="minorHAnsi"/>
          <w:b/>
          <w:bCs/>
          <w:szCs w:val="28"/>
        </w:rPr>
      </w:pPr>
      <w:r w:rsidRPr="00E70267">
        <w:rPr>
          <w:rFonts w:cstheme="minorHAnsi"/>
          <w:b/>
          <w:bCs/>
          <w:szCs w:val="28"/>
        </w:rPr>
        <w:t>J</w:t>
      </w:r>
      <w:r>
        <w:rPr>
          <w:rFonts w:cstheme="minorHAnsi"/>
          <w:b/>
          <w:bCs/>
          <w:szCs w:val="28"/>
        </w:rPr>
        <w:t>orf</w:t>
      </w:r>
      <w:r w:rsidRPr="00E70267">
        <w:rPr>
          <w:rFonts w:cstheme="minorHAnsi"/>
          <w:b/>
          <w:bCs/>
          <w:szCs w:val="28"/>
        </w:rPr>
        <w:t xml:space="preserve"> L</w:t>
      </w:r>
      <w:r>
        <w:rPr>
          <w:rFonts w:cstheme="minorHAnsi"/>
          <w:b/>
          <w:bCs/>
          <w:szCs w:val="28"/>
        </w:rPr>
        <w:t>asfar</w:t>
      </w:r>
      <w:r w:rsidRPr="00E70267">
        <w:rPr>
          <w:rFonts w:cstheme="minorHAnsi"/>
          <w:b/>
          <w:bCs/>
          <w:szCs w:val="28"/>
        </w:rPr>
        <w:t xml:space="preserve"> </w:t>
      </w:r>
    </w:p>
    <w:p w14:paraId="6F84872A" w14:textId="2A15E073" w:rsidR="00E70267" w:rsidRPr="00E70267" w:rsidRDefault="00E70267" w:rsidP="00E70267">
      <w:pPr>
        <w:pStyle w:val="Paragraphedeliste"/>
        <w:numPr>
          <w:ilvl w:val="0"/>
          <w:numId w:val="5"/>
        </w:numPr>
        <w:rPr>
          <w:rFonts w:cstheme="minorHAnsi"/>
          <w:szCs w:val="28"/>
        </w:rPr>
      </w:pPr>
      <w:r w:rsidRPr="00E70267">
        <w:rPr>
          <w:rFonts w:cstheme="minorHAnsi"/>
          <w:b/>
          <w:bCs/>
          <w:szCs w:val="28"/>
        </w:rPr>
        <w:t>S</w:t>
      </w:r>
      <w:r>
        <w:rPr>
          <w:rFonts w:cstheme="minorHAnsi"/>
          <w:b/>
          <w:bCs/>
          <w:szCs w:val="28"/>
        </w:rPr>
        <w:t>afi</w:t>
      </w:r>
    </w:p>
    <w:p w14:paraId="6E2725A7" w14:textId="77777777" w:rsidR="00E70267" w:rsidRDefault="00E70267" w:rsidP="00E70267">
      <w:pPr>
        <w:rPr>
          <w:rFonts w:cstheme="minorHAnsi"/>
          <w:szCs w:val="28"/>
        </w:rPr>
      </w:pPr>
      <w:r w:rsidRPr="00E70267">
        <w:rPr>
          <w:rFonts w:cstheme="minorHAnsi"/>
          <w:szCs w:val="28"/>
        </w:rPr>
        <w:t>Ports d’embarquement :</w:t>
      </w:r>
    </w:p>
    <w:p w14:paraId="72358666" w14:textId="15C2D37D" w:rsidR="00E70267" w:rsidRPr="00E70267" w:rsidRDefault="00E70267" w:rsidP="00E70267">
      <w:pPr>
        <w:pStyle w:val="Paragraphedeliste"/>
        <w:numPr>
          <w:ilvl w:val="0"/>
          <w:numId w:val="6"/>
        </w:numPr>
        <w:rPr>
          <w:rFonts w:cstheme="minorHAnsi"/>
          <w:b/>
          <w:bCs/>
          <w:szCs w:val="28"/>
        </w:rPr>
      </w:pPr>
      <w:r w:rsidRPr="00E70267">
        <w:rPr>
          <w:rFonts w:cstheme="minorHAnsi"/>
          <w:b/>
          <w:bCs/>
          <w:szCs w:val="28"/>
        </w:rPr>
        <w:t>Casablanca</w:t>
      </w:r>
    </w:p>
    <w:p w14:paraId="4EC32C58" w14:textId="59185953" w:rsidR="00E70267" w:rsidRPr="00E70267" w:rsidRDefault="00E70267" w:rsidP="00E70267">
      <w:pPr>
        <w:pStyle w:val="Paragraphedeliste"/>
        <w:numPr>
          <w:ilvl w:val="0"/>
          <w:numId w:val="6"/>
        </w:numPr>
        <w:rPr>
          <w:rFonts w:cstheme="minorHAnsi"/>
          <w:b/>
          <w:bCs/>
          <w:szCs w:val="28"/>
        </w:rPr>
      </w:pPr>
      <w:r w:rsidRPr="00E70267">
        <w:rPr>
          <w:rFonts w:cstheme="minorHAnsi"/>
          <w:b/>
          <w:bCs/>
          <w:szCs w:val="28"/>
        </w:rPr>
        <w:t xml:space="preserve">Jorf Lasfar </w:t>
      </w:r>
    </w:p>
    <w:p w14:paraId="1506B87C" w14:textId="66302819" w:rsidR="00E70267" w:rsidRPr="00E70267" w:rsidRDefault="00E70267" w:rsidP="00E70267">
      <w:pPr>
        <w:pStyle w:val="Paragraphedeliste"/>
        <w:numPr>
          <w:ilvl w:val="0"/>
          <w:numId w:val="6"/>
        </w:numPr>
        <w:rPr>
          <w:rFonts w:cstheme="minorHAnsi"/>
          <w:b/>
          <w:bCs/>
          <w:szCs w:val="28"/>
        </w:rPr>
      </w:pPr>
      <w:r w:rsidRPr="00E70267">
        <w:rPr>
          <w:rFonts w:cstheme="minorHAnsi"/>
          <w:b/>
          <w:bCs/>
          <w:szCs w:val="28"/>
        </w:rPr>
        <w:t xml:space="preserve">Safi </w:t>
      </w:r>
    </w:p>
    <w:p w14:paraId="59E45691" w14:textId="7AFF2811" w:rsidR="00E70267" w:rsidRPr="00E70267" w:rsidRDefault="00E70267" w:rsidP="00E70267">
      <w:pPr>
        <w:pStyle w:val="Paragraphedeliste"/>
        <w:numPr>
          <w:ilvl w:val="0"/>
          <w:numId w:val="6"/>
        </w:numPr>
        <w:rPr>
          <w:rFonts w:cstheme="minorHAnsi"/>
          <w:b/>
          <w:bCs/>
          <w:szCs w:val="28"/>
        </w:rPr>
      </w:pPr>
      <w:r w:rsidRPr="00E70267">
        <w:rPr>
          <w:rFonts w:cstheme="minorHAnsi"/>
          <w:b/>
          <w:bCs/>
          <w:szCs w:val="28"/>
        </w:rPr>
        <w:t>Laâyoune</w:t>
      </w:r>
    </w:p>
    <w:p w14:paraId="76144F81" w14:textId="77777777" w:rsidR="00E61EE9" w:rsidRDefault="00E61EE9" w:rsidP="00E61EE9">
      <w:pPr>
        <w:keepNext/>
        <w:jc w:val="center"/>
      </w:pPr>
      <w:r>
        <w:rPr>
          <w:rFonts w:cstheme="minorHAnsi"/>
          <w:noProof/>
          <w:sz w:val="32"/>
          <w:szCs w:val="32"/>
        </w:rPr>
        <w:lastRenderedPageBreak/>
        <w:drawing>
          <wp:inline distT="0" distB="0" distL="0" distR="0" wp14:anchorId="3FF9F526" wp14:editId="189776A8">
            <wp:extent cx="5039797" cy="5273497"/>
            <wp:effectExtent l="19050" t="19050" r="27940" b="22860"/>
            <wp:docPr id="20930809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80915" name="Image 2093080915"/>
                    <pic:cNvPicPr/>
                  </pic:nvPicPr>
                  <pic:blipFill>
                    <a:blip r:embed="rId10">
                      <a:extLst>
                        <a:ext uri="{28A0092B-C50C-407E-A947-70E740481C1C}">
                          <a14:useLocalDpi xmlns:a14="http://schemas.microsoft.com/office/drawing/2010/main" val="0"/>
                        </a:ext>
                      </a:extLst>
                    </a:blip>
                    <a:stretch>
                      <a:fillRect/>
                    </a:stretch>
                  </pic:blipFill>
                  <pic:spPr>
                    <a:xfrm>
                      <a:off x="0" y="0"/>
                      <a:ext cx="5039797" cy="5273497"/>
                    </a:xfrm>
                    <a:prstGeom prst="rect">
                      <a:avLst/>
                    </a:prstGeom>
                    <a:ln>
                      <a:solidFill>
                        <a:schemeClr val="tx1"/>
                      </a:solidFill>
                    </a:ln>
                  </pic:spPr>
                </pic:pic>
              </a:graphicData>
            </a:graphic>
          </wp:inline>
        </w:drawing>
      </w:r>
    </w:p>
    <w:p w14:paraId="44CEECC3" w14:textId="1C46878F" w:rsidR="003F336D" w:rsidRPr="006C511E" w:rsidRDefault="00E61EE9" w:rsidP="006C511E">
      <w:pPr>
        <w:pStyle w:val="Lgende"/>
        <w:jc w:val="center"/>
        <w:rPr>
          <w:sz w:val="24"/>
          <w:szCs w:val="24"/>
        </w:rPr>
      </w:pPr>
      <w:r w:rsidRPr="00E61EE9">
        <w:rPr>
          <w:sz w:val="24"/>
          <w:szCs w:val="24"/>
        </w:rPr>
        <w:t>Fi</w:t>
      </w:r>
      <w:r>
        <w:rPr>
          <w:sz w:val="24"/>
          <w:szCs w:val="24"/>
        </w:rPr>
        <w:t>g</w:t>
      </w:r>
      <w:r w:rsidRPr="00E61EE9">
        <w:rPr>
          <w:sz w:val="24"/>
          <w:szCs w:val="24"/>
        </w:rPr>
        <w:t xml:space="preserve">ure </w:t>
      </w:r>
      <w:r w:rsidRPr="00E61EE9">
        <w:rPr>
          <w:sz w:val="24"/>
          <w:szCs w:val="24"/>
        </w:rPr>
        <w:fldChar w:fldCharType="begin"/>
      </w:r>
      <w:r w:rsidRPr="00E61EE9">
        <w:rPr>
          <w:sz w:val="24"/>
          <w:szCs w:val="24"/>
        </w:rPr>
        <w:instrText xml:space="preserve"> SEQ Figure \* ARABIC </w:instrText>
      </w:r>
      <w:r w:rsidRPr="00E61EE9">
        <w:rPr>
          <w:sz w:val="24"/>
          <w:szCs w:val="24"/>
        </w:rPr>
        <w:fldChar w:fldCharType="separate"/>
      </w:r>
      <w:r w:rsidR="006C511E">
        <w:rPr>
          <w:noProof/>
          <w:sz w:val="24"/>
          <w:szCs w:val="24"/>
        </w:rPr>
        <w:t>1</w:t>
      </w:r>
      <w:r w:rsidRPr="00E61EE9">
        <w:rPr>
          <w:sz w:val="24"/>
          <w:szCs w:val="24"/>
        </w:rPr>
        <w:fldChar w:fldCharType="end"/>
      </w:r>
      <w:r w:rsidRPr="00E61EE9">
        <w:rPr>
          <w:sz w:val="24"/>
          <w:szCs w:val="24"/>
        </w:rPr>
        <w:t>.1 - Carte des Sites OCP au Maroc</w:t>
      </w:r>
    </w:p>
    <w:p w14:paraId="1681448C" w14:textId="26A12239" w:rsidR="00C519BC" w:rsidRDefault="00E4438E" w:rsidP="00E4438E">
      <w:r w:rsidRPr="00E4438E">
        <w:t>Lieu du stage Site de Gantour : Mine de Benguerir</w:t>
      </w:r>
      <w:r>
        <w:t> : NIVEAU 2</w:t>
      </w:r>
    </w:p>
    <w:p w14:paraId="6F4F7AE4" w14:textId="4DEB83C8" w:rsidR="00E4438E" w:rsidRDefault="00E4438E" w:rsidP="003F336D">
      <w:pPr>
        <w:ind w:firstLine="708"/>
      </w:pPr>
      <w:r w:rsidRPr="00E4438E">
        <w:t>La PMG (</w:t>
      </w:r>
      <w:r w:rsidRPr="00E4438E">
        <w:t>Pôle</w:t>
      </w:r>
      <w:r w:rsidRPr="00E4438E">
        <w:t xml:space="preserve"> Mine Gantour) a pour mission l’extraction, le traitement et la livraison des phosphates</w:t>
      </w:r>
      <w:r>
        <w:t xml:space="preserve"> </w:t>
      </w:r>
      <w:r w:rsidRPr="00E4438E">
        <w:t>à</w:t>
      </w:r>
      <w:r w:rsidRPr="00E4438E">
        <w:t xml:space="preserve"> partir du gisement de Gantour. Pour </w:t>
      </w:r>
      <w:r w:rsidRPr="00E4438E">
        <w:t>la superficie</w:t>
      </w:r>
      <w:r w:rsidRPr="00E4438E">
        <w:t xml:space="preserve"> de 2500km², le gisement s’</w:t>
      </w:r>
      <w:r w:rsidRPr="00E4438E">
        <w:t>étend</w:t>
      </w:r>
      <w:r w:rsidRPr="00E4438E">
        <w:t xml:space="preserve"> sur 125km du Nord en Ouest, sur 20km du Nord en sud, ses </w:t>
      </w:r>
      <w:r w:rsidRPr="00E4438E">
        <w:t>réserves</w:t>
      </w:r>
      <w:r w:rsidRPr="00E4438E">
        <w:t xml:space="preserve"> sont </w:t>
      </w:r>
      <w:r w:rsidRPr="00E4438E">
        <w:t>estimées</w:t>
      </w:r>
      <w:r w:rsidRPr="00E4438E">
        <w:t xml:space="preserve"> </w:t>
      </w:r>
      <w:r>
        <w:t>à</w:t>
      </w:r>
      <w:r w:rsidRPr="00E4438E">
        <w:t xml:space="preserve"> environ 31 milliards des m</w:t>
      </w:r>
      <w:r>
        <w:t>è</w:t>
      </w:r>
      <w:r w:rsidRPr="00E4438E">
        <w:t xml:space="preserve">tres cubes et </w:t>
      </w:r>
      <w:r w:rsidRPr="00E4438E">
        <w:t>représentant</w:t>
      </w:r>
      <w:r w:rsidRPr="00E4438E">
        <w:t xml:space="preserve"> 35% des </w:t>
      </w:r>
      <w:r w:rsidRPr="00E4438E">
        <w:t>réserves</w:t>
      </w:r>
      <w:r w:rsidRPr="00E4438E">
        <w:t xml:space="preserve"> reconnues</w:t>
      </w:r>
      <w:r>
        <w:t xml:space="preserve"> à l</w:t>
      </w:r>
      <w:r w:rsidRPr="00E4438E">
        <w:t>’</w:t>
      </w:r>
      <w:r w:rsidRPr="00E4438E">
        <w:t>échelle</w:t>
      </w:r>
      <w:r w:rsidRPr="00E4438E">
        <w:t xml:space="preserve"> nationale. Deux centres sont en exploitation :</w:t>
      </w:r>
    </w:p>
    <w:p w14:paraId="53FFCFD7" w14:textId="6FFDB020" w:rsidR="00E4438E" w:rsidRDefault="00E4438E" w:rsidP="00E4438E">
      <w:pPr>
        <w:pStyle w:val="Paragraphedeliste"/>
        <w:numPr>
          <w:ilvl w:val="0"/>
          <w:numId w:val="8"/>
        </w:numPr>
      </w:pPr>
      <w:r w:rsidRPr="00E4438E">
        <w:t xml:space="preserve">Le centre de </w:t>
      </w:r>
      <w:r w:rsidRPr="00E4438E">
        <w:rPr>
          <w:b/>
          <w:bCs/>
        </w:rPr>
        <w:t>Youssoufia</w:t>
      </w:r>
      <w:r w:rsidRPr="00E4438E">
        <w:t xml:space="preserve"> (depuis 1931) :</w:t>
      </w:r>
      <w:r>
        <w:t xml:space="preserve"> </w:t>
      </w:r>
      <w:r w:rsidRPr="00E4438E">
        <w:t xml:space="preserve">extraction sur deux mine </w:t>
      </w:r>
      <w:r w:rsidRPr="00E4438E">
        <w:rPr>
          <w:b/>
          <w:bCs/>
        </w:rPr>
        <w:t>Bouchane</w:t>
      </w:r>
      <w:r w:rsidRPr="00E4438E">
        <w:t xml:space="preserve"> et </w:t>
      </w:r>
      <w:r w:rsidRPr="00E4438E">
        <w:rPr>
          <w:b/>
          <w:bCs/>
        </w:rPr>
        <w:t xml:space="preserve">M’zinda </w:t>
      </w:r>
      <w:r w:rsidRPr="00E4438E">
        <w:t xml:space="preserve">et </w:t>
      </w:r>
      <w:r w:rsidRPr="00E4438E">
        <w:t>b</w:t>
      </w:r>
      <w:r>
        <w:t>é</w:t>
      </w:r>
      <w:r w:rsidRPr="00E4438E">
        <w:t>nification</w:t>
      </w:r>
      <w:r w:rsidRPr="00E4438E">
        <w:t xml:space="preserve"> (calcination</w:t>
      </w:r>
      <w:r>
        <w:t xml:space="preserve"> </w:t>
      </w:r>
      <w:r w:rsidRPr="00E4438E">
        <w:t>séchage</w:t>
      </w:r>
      <w:r w:rsidRPr="00E4438E">
        <w:t xml:space="preserve"> et lavage).</w:t>
      </w:r>
    </w:p>
    <w:p w14:paraId="1F895E2A" w14:textId="12DA9900" w:rsidR="00E4438E" w:rsidRDefault="00E4438E" w:rsidP="00E4438E">
      <w:pPr>
        <w:pStyle w:val="Paragraphedeliste"/>
        <w:numPr>
          <w:ilvl w:val="0"/>
          <w:numId w:val="8"/>
        </w:numPr>
      </w:pPr>
      <w:r w:rsidRPr="00E4438E">
        <w:t xml:space="preserve">Le centre de </w:t>
      </w:r>
      <w:r w:rsidRPr="00E4438E">
        <w:rPr>
          <w:b/>
          <w:bCs/>
        </w:rPr>
        <w:t>Benguerir</w:t>
      </w:r>
      <w:r w:rsidRPr="00E4438E">
        <w:t xml:space="preserve"> (depuis 1980) : extraction </w:t>
      </w:r>
      <w:r>
        <w:t>à</w:t>
      </w:r>
      <w:r w:rsidRPr="00E4438E">
        <w:t xml:space="preserve"> ciel ouvert</w:t>
      </w:r>
      <w:r>
        <w:t xml:space="preserve">, </w:t>
      </w:r>
      <w:r w:rsidRPr="00E4438E">
        <w:rPr>
          <w:b/>
          <w:bCs/>
        </w:rPr>
        <w:t>Lieu de stage</w:t>
      </w:r>
      <w:r>
        <w:t>.</w:t>
      </w:r>
    </w:p>
    <w:p w14:paraId="4E3DDF02" w14:textId="726DCDE2" w:rsidR="00C519BC" w:rsidRDefault="00E4438E" w:rsidP="003F336D">
      <w:pPr>
        <w:ind w:firstLine="708"/>
      </w:pPr>
      <w:r w:rsidRPr="00E4438E">
        <w:t xml:space="preserve">Le potentiel total de production est actuellement de 6.2 millions de tonnes de minerai par an, dont 3.7 millions de tonnes (60%) humide </w:t>
      </w:r>
      <w:r w:rsidRPr="00E4438E">
        <w:t>criblé</w:t>
      </w:r>
      <w:r w:rsidRPr="00E4438E">
        <w:t xml:space="preserve"> et 2.5 millions de tonnes (40%) de </w:t>
      </w:r>
      <w:r w:rsidRPr="00E4438E">
        <w:t>phosphates secs</w:t>
      </w:r>
      <w:r w:rsidRPr="00E4438E">
        <w:t xml:space="preserve"> et marchand.</w:t>
      </w:r>
    </w:p>
    <w:p w14:paraId="1271BDEB" w14:textId="5B0BD976" w:rsidR="00E4438E" w:rsidRDefault="003F336D" w:rsidP="003F336D">
      <w:pPr>
        <w:ind w:firstLine="708"/>
      </w:pPr>
      <w:r w:rsidRPr="003F336D">
        <w:t xml:space="preserve">La mine de Benguerir est </w:t>
      </w:r>
      <w:r w:rsidRPr="003F336D">
        <w:t>entrée</w:t>
      </w:r>
      <w:r w:rsidRPr="003F336D">
        <w:t xml:space="preserve"> en production entre 1979 et 1980. Durant la </w:t>
      </w:r>
      <w:r w:rsidRPr="003F336D">
        <w:t>première</w:t>
      </w:r>
      <w:r w:rsidRPr="003F336D">
        <w:t xml:space="preserve"> phase d’exploitation (1980-1994), 3,1 millions de tonnes de phosphate par </w:t>
      </w:r>
      <w:r w:rsidRPr="003F336D">
        <w:lastRenderedPageBreak/>
        <w:t xml:space="preserve">an ont </w:t>
      </w:r>
      <w:r w:rsidRPr="003F336D">
        <w:t>été</w:t>
      </w:r>
      <w:r w:rsidRPr="003F336D">
        <w:t xml:space="preserve"> extraites. Durant la seconde phase d’exploitation (1994-2018), 4,5 millions de tonnes de phosphate sont extraites par an.</w:t>
      </w:r>
    </w:p>
    <w:p w14:paraId="1FAF9D67" w14:textId="35030031" w:rsidR="003F336D" w:rsidRDefault="003F336D" w:rsidP="003F336D">
      <w:pPr>
        <w:ind w:firstLine="708"/>
      </w:pPr>
      <w:r w:rsidRPr="003F336D">
        <w:t xml:space="preserve">A 17 km </w:t>
      </w:r>
      <w:r>
        <w:t>à</w:t>
      </w:r>
      <w:r w:rsidRPr="003F336D">
        <w:t xml:space="preserve"> l’est de la ville de Benguerir et </w:t>
      </w:r>
      <w:r>
        <w:t>à</w:t>
      </w:r>
      <w:r w:rsidRPr="003F336D">
        <w:t xml:space="preserve"> 77 km de Youssoufia, la mine </w:t>
      </w:r>
      <w:r>
        <w:t>à</w:t>
      </w:r>
      <w:r w:rsidRPr="003F336D">
        <w:t xml:space="preserve"> ciel ouvert de Benguerir est </w:t>
      </w:r>
      <w:r w:rsidRPr="003F336D">
        <w:t>implantée</w:t>
      </w:r>
      <w:r w:rsidRPr="003F336D">
        <w:t xml:space="preserve"> dans la partie orientale du gisement de Gantour. Depuis 1965, le site fait l’objet d’une s</w:t>
      </w:r>
      <w:r>
        <w:t>é</w:t>
      </w:r>
      <w:r w:rsidRPr="003F336D">
        <w:t>rie d’</w:t>
      </w:r>
      <w:r w:rsidRPr="003F336D">
        <w:t>études</w:t>
      </w:r>
      <w:r w:rsidRPr="003F336D">
        <w:t xml:space="preserve"> </w:t>
      </w:r>
      <w:r w:rsidRPr="003F336D">
        <w:t>géologiques</w:t>
      </w:r>
      <w:r w:rsidRPr="003F336D">
        <w:t xml:space="preserve"> de reconnaissance et de valorisation. Son plan de d´</w:t>
      </w:r>
      <w:r w:rsidRPr="003F336D">
        <w:t>enveloppement</w:t>
      </w:r>
      <w:r w:rsidRPr="003F336D">
        <w:t xml:space="preserve"> a</w:t>
      </w:r>
      <w:r>
        <w:t xml:space="preserve"> </w:t>
      </w:r>
      <w:r w:rsidRPr="003F336D">
        <w:t>été</w:t>
      </w:r>
      <w:r w:rsidRPr="003F336D">
        <w:t xml:space="preserve"> </w:t>
      </w:r>
      <w:r w:rsidRPr="003F336D">
        <w:t>conçu</w:t>
      </w:r>
      <w:r w:rsidRPr="003F336D">
        <w:t xml:space="preserve"> de </w:t>
      </w:r>
      <w:r w:rsidRPr="003F336D">
        <w:t>façon</w:t>
      </w:r>
      <w:r w:rsidRPr="003F336D">
        <w:t xml:space="preserve"> </w:t>
      </w:r>
      <w:r>
        <w:t>à</w:t>
      </w:r>
      <w:r w:rsidRPr="003F336D">
        <w:t xml:space="preserve"> permettre une </w:t>
      </w:r>
      <w:r w:rsidRPr="003F336D">
        <w:t>évolution</w:t>
      </w:r>
      <w:r w:rsidRPr="003F336D">
        <w:t xml:space="preserve"> progressive de la </w:t>
      </w:r>
      <w:r w:rsidRPr="003F336D">
        <w:t>capacité</w:t>
      </w:r>
      <w:r w:rsidRPr="003F336D">
        <w:t xml:space="preserve"> de production. L’</w:t>
      </w:r>
      <w:r w:rsidRPr="003F336D">
        <w:t>étape</w:t>
      </w:r>
      <w:r w:rsidRPr="003F336D">
        <w:t xml:space="preserve"> actuelle vise </w:t>
      </w:r>
      <w:r>
        <w:t>à</w:t>
      </w:r>
      <w:r w:rsidRPr="003F336D">
        <w:t xml:space="preserve"> faire passer le potentiel d’extraction de 3,10 </w:t>
      </w:r>
      <w:r>
        <w:t>à</w:t>
      </w:r>
      <w:r w:rsidRPr="003F336D">
        <w:t xml:space="preserve"> 4,5 millions 4 de tonnes par an </w:t>
      </w:r>
      <w:r>
        <w:t>à</w:t>
      </w:r>
      <w:r w:rsidRPr="003F336D">
        <w:t xml:space="preserve"> l’horizon 2018. Il est </w:t>
      </w:r>
      <w:r w:rsidRPr="003F336D">
        <w:t>situé</w:t>
      </w:r>
      <w:r w:rsidRPr="003F336D">
        <w:t xml:space="preserve"> entre les massifs des </w:t>
      </w:r>
      <w:r w:rsidRPr="003F336D">
        <w:rPr>
          <w:b/>
          <w:bCs/>
        </w:rPr>
        <w:t>Rhamna</w:t>
      </w:r>
      <w:r w:rsidRPr="003F336D">
        <w:t xml:space="preserve"> au Nord et les </w:t>
      </w:r>
      <w:r w:rsidRPr="003F336D">
        <w:rPr>
          <w:b/>
          <w:bCs/>
        </w:rPr>
        <w:t>Jbilet</w:t>
      </w:r>
      <w:r w:rsidRPr="003F336D">
        <w:t xml:space="preserve"> au Sud. A l’ouest il est </w:t>
      </w:r>
      <w:r w:rsidRPr="003F336D">
        <w:t>limité</w:t>
      </w:r>
      <w:r w:rsidRPr="003F336D">
        <w:t xml:space="preserve"> par les collines jurassiques de </w:t>
      </w:r>
      <w:r w:rsidRPr="003F336D">
        <w:rPr>
          <w:b/>
          <w:bCs/>
        </w:rPr>
        <w:t>Mouissat</w:t>
      </w:r>
      <w:r w:rsidRPr="003F336D">
        <w:t xml:space="preserve"> et se prolonge </w:t>
      </w:r>
      <w:r>
        <w:t>à</w:t>
      </w:r>
      <w:r w:rsidRPr="003F336D">
        <w:t xml:space="preserve"> l’est jusqu’aux rives de l’ouest </w:t>
      </w:r>
      <w:r w:rsidRPr="003F336D">
        <w:rPr>
          <w:b/>
          <w:bCs/>
        </w:rPr>
        <w:t>T</w:t>
      </w:r>
      <w:r w:rsidRPr="003F336D">
        <w:rPr>
          <w:b/>
          <w:bCs/>
        </w:rPr>
        <w:t>as</w:t>
      </w:r>
      <w:r w:rsidRPr="003F336D">
        <w:rPr>
          <w:b/>
          <w:bCs/>
        </w:rPr>
        <w:t>saout</w:t>
      </w:r>
      <w:r w:rsidRPr="003F336D">
        <w:t xml:space="preserve">. Le bassin des </w:t>
      </w:r>
      <w:r w:rsidRPr="003F336D">
        <w:rPr>
          <w:b/>
          <w:bCs/>
        </w:rPr>
        <w:t>Ganntour</w:t>
      </w:r>
      <w:r w:rsidRPr="003F336D">
        <w:t xml:space="preserve"> renferme deux centres miniers, le premier </w:t>
      </w:r>
      <w:r>
        <w:t>à</w:t>
      </w:r>
      <w:r w:rsidRPr="003F336D">
        <w:t xml:space="preserve"> </w:t>
      </w:r>
      <w:r w:rsidRPr="003F336D">
        <w:rPr>
          <w:b/>
          <w:bCs/>
        </w:rPr>
        <w:t>l’Youssoufia</w:t>
      </w:r>
      <w:r w:rsidRPr="003F336D">
        <w:t xml:space="preserve"> qui se trouve </w:t>
      </w:r>
      <w:r>
        <w:t>à</w:t>
      </w:r>
      <w:r w:rsidRPr="003F336D">
        <w:t xml:space="preserve"> l’extr</w:t>
      </w:r>
      <w:r>
        <w:t>é</w:t>
      </w:r>
      <w:r w:rsidRPr="003F336D">
        <w:t>mit</w:t>
      </w:r>
      <w:r>
        <w:t>é</w:t>
      </w:r>
      <w:r w:rsidRPr="003F336D">
        <w:t xml:space="preserve"> occidentale du bassin et le deuxi</w:t>
      </w:r>
      <w:r>
        <w:t>è</w:t>
      </w:r>
      <w:r w:rsidRPr="003F336D">
        <w:t>me</w:t>
      </w:r>
      <w:r>
        <w:t xml:space="preserve"> à </w:t>
      </w:r>
      <w:r w:rsidRPr="003F336D">
        <w:rPr>
          <w:b/>
          <w:bCs/>
        </w:rPr>
        <w:t>Benguerir</w:t>
      </w:r>
      <w:r w:rsidRPr="003F336D">
        <w:t xml:space="preserve"> au centre de celui-ci.</w:t>
      </w:r>
    </w:p>
    <w:p w14:paraId="5E7CC017" w14:textId="63ABC5A9" w:rsidR="00C519BC" w:rsidRDefault="003F336D" w:rsidP="003F336D">
      <w:r w:rsidRPr="003F336D">
        <w:t>La m</w:t>
      </w:r>
      <w:r>
        <w:t>é</w:t>
      </w:r>
      <w:r w:rsidRPr="003F336D">
        <w:t>thode d’exploitation</w:t>
      </w:r>
      <w:r>
        <w:t> : NIVEAU 2</w:t>
      </w:r>
    </w:p>
    <w:p w14:paraId="66539C51" w14:textId="3BB8A7DF" w:rsidR="00C519BC" w:rsidRPr="006C511E" w:rsidRDefault="003F336D" w:rsidP="006C511E">
      <w:pPr>
        <w:ind w:firstLine="708"/>
      </w:pPr>
      <w:r w:rsidRPr="003F336D">
        <w:t xml:space="preserve">La mine de Benguerir est </w:t>
      </w:r>
      <w:r w:rsidRPr="003F336D">
        <w:t>implantée</w:t>
      </w:r>
      <w:r w:rsidRPr="003F336D">
        <w:t xml:space="preserve"> dans la partie centrale du gisement de Gantour de nature </w:t>
      </w:r>
      <w:r w:rsidRPr="003F336D">
        <w:t>sédimentaire</w:t>
      </w:r>
      <w:r w:rsidRPr="003F336D">
        <w:t xml:space="preserve">, celui-ci consiste en une alternance de couche du phosphate et d’intercalaire. L’exploitation </w:t>
      </w:r>
      <w:r>
        <w:t>à</w:t>
      </w:r>
      <w:r w:rsidRPr="003F336D">
        <w:t xml:space="preserve"> Benguerir se fait </w:t>
      </w:r>
      <w:r>
        <w:t>à</w:t>
      </w:r>
      <w:r w:rsidRPr="003F336D">
        <w:t xml:space="preserve"> ciel ouvert. La m</w:t>
      </w:r>
      <w:r>
        <w:t>é</w:t>
      </w:r>
      <w:r w:rsidRPr="003F336D">
        <w:t>thode d’exploitation actuelle est une m</w:t>
      </w:r>
      <w:r>
        <w:t>é</w:t>
      </w:r>
      <w:r w:rsidRPr="003F336D">
        <w:t>thode s´</w:t>
      </w:r>
      <w:r w:rsidRPr="003F336D">
        <w:t>élective</w:t>
      </w:r>
      <w:r w:rsidRPr="003F336D">
        <w:t xml:space="preserve"> de </w:t>
      </w:r>
      <w:r w:rsidRPr="003F336D">
        <w:t>récupération</w:t>
      </w:r>
      <w:r w:rsidRPr="003F336D">
        <w:t xml:space="preserve"> des couches de phosphate : on </w:t>
      </w:r>
      <w:r w:rsidRPr="003F336D">
        <w:t>procède</w:t>
      </w:r>
      <w:r w:rsidRPr="003F336D">
        <w:t xml:space="preserve"> au </w:t>
      </w:r>
      <w:r w:rsidRPr="003F336D">
        <w:t>début</w:t>
      </w:r>
      <w:r w:rsidRPr="003F336D">
        <w:t xml:space="preserve"> par la </w:t>
      </w:r>
      <w:r w:rsidRPr="003F336D">
        <w:t>récupération</w:t>
      </w:r>
      <w:r w:rsidRPr="003F336D">
        <w:t xml:space="preserve"> de la terre </w:t>
      </w:r>
      <w:r w:rsidRPr="003F336D">
        <w:t>végétale</w:t>
      </w:r>
      <w:r w:rsidRPr="003F336D">
        <w:t xml:space="preserve"> le recouvrement </w:t>
      </w:r>
      <w:r w:rsidRPr="003F336D">
        <w:t>stérile</w:t>
      </w:r>
      <w:r w:rsidRPr="003F336D">
        <w:t xml:space="preserve">, </w:t>
      </w:r>
      <w:r w:rsidRPr="003F336D">
        <w:t>après</w:t>
      </w:r>
      <w:r w:rsidRPr="003F336D">
        <w:t xml:space="preserve"> avoir ´</w:t>
      </w:r>
      <w:r w:rsidRPr="003F336D">
        <w:t>été</w:t>
      </w:r>
      <w:r w:rsidRPr="003F336D">
        <w:t xml:space="preserve"> </w:t>
      </w:r>
      <w:r w:rsidRPr="003F336D">
        <w:t>foré</w:t>
      </w:r>
      <w:r w:rsidRPr="003F336D">
        <w:t xml:space="preserve"> et </w:t>
      </w:r>
      <w:r w:rsidRPr="003F336D">
        <w:t>sauté</w:t>
      </w:r>
      <w:r w:rsidRPr="003F336D">
        <w:t xml:space="preserve">, est </w:t>
      </w:r>
      <w:r w:rsidRPr="003F336D">
        <w:t>décapé</w:t>
      </w:r>
      <w:r w:rsidRPr="003F336D">
        <w:t xml:space="preserve"> au moyen de Draglines et de Bulldozers. Ensuite, on </w:t>
      </w:r>
      <w:r w:rsidR="0020636D" w:rsidRPr="003F336D">
        <w:t>procède</w:t>
      </w:r>
      <w:r w:rsidRPr="003F336D">
        <w:t xml:space="preserve"> au</w:t>
      </w:r>
      <w:r w:rsidR="0020636D">
        <w:t xml:space="preserve"> dé</w:t>
      </w:r>
      <w:r w:rsidR="0020636D" w:rsidRPr="003F336D">
        <w:t>fruitage</w:t>
      </w:r>
      <w:r w:rsidRPr="003F336D">
        <w:t xml:space="preserve"> qui consiste </w:t>
      </w:r>
      <w:r w:rsidR="0020636D">
        <w:t>à</w:t>
      </w:r>
      <w:r w:rsidRPr="003F336D">
        <w:t xml:space="preserve"> gerber et charger le phosphate pour le transporter via des camions. Ces </w:t>
      </w:r>
      <w:r w:rsidR="0020636D" w:rsidRPr="003F336D">
        <w:t>opérations</w:t>
      </w:r>
      <w:r w:rsidRPr="003F336D">
        <w:t xml:space="preserve"> se </w:t>
      </w:r>
      <w:r w:rsidR="0020636D" w:rsidRPr="003F336D">
        <w:t>répètent</w:t>
      </w:r>
      <w:r w:rsidRPr="003F336D">
        <w:t xml:space="preserve"> jusqu’`a l’exploitation de tous les niveaux et </w:t>
      </w:r>
      <w:r w:rsidR="0020636D" w:rsidRPr="003F336D">
        <w:t>après</w:t>
      </w:r>
      <w:r w:rsidRPr="003F336D">
        <w:t xml:space="preserve"> </w:t>
      </w:r>
      <w:r w:rsidR="0020636D" w:rsidRPr="003F336D">
        <w:t>aménagement</w:t>
      </w:r>
      <w:r w:rsidRPr="003F336D">
        <w:t xml:space="preserve"> des terres remuer on </w:t>
      </w:r>
      <w:r w:rsidR="0020636D" w:rsidRPr="003F336D">
        <w:t>procède</w:t>
      </w:r>
      <w:r w:rsidRPr="003F336D">
        <w:t xml:space="preserve"> </w:t>
      </w:r>
      <w:r w:rsidR="0020636D">
        <w:t>à</w:t>
      </w:r>
      <w:r w:rsidRPr="003F336D">
        <w:t xml:space="preserve"> la plantation des arbres. Nous </w:t>
      </w:r>
      <w:r w:rsidR="0020636D" w:rsidRPr="003F336D">
        <w:t>présenterons</w:t>
      </w:r>
      <w:r w:rsidRPr="003F336D">
        <w:t xml:space="preserve">, dans </w:t>
      </w:r>
      <w:hyperlink w:anchor="Figure1p2" w:history="1">
        <w:r w:rsidRPr="009629E7">
          <w:rPr>
            <w:rStyle w:val="Lienhypertexte"/>
            <w:b/>
            <w:bCs/>
            <w:color w:val="auto"/>
            <w:u w:val="none"/>
          </w:rPr>
          <w:t>la fi</w:t>
        </w:r>
        <w:r w:rsidRPr="009629E7">
          <w:rPr>
            <w:rStyle w:val="Lienhypertexte"/>
            <w:b/>
            <w:bCs/>
            <w:color w:val="auto"/>
            <w:u w:val="none"/>
          </w:rPr>
          <w:t>g</w:t>
        </w:r>
        <w:r w:rsidRPr="009629E7">
          <w:rPr>
            <w:rStyle w:val="Lienhypertexte"/>
            <w:b/>
            <w:bCs/>
            <w:color w:val="auto"/>
            <w:u w:val="none"/>
          </w:rPr>
          <w:t>ure 1.2</w:t>
        </w:r>
      </w:hyperlink>
      <w:r w:rsidRPr="003F336D">
        <w:t xml:space="preserve">, un </w:t>
      </w:r>
      <w:r w:rsidR="0020636D" w:rsidRPr="003F336D">
        <w:t>aperçu</w:t>
      </w:r>
      <w:r w:rsidRPr="003F336D">
        <w:t xml:space="preserve"> global du processus d’extraction suivi au sein de la mine de Benguerir.</w:t>
      </w:r>
    </w:p>
    <w:p w14:paraId="37DD905E" w14:textId="77777777" w:rsidR="0020636D" w:rsidRDefault="0020636D" w:rsidP="0020636D">
      <w:pPr>
        <w:keepNext/>
        <w:jc w:val="center"/>
      </w:pPr>
      <w:bookmarkStart w:id="0" w:name="Figure1p2"/>
      <w:r>
        <w:rPr>
          <w:rFonts w:cstheme="minorHAnsi"/>
          <w:noProof/>
          <w:sz w:val="32"/>
          <w:szCs w:val="32"/>
        </w:rPr>
        <w:drawing>
          <wp:inline distT="0" distB="0" distL="0" distR="0" wp14:anchorId="01E1B991" wp14:editId="5A7D8079">
            <wp:extent cx="6188710" cy="2148840"/>
            <wp:effectExtent l="19050" t="19050" r="21590" b="22860"/>
            <wp:docPr id="14430239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23968" name="Image 1443023968"/>
                    <pic:cNvPicPr/>
                  </pic:nvPicPr>
                  <pic:blipFill>
                    <a:blip r:embed="rId11">
                      <a:extLst>
                        <a:ext uri="{28A0092B-C50C-407E-A947-70E740481C1C}">
                          <a14:useLocalDpi xmlns:a14="http://schemas.microsoft.com/office/drawing/2010/main" val="0"/>
                        </a:ext>
                      </a:extLst>
                    </a:blip>
                    <a:stretch>
                      <a:fillRect/>
                    </a:stretch>
                  </pic:blipFill>
                  <pic:spPr>
                    <a:xfrm>
                      <a:off x="0" y="0"/>
                      <a:ext cx="6188710" cy="2148840"/>
                    </a:xfrm>
                    <a:prstGeom prst="rect">
                      <a:avLst/>
                    </a:prstGeom>
                    <a:ln>
                      <a:solidFill>
                        <a:schemeClr val="tx1"/>
                      </a:solidFill>
                    </a:ln>
                  </pic:spPr>
                </pic:pic>
              </a:graphicData>
            </a:graphic>
          </wp:inline>
        </w:drawing>
      </w:r>
      <w:bookmarkEnd w:id="0"/>
    </w:p>
    <w:p w14:paraId="1F1FE0A7" w14:textId="360CDB2C" w:rsidR="00C519BC" w:rsidRPr="006C511E" w:rsidRDefault="0020636D" w:rsidP="006C511E">
      <w:pPr>
        <w:pStyle w:val="Lgende"/>
        <w:jc w:val="center"/>
        <w:rPr>
          <w:rFonts w:cstheme="minorHAnsi"/>
          <w:sz w:val="24"/>
          <w:szCs w:val="24"/>
        </w:rPr>
      </w:pPr>
      <w:r>
        <w:rPr>
          <w:rFonts w:cstheme="minorHAnsi"/>
          <w:sz w:val="24"/>
          <w:szCs w:val="24"/>
        </w:rPr>
        <w:t xml:space="preserve">Figure 1.2 - </w:t>
      </w:r>
      <w:r w:rsidRPr="0020636D">
        <w:rPr>
          <w:sz w:val="24"/>
          <w:szCs w:val="24"/>
        </w:rPr>
        <w:t xml:space="preserve">Description du </w:t>
      </w:r>
      <w:r>
        <w:rPr>
          <w:sz w:val="24"/>
          <w:szCs w:val="24"/>
        </w:rPr>
        <w:t>P</w:t>
      </w:r>
      <w:r w:rsidRPr="0020636D">
        <w:rPr>
          <w:sz w:val="24"/>
          <w:szCs w:val="24"/>
        </w:rPr>
        <w:t xml:space="preserve">rocessus </w:t>
      </w:r>
      <w:r>
        <w:rPr>
          <w:sz w:val="24"/>
          <w:szCs w:val="24"/>
        </w:rPr>
        <w:t>G</w:t>
      </w:r>
      <w:r w:rsidRPr="0020636D">
        <w:rPr>
          <w:sz w:val="24"/>
          <w:szCs w:val="24"/>
        </w:rPr>
        <w:t xml:space="preserve">lobal de la </w:t>
      </w:r>
      <w:r>
        <w:rPr>
          <w:sz w:val="24"/>
          <w:szCs w:val="24"/>
        </w:rPr>
        <w:t>M</w:t>
      </w:r>
      <w:r w:rsidRPr="0020636D">
        <w:rPr>
          <w:sz w:val="24"/>
          <w:szCs w:val="24"/>
        </w:rPr>
        <w:t>ine de Benguerir</w:t>
      </w:r>
    </w:p>
    <w:p w14:paraId="62D7722E" w14:textId="16E48B3D" w:rsidR="0020636D" w:rsidRDefault="0020636D" w:rsidP="0020636D">
      <w:pPr>
        <w:ind w:firstLine="708"/>
      </w:pPr>
      <w:r w:rsidRPr="0020636D">
        <w:t>La s</w:t>
      </w:r>
      <w:r>
        <w:t>é</w:t>
      </w:r>
      <w:r w:rsidRPr="0020636D">
        <w:t xml:space="preserve">rie </w:t>
      </w:r>
      <w:r w:rsidRPr="0020636D">
        <w:t>phosphatée</w:t>
      </w:r>
      <w:r w:rsidRPr="0020636D">
        <w:t xml:space="preserve"> comme celle des autres zones du bassin de Gantour se </w:t>
      </w:r>
      <w:r w:rsidRPr="0020636D">
        <w:t>présente</w:t>
      </w:r>
      <w:r w:rsidRPr="0020636D">
        <w:t xml:space="preserve"> sous forme d’alternance du niveau </w:t>
      </w:r>
      <w:r w:rsidRPr="0020636D">
        <w:t>phosphaté</w:t>
      </w:r>
      <w:r w:rsidRPr="0020636D">
        <w:t xml:space="preserve"> et </w:t>
      </w:r>
      <w:r w:rsidRPr="0020636D">
        <w:t>stérile</w:t>
      </w:r>
      <w:r w:rsidRPr="0020636D">
        <w:t xml:space="preserve">. La coupe </w:t>
      </w:r>
      <w:r w:rsidR="00D91290" w:rsidRPr="0020636D">
        <w:t>synthétique</w:t>
      </w:r>
      <w:r w:rsidRPr="0020636D">
        <w:t xml:space="preserve"> du gisement de Ben</w:t>
      </w:r>
      <w:r w:rsidR="00D91290">
        <w:t>guerir</w:t>
      </w:r>
      <w:r w:rsidRPr="0020636D">
        <w:t xml:space="preserve"> permet de distinguer les </w:t>
      </w:r>
      <w:r w:rsidR="00D91290" w:rsidRPr="0020636D">
        <w:t>différentes</w:t>
      </w:r>
      <w:r w:rsidRPr="0020636D">
        <w:t xml:space="preserve"> couches </w:t>
      </w:r>
      <w:r w:rsidR="00D91290" w:rsidRPr="0020636D">
        <w:t>phosphatées</w:t>
      </w:r>
      <w:r w:rsidRPr="0020636D">
        <w:t xml:space="preserve"> </w:t>
      </w:r>
      <w:r w:rsidRPr="0020636D">
        <w:lastRenderedPageBreak/>
        <w:t xml:space="preserve">ainsi que </w:t>
      </w:r>
      <w:r w:rsidR="00D91290" w:rsidRPr="0020636D">
        <w:t>leurs intercalaires</w:t>
      </w:r>
      <w:r w:rsidRPr="0020636D">
        <w:t xml:space="preserve">. Ces derniers sont des niveaux </w:t>
      </w:r>
      <w:r w:rsidR="00D91290" w:rsidRPr="0020636D">
        <w:t>repérés</w:t>
      </w:r>
      <w:r w:rsidRPr="0020636D">
        <w:t>, sur lesquels, l’exploitation se base pour faire une meilleure s</w:t>
      </w:r>
      <w:r w:rsidR="00D91290" w:rsidRPr="0020636D">
        <w:t>élection</w:t>
      </w:r>
      <w:r w:rsidRPr="0020636D">
        <w:t xml:space="preserve">. La production de Benguerir est </w:t>
      </w:r>
      <w:r w:rsidR="00D91290" w:rsidRPr="0020636D">
        <w:t>expédiée</w:t>
      </w:r>
      <w:r w:rsidRPr="0020636D">
        <w:t xml:space="preserve"> :</w:t>
      </w:r>
    </w:p>
    <w:p w14:paraId="16B3B582" w14:textId="77777777" w:rsidR="00D91290" w:rsidRDefault="00D91290" w:rsidP="00D91290">
      <w:pPr>
        <w:pStyle w:val="Paragraphedeliste"/>
        <w:numPr>
          <w:ilvl w:val="0"/>
          <w:numId w:val="9"/>
        </w:numPr>
      </w:pPr>
      <w:r w:rsidRPr="00D91290">
        <w:t xml:space="preserve">A </w:t>
      </w:r>
      <w:r w:rsidRPr="00D91290">
        <w:rPr>
          <w:b/>
          <w:bCs/>
        </w:rPr>
        <w:t>Safi</w:t>
      </w:r>
      <w:r w:rsidRPr="00D91290">
        <w:t xml:space="preserve"> pour un traitement chimique avant sa valorisation.</w:t>
      </w:r>
    </w:p>
    <w:p w14:paraId="1A8CCBB0" w14:textId="463D8EE1" w:rsidR="00D91290" w:rsidRDefault="00D91290" w:rsidP="00D91290">
      <w:pPr>
        <w:pStyle w:val="Paragraphedeliste"/>
        <w:numPr>
          <w:ilvl w:val="0"/>
          <w:numId w:val="9"/>
        </w:numPr>
      </w:pPr>
      <w:r w:rsidRPr="00D91290">
        <w:t xml:space="preserve">A </w:t>
      </w:r>
      <w:r w:rsidRPr="00D91290">
        <w:rPr>
          <w:b/>
          <w:bCs/>
        </w:rPr>
        <w:t>Youssoufia</w:t>
      </w:r>
      <w:r w:rsidRPr="00D91290">
        <w:t xml:space="preserve"> pour </w:t>
      </w:r>
      <w:r w:rsidRPr="00D91290">
        <w:t>être</w:t>
      </w:r>
      <w:r w:rsidRPr="00D91290">
        <w:t xml:space="preserve"> utilis</w:t>
      </w:r>
      <w:r>
        <w:rPr>
          <w:rFonts w:ascii="Calibri" w:hAnsi="Calibri" w:cs="Calibri"/>
        </w:rPr>
        <w:t>é</w:t>
      </w:r>
      <w:r w:rsidRPr="00D91290">
        <w:t>e comme appoint au phosphate noir.</w:t>
      </w:r>
    </w:p>
    <w:p w14:paraId="6FA42017" w14:textId="4D81E4BC" w:rsidR="00D91290" w:rsidRDefault="00D91290" w:rsidP="00E95044">
      <w:r w:rsidRPr="00D91290">
        <w:t xml:space="preserve">La production du phosphate se fait en </w:t>
      </w:r>
      <w:r>
        <w:t>é</w:t>
      </w:r>
      <w:r w:rsidRPr="00D91290">
        <w:t>tape comme suit</w:t>
      </w:r>
      <w:r>
        <w:t> :</w:t>
      </w:r>
    </w:p>
    <w:p w14:paraId="6DB9F08A" w14:textId="0D5D0692" w:rsidR="00D91290" w:rsidRPr="00E95044" w:rsidRDefault="00E95044" w:rsidP="00E95044">
      <w:pPr>
        <w:pStyle w:val="Paragraphedeliste"/>
        <w:numPr>
          <w:ilvl w:val="0"/>
          <w:numId w:val="10"/>
        </w:numPr>
        <w:rPr>
          <w:b/>
          <w:bCs/>
        </w:rPr>
      </w:pPr>
      <w:r w:rsidRPr="00E95044">
        <w:rPr>
          <w:b/>
          <w:bCs/>
        </w:rPr>
        <w:t>Aménagement</w:t>
      </w:r>
      <w:r w:rsidRPr="00E95044">
        <w:rPr>
          <w:b/>
          <w:bCs/>
        </w:rPr>
        <w:t xml:space="preserve"> du terrain</w:t>
      </w:r>
      <w:r w:rsidRPr="00E95044">
        <w:rPr>
          <w:b/>
          <w:bCs/>
        </w:rPr>
        <w:t> :</w:t>
      </w:r>
      <w:r>
        <w:rPr>
          <w:b/>
          <w:bCs/>
        </w:rPr>
        <w:t xml:space="preserve"> </w:t>
      </w:r>
      <w:r w:rsidRPr="00E95044">
        <w:t xml:space="preserve">Cette phase est une </w:t>
      </w:r>
      <w:r>
        <w:t>é</w:t>
      </w:r>
      <w:r w:rsidRPr="00E95044">
        <w:t>tape pr</w:t>
      </w:r>
      <w:r>
        <w:t>é</w:t>
      </w:r>
      <w:r w:rsidRPr="00E95044">
        <w:t>paratoire du terrain</w:t>
      </w:r>
      <w:r>
        <w:t xml:space="preserve"> </w:t>
      </w:r>
      <w:r w:rsidRPr="00E95044">
        <w:t>Pour les étapes à venir, elle consiste en premier lieu à faire l’opération de surfaçage qui a comme objectif d’enlever tous les éléments indésirables ou les obstacles existants sur la terre et de rendre la surface du terrain plus appropriée pour le déplacement de la machine qui va travailler dans cette zone. Cette étape inclut également la construction des pistes qui sont de deux types</w:t>
      </w:r>
      <w:r>
        <w:t> :</w:t>
      </w:r>
    </w:p>
    <w:p w14:paraId="6A026F70" w14:textId="173D8ACC" w:rsidR="00E95044" w:rsidRPr="00E95044" w:rsidRDefault="00E95044" w:rsidP="00E95044">
      <w:pPr>
        <w:pStyle w:val="Paragraphedeliste"/>
        <w:numPr>
          <w:ilvl w:val="0"/>
          <w:numId w:val="11"/>
        </w:numPr>
      </w:pPr>
      <w:r w:rsidRPr="00E95044">
        <w:rPr>
          <w:b/>
          <w:bCs/>
        </w:rPr>
        <w:t xml:space="preserve">Pistes principales : </w:t>
      </w:r>
      <w:r w:rsidRPr="00E95044">
        <w:t>ce sont des pistes de roulage (slots 1, 2, 3, 4, 5).</w:t>
      </w:r>
    </w:p>
    <w:p w14:paraId="3F620524" w14:textId="478070F2" w:rsidR="00E95044" w:rsidRPr="00E95044" w:rsidRDefault="00E95044" w:rsidP="00E95044">
      <w:pPr>
        <w:pStyle w:val="Paragraphedeliste"/>
        <w:numPr>
          <w:ilvl w:val="0"/>
          <w:numId w:val="11"/>
        </w:numPr>
        <w:rPr>
          <w:b/>
          <w:bCs/>
        </w:rPr>
      </w:pPr>
      <w:r w:rsidRPr="00E95044">
        <w:rPr>
          <w:b/>
          <w:bCs/>
        </w:rPr>
        <w:t xml:space="preserve">Pistes secondaires : </w:t>
      </w:r>
      <w:r w:rsidRPr="00E95044">
        <w:t>ce sont des pistes ou des accès provisoires pour faciliter l’entrée ou la sortie des machines.</w:t>
      </w:r>
    </w:p>
    <w:p w14:paraId="477ACBC3" w14:textId="2640F390" w:rsidR="009629E7" w:rsidRDefault="00E95044" w:rsidP="006C511E">
      <w:pPr>
        <w:ind w:left="360"/>
        <w:rPr>
          <w:b/>
          <w:bCs/>
        </w:rPr>
      </w:pPr>
      <w:r w:rsidRPr="00E95044">
        <w:t xml:space="preserve">Cette étape est assurée par un parc d’équipement constitué </w:t>
      </w:r>
      <w:hyperlink w:anchor="Figure1p3" w:history="1">
        <w:r w:rsidRPr="009629E7">
          <w:rPr>
            <w:rStyle w:val="Lienhypertexte"/>
            <w:b/>
            <w:bCs/>
            <w:color w:val="auto"/>
            <w:u w:val="none"/>
          </w:rPr>
          <w:t>(fig</w:t>
        </w:r>
        <w:r w:rsidRPr="009629E7">
          <w:rPr>
            <w:rStyle w:val="Lienhypertexte"/>
            <w:b/>
            <w:bCs/>
            <w:color w:val="auto"/>
            <w:u w:val="none"/>
          </w:rPr>
          <w:t>u</w:t>
        </w:r>
        <w:r w:rsidRPr="009629E7">
          <w:rPr>
            <w:rStyle w:val="Lienhypertexte"/>
            <w:b/>
            <w:bCs/>
            <w:color w:val="auto"/>
            <w:u w:val="none"/>
          </w:rPr>
          <w:t>re 1.3)</w:t>
        </w:r>
      </w:hyperlink>
      <w:r w:rsidRPr="009629E7">
        <w:rPr>
          <w:b/>
          <w:bCs/>
        </w:rPr>
        <w:t>.</w:t>
      </w:r>
    </w:p>
    <w:p w14:paraId="285BD063" w14:textId="77777777" w:rsidR="009629E7" w:rsidRDefault="009629E7" w:rsidP="009629E7">
      <w:pPr>
        <w:keepNext/>
      </w:pPr>
      <w:bookmarkStart w:id="1" w:name="Figure1p3"/>
      <w:r>
        <w:rPr>
          <w:b/>
          <w:bCs/>
          <w:noProof/>
        </w:rPr>
        <w:drawing>
          <wp:inline distT="0" distB="0" distL="0" distR="0" wp14:anchorId="1495CA85" wp14:editId="567E8A55">
            <wp:extent cx="6188710" cy="1029970"/>
            <wp:effectExtent l="19050" t="19050" r="21590" b="17780"/>
            <wp:docPr id="20202622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62206" name="Image 2020262206"/>
                    <pic:cNvPicPr/>
                  </pic:nvPicPr>
                  <pic:blipFill>
                    <a:blip r:embed="rId12">
                      <a:extLst>
                        <a:ext uri="{28A0092B-C50C-407E-A947-70E740481C1C}">
                          <a14:useLocalDpi xmlns:a14="http://schemas.microsoft.com/office/drawing/2010/main" val="0"/>
                        </a:ext>
                      </a:extLst>
                    </a:blip>
                    <a:stretch>
                      <a:fillRect/>
                    </a:stretch>
                  </pic:blipFill>
                  <pic:spPr>
                    <a:xfrm>
                      <a:off x="0" y="0"/>
                      <a:ext cx="6188710" cy="1029970"/>
                    </a:xfrm>
                    <a:prstGeom prst="rect">
                      <a:avLst/>
                    </a:prstGeom>
                    <a:ln>
                      <a:solidFill>
                        <a:schemeClr val="tx1"/>
                      </a:solidFill>
                    </a:ln>
                  </pic:spPr>
                </pic:pic>
              </a:graphicData>
            </a:graphic>
          </wp:inline>
        </w:drawing>
      </w:r>
      <w:bookmarkEnd w:id="1"/>
    </w:p>
    <w:p w14:paraId="2C19F479" w14:textId="24CCA738" w:rsidR="00C519BC" w:rsidRPr="006C511E" w:rsidRDefault="009629E7" w:rsidP="006C511E">
      <w:pPr>
        <w:pStyle w:val="Lgende"/>
        <w:jc w:val="center"/>
        <w:rPr>
          <w:b/>
          <w:bCs/>
          <w:sz w:val="24"/>
          <w:szCs w:val="24"/>
        </w:rPr>
      </w:pPr>
      <w:r w:rsidRPr="008F0EA6">
        <w:rPr>
          <w:sz w:val="24"/>
          <w:szCs w:val="24"/>
        </w:rPr>
        <w:t>Figure</w:t>
      </w:r>
      <w:r w:rsidRPr="009629E7">
        <w:rPr>
          <w:b/>
          <w:bCs/>
          <w:sz w:val="24"/>
          <w:szCs w:val="24"/>
        </w:rPr>
        <w:t xml:space="preserve"> </w:t>
      </w:r>
      <w:r w:rsidRPr="009629E7">
        <w:rPr>
          <w:sz w:val="24"/>
          <w:szCs w:val="24"/>
        </w:rPr>
        <w:t>1.3 - Equipements d’Aménagement Niveleuse, Paydozer, Bulldozer D11 et D9</w:t>
      </w:r>
    </w:p>
    <w:p w14:paraId="7D3B8401" w14:textId="53BE6EE8" w:rsidR="00C519BC" w:rsidRPr="006C511E" w:rsidRDefault="009629E7" w:rsidP="006C511E">
      <w:pPr>
        <w:pStyle w:val="Paragraphedeliste"/>
        <w:numPr>
          <w:ilvl w:val="0"/>
          <w:numId w:val="10"/>
        </w:numPr>
      </w:pPr>
      <w:r w:rsidRPr="009629E7">
        <w:rPr>
          <w:b/>
          <w:bCs/>
        </w:rPr>
        <w:t>Foration :</w:t>
      </w:r>
      <w:r w:rsidRPr="009629E7">
        <w:t xml:space="preserve"> La foration est un maillon dans la chaîne d’extraction. Elle consiste à confectionner des trous dans le sol pour y loger l’explosif. Il s’agit d’assurer la pénétration d’un outil dans le sol, appelé </w:t>
      </w:r>
      <w:r w:rsidRPr="009629E7">
        <w:t>tricône</w:t>
      </w:r>
      <w:r w:rsidRPr="009629E7">
        <w:t>, monté au bout d’une tige de 13 m, et de le relever une fois la profondeur désirée atteinte. Par ailleurs, la maille de foration, le diamètre des trous et le fonçage dépendent de la nature du terrain. Le parc matériel de l’OCP dispose de quatre sondeuses.</w:t>
      </w:r>
    </w:p>
    <w:p w14:paraId="53256A79" w14:textId="77777777" w:rsidR="008F0EA6" w:rsidRDefault="008F0EA6" w:rsidP="008F0EA6">
      <w:pPr>
        <w:keepNext/>
        <w:jc w:val="center"/>
      </w:pPr>
      <w:bookmarkStart w:id="2" w:name="Figure1p4"/>
      <w:r>
        <w:rPr>
          <w:rFonts w:cstheme="minorHAnsi"/>
          <w:noProof/>
          <w:sz w:val="32"/>
          <w:szCs w:val="32"/>
        </w:rPr>
        <w:drawing>
          <wp:inline distT="0" distB="0" distL="0" distR="0" wp14:anchorId="51C6A87A" wp14:editId="70FCB1B5">
            <wp:extent cx="6188710" cy="1470025"/>
            <wp:effectExtent l="19050" t="19050" r="21590" b="15875"/>
            <wp:docPr id="93352598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5983" name="Image 933525983"/>
                    <pic:cNvPicPr/>
                  </pic:nvPicPr>
                  <pic:blipFill>
                    <a:blip r:embed="rId13">
                      <a:extLst>
                        <a:ext uri="{28A0092B-C50C-407E-A947-70E740481C1C}">
                          <a14:useLocalDpi xmlns:a14="http://schemas.microsoft.com/office/drawing/2010/main" val="0"/>
                        </a:ext>
                      </a:extLst>
                    </a:blip>
                    <a:stretch>
                      <a:fillRect/>
                    </a:stretch>
                  </pic:blipFill>
                  <pic:spPr>
                    <a:xfrm>
                      <a:off x="0" y="0"/>
                      <a:ext cx="6188710" cy="1470025"/>
                    </a:xfrm>
                    <a:prstGeom prst="rect">
                      <a:avLst/>
                    </a:prstGeom>
                    <a:ln>
                      <a:solidFill>
                        <a:schemeClr val="tx1"/>
                      </a:solidFill>
                    </a:ln>
                  </pic:spPr>
                </pic:pic>
              </a:graphicData>
            </a:graphic>
          </wp:inline>
        </w:drawing>
      </w:r>
      <w:bookmarkEnd w:id="2"/>
    </w:p>
    <w:p w14:paraId="1FC8F89E" w14:textId="422C2D92" w:rsidR="008F0EA6" w:rsidRPr="008F0EA6" w:rsidRDefault="008F0EA6" w:rsidP="008F0EA6">
      <w:pPr>
        <w:pStyle w:val="Lgende"/>
        <w:jc w:val="center"/>
        <w:rPr>
          <w:rFonts w:cstheme="minorHAnsi"/>
          <w:sz w:val="24"/>
          <w:szCs w:val="24"/>
        </w:rPr>
      </w:pPr>
      <w:r w:rsidRPr="008F0EA6">
        <w:rPr>
          <w:sz w:val="24"/>
          <w:szCs w:val="24"/>
        </w:rPr>
        <w:t>Figure 1.4 - Opération de Foration</w:t>
      </w:r>
    </w:p>
    <w:p w14:paraId="1FC52091" w14:textId="77777777" w:rsidR="00C519BC" w:rsidRDefault="00C519BC" w:rsidP="00C519BC">
      <w:pPr>
        <w:rPr>
          <w:rFonts w:cstheme="minorHAnsi"/>
          <w:sz w:val="32"/>
          <w:szCs w:val="32"/>
        </w:rPr>
      </w:pPr>
    </w:p>
    <w:p w14:paraId="48D56A71" w14:textId="0E9D9F4C" w:rsidR="008F0EA6" w:rsidRDefault="008F0EA6" w:rsidP="006C511E">
      <w:pPr>
        <w:pStyle w:val="Paragraphedeliste"/>
        <w:numPr>
          <w:ilvl w:val="0"/>
          <w:numId w:val="10"/>
        </w:numPr>
      </w:pPr>
      <w:r w:rsidRPr="008F0EA6">
        <w:rPr>
          <w:b/>
          <w:bCs/>
        </w:rPr>
        <w:lastRenderedPageBreak/>
        <w:t>Sautage :</w:t>
      </w:r>
      <w:r w:rsidRPr="008F0EA6">
        <w:t xml:space="preserve"> Cette étape a comme objectif la fragmentation du terrain par des charges explosives (dynamite posée dans les trous) des morts-terrains (couches inutiles de terrain) suivant une granulation déterminée. Les trous forés sont remplis par l’explosif qui permet de fragmenter les intercalaires durs pour qu’ils puissent être enlevés par les engins de décapage.</w:t>
      </w:r>
    </w:p>
    <w:p w14:paraId="785EE1DD" w14:textId="77777777" w:rsidR="008F0EA6" w:rsidRDefault="008F0EA6" w:rsidP="008F0EA6">
      <w:pPr>
        <w:keepNext/>
      </w:pPr>
      <w:bookmarkStart w:id="3" w:name="Figure1p5"/>
      <w:r>
        <w:rPr>
          <w:noProof/>
        </w:rPr>
        <w:drawing>
          <wp:inline distT="0" distB="0" distL="0" distR="0" wp14:anchorId="4EC12331" wp14:editId="063FA3CF">
            <wp:extent cx="6188710" cy="932815"/>
            <wp:effectExtent l="19050" t="19050" r="21590" b="19685"/>
            <wp:docPr id="90942726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7260" name="Image 909427260"/>
                    <pic:cNvPicPr/>
                  </pic:nvPicPr>
                  <pic:blipFill>
                    <a:blip r:embed="rId14">
                      <a:extLst>
                        <a:ext uri="{28A0092B-C50C-407E-A947-70E740481C1C}">
                          <a14:useLocalDpi xmlns:a14="http://schemas.microsoft.com/office/drawing/2010/main" val="0"/>
                        </a:ext>
                      </a:extLst>
                    </a:blip>
                    <a:stretch>
                      <a:fillRect/>
                    </a:stretch>
                  </pic:blipFill>
                  <pic:spPr>
                    <a:xfrm>
                      <a:off x="0" y="0"/>
                      <a:ext cx="6188710" cy="932815"/>
                    </a:xfrm>
                    <a:prstGeom prst="rect">
                      <a:avLst/>
                    </a:prstGeom>
                    <a:ln>
                      <a:solidFill>
                        <a:schemeClr val="tx1"/>
                      </a:solidFill>
                    </a:ln>
                  </pic:spPr>
                </pic:pic>
              </a:graphicData>
            </a:graphic>
          </wp:inline>
        </w:drawing>
      </w:r>
      <w:bookmarkEnd w:id="3"/>
    </w:p>
    <w:p w14:paraId="12D40370" w14:textId="4FF4E27A" w:rsidR="008F0EA6" w:rsidRPr="006C511E" w:rsidRDefault="008F0EA6" w:rsidP="006C511E">
      <w:pPr>
        <w:pStyle w:val="Lgende"/>
        <w:jc w:val="center"/>
        <w:rPr>
          <w:sz w:val="24"/>
          <w:szCs w:val="24"/>
        </w:rPr>
      </w:pPr>
      <w:r w:rsidRPr="008F0EA6">
        <w:rPr>
          <w:sz w:val="24"/>
          <w:szCs w:val="24"/>
        </w:rPr>
        <w:t>Figure 1.5 - Opération de Sautage</w:t>
      </w:r>
    </w:p>
    <w:p w14:paraId="705C9CA9" w14:textId="00A1412F" w:rsidR="00C519BC" w:rsidRPr="006C511E" w:rsidRDefault="008F0EA6" w:rsidP="006C511E">
      <w:r w:rsidRPr="008F0EA6">
        <w:rPr>
          <w:b/>
          <w:bCs/>
        </w:rPr>
        <w:t>Décapage :</w:t>
      </w:r>
      <w:r w:rsidRPr="008F0EA6">
        <w:t xml:space="preserve"> Enlèvement des "terrains morts" qui recouvrent le premier niveau phosphaté exploitable.</w:t>
      </w:r>
      <w:r>
        <w:t xml:space="preserve"> </w:t>
      </w:r>
      <w:r w:rsidRPr="008F0EA6">
        <w:t xml:space="preserve">Cette opération est assurée par les engins </w:t>
      </w:r>
      <w:hyperlink w:anchor="Figure1p6" w:history="1">
        <w:r w:rsidRPr="006C511E">
          <w:rPr>
            <w:rStyle w:val="Lienhypertexte"/>
            <w:b/>
            <w:bCs/>
            <w:color w:val="auto"/>
            <w:u w:val="none"/>
          </w:rPr>
          <w:t>(figur</w:t>
        </w:r>
        <w:r w:rsidRPr="006C511E">
          <w:rPr>
            <w:rStyle w:val="Lienhypertexte"/>
            <w:b/>
            <w:bCs/>
            <w:color w:val="auto"/>
            <w:u w:val="none"/>
          </w:rPr>
          <w:t>e</w:t>
        </w:r>
        <w:r w:rsidRPr="006C511E">
          <w:rPr>
            <w:rStyle w:val="Lienhypertexte"/>
            <w:b/>
            <w:bCs/>
            <w:color w:val="auto"/>
            <w:u w:val="none"/>
          </w:rPr>
          <w:t xml:space="preserve"> 1.6)</w:t>
        </w:r>
      </w:hyperlink>
      <w:r w:rsidRPr="008F0EA6">
        <w:t>, chacun étant utilisé selon le niveau et les caractéristiques du terrain à décaper.</w:t>
      </w:r>
    </w:p>
    <w:p w14:paraId="7B294AB3" w14:textId="77777777" w:rsidR="006C511E" w:rsidRDefault="006C511E" w:rsidP="006C511E">
      <w:pPr>
        <w:keepNext/>
        <w:jc w:val="center"/>
      </w:pPr>
      <w:bookmarkStart w:id="4" w:name="Figure1p6"/>
      <w:r>
        <w:rPr>
          <w:rFonts w:cstheme="minorHAnsi"/>
          <w:noProof/>
          <w:sz w:val="32"/>
          <w:szCs w:val="32"/>
        </w:rPr>
        <w:drawing>
          <wp:inline distT="0" distB="0" distL="0" distR="0" wp14:anchorId="34D7CC85" wp14:editId="460AD9DD">
            <wp:extent cx="6188710" cy="1359535"/>
            <wp:effectExtent l="19050" t="19050" r="21590" b="12065"/>
            <wp:docPr id="134512601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26014" name="Image 1345126014"/>
                    <pic:cNvPicPr/>
                  </pic:nvPicPr>
                  <pic:blipFill>
                    <a:blip r:embed="rId15">
                      <a:extLst>
                        <a:ext uri="{28A0092B-C50C-407E-A947-70E740481C1C}">
                          <a14:useLocalDpi xmlns:a14="http://schemas.microsoft.com/office/drawing/2010/main" val="0"/>
                        </a:ext>
                      </a:extLst>
                    </a:blip>
                    <a:stretch>
                      <a:fillRect/>
                    </a:stretch>
                  </pic:blipFill>
                  <pic:spPr>
                    <a:xfrm>
                      <a:off x="0" y="0"/>
                      <a:ext cx="6188710" cy="1359535"/>
                    </a:xfrm>
                    <a:prstGeom prst="rect">
                      <a:avLst/>
                    </a:prstGeom>
                    <a:ln>
                      <a:solidFill>
                        <a:schemeClr val="tx1"/>
                      </a:solidFill>
                    </a:ln>
                  </pic:spPr>
                </pic:pic>
              </a:graphicData>
            </a:graphic>
          </wp:inline>
        </w:drawing>
      </w:r>
      <w:bookmarkEnd w:id="4"/>
    </w:p>
    <w:p w14:paraId="22F13197" w14:textId="454E59E7" w:rsidR="00C519BC" w:rsidRPr="006C511E" w:rsidRDefault="006C511E" w:rsidP="006C511E">
      <w:pPr>
        <w:pStyle w:val="Lgende"/>
        <w:jc w:val="center"/>
        <w:rPr>
          <w:rFonts w:cstheme="minorHAnsi"/>
          <w:sz w:val="24"/>
          <w:szCs w:val="24"/>
        </w:rPr>
      </w:pPr>
      <w:r w:rsidRPr="006C511E">
        <w:rPr>
          <w:sz w:val="24"/>
          <w:szCs w:val="24"/>
        </w:rPr>
        <w:t>Figure 1.6 – Opération de Décapage</w:t>
      </w:r>
    </w:p>
    <w:p w14:paraId="7CE7DF4F" w14:textId="64E36A5A" w:rsidR="006C511E" w:rsidRDefault="006C511E" w:rsidP="006C511E">
      <w:pPr>
        <w:pStyle w:val="Paragraphedeliste"/>
        <w:numPr>
          <w:ilvl w:val="0"/>
          <w:numId w:val="12"/>
        </w:numPr>
      </w:pPr>
      <w:r w:rsidRPr="006C511E">
        <w:rPr>
          <w:b/>
          <w:bCs/>
        </w:rPr>
        <w:t>Défruitage :</w:t>
      </w:r>
      <w:r w:rsidRPr="006C511E">
        <w:t xml:space="preserve"> C’est la phase de récupération de la couche phosphatée. La première sous-opération, dite de gerbage, consiste à ramasser le phosphate au milieu de la tranchée de manière diagonale afin de faciliter le chargement, d’augmenter le rendement de la chargeuse et de réduire le taux de salissement. La deuxième sous-opération consiste à charger le phosphate dans des camions qui vont le transporter par la suite vers la destination souhaitée.</w:t>
      </w:r>
    </w:p>
    <w:p w14:paraId="5B61A961" w14:textId="77777777" w:rsidR="006C511E" w:rsidRDefault="006C511E" w:rsidP="006C511E">
      <w:pPr>
        <w:keepNext/>
      </w:pPr>
      <w:bookmarkStart w:id="5" w:name="Figure1p7"/>
      <w:r>
        <w:rPr>
          <w:noProof/>
        </w:rPr>
        <w:drawing>
          <wp:inline distT="0" distB="0" distL="0" distR="0" wp14:anchorId="3EF366D7" wp14:editId="7DD22621">
            <wp:extent cx="6188710" cy="1015365"/>
            <wp:effectExtent l="19050" t="19050" r="21590" b="13335"/>
            <wp:docPr id="112699580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95804" name="Image 1126995804"/>
                    <pic:cNvPicPr/>
                  </pic:nvPicPr>
                  <pic:blipFill>
                    <a:blip r:embed="rId16">
                      <a:extLst>
                        <a:ext uri="{28A0092B-C50C-407E-A947-70E740481C1C}">
                          <a14:useLocalDpi xmlns:a14="http://schemas.microsoft.com/office/drawing/2010/main" val="0"/>
                        </a:ext>
                      </a:extLst>
                    </a:blip>
                    <a:stretch>
                      <a:fillRect/>
                    </a:stretch>
                  </pic:blipFill>
                  <pic:spPr>
                    <a:xfrm>
                      <a:off x="0" y="0"/>
                      <a:ext cx="6188710" cy="1015365"/>
                    </a:xfrm>
                    <a:prstGeom prst="rect">
                      <a:avLst/>
                    </a:prstGeom>
                    <a:ln>
                      <a:solidFill>
                        <a:schemeClr val="tx1"/>
                      </a:solidFill>
                    </a:ln>
                  </pic:spPr>
                </pic:pic>
              </a:graphicData>
            </a:graphic>
          </wp:inline>
        </w:drawing>
      </w:r>
      <w:bookmarkEnd w:id="5"/>
    </w:p>
    <w:p w14:paraId="473412DF" w14:textId="618BF9A4" w:rsidR="006C511E" w:rsidRDefault="006C511E" w:rsidP="006C511E">
      <w:pPr>
        <w:pStyle w:val="Lgende"/>
        <w:jc w:val="center"/>
        <w:rPr>
          <w:sz w:val="24"/>
          <w:szCs w:val="24"/>
        </w:rPr>
      </w:pPr>
      <w:r w:rsidRPr="006C511E">
        <w:rPr>
          <w:sz w:val="24"/>
          <w:szCs w:val="24"/>
        </w:rPr>
        <w:t>Figure 1.7 – Opération de Défruitage par Pelle Hydraulique</w:t>
      </w:r>
    </w:p>
    <w:p w14:paraId="0F7783BC" w14:textId="3B4BAC8B" w:rsidR="006C511E" w:rsidRDefault="006C511E" w:rsidP="006C511E">
      <w:pPr>
        <w:pStyle w:val="Paragraphedeliste"/>
        <w:numPr>
          <w:ilvl w:val="0"/>
          <w:numId w:val="13"/>
        </w:numPr>
      </w:pPr>
      <w:r w:rsidRPr="006C511E">
        <w:rPr>
          <w:b/>
          <w:bCs/>
        </w:rPr>
        <w:t>Transport :</w:t>
      </w:r>
      <w:r w:rsidRPr="006C511E">
        <w:t xml:space="preserve"> Le transport du phosphate ou du stérile vers la trémie ou vers les décharges se fait grâce à des camions-bennes de grande capacité (110 et 170 tonnes). La liaison entre ces différents points est assurée par un réseau de pistes. Le transport sur de courtes distances s’effectue par les camions de l’OCP.</w:t>
      </w:r>
    </w:p>
    <w:p w14:paraId="7C6AF52A" w14:textId="77777777" w:rsidR="006C511E" w:rsidRDefault="006C511E" w:rsidP="006C511E">
      <w:pPr>
        <w:keepNext/>
        <w:jc w:val="center"/>
      </w:pPr>
      <w:r>
        <w:rPr>
          <w:noProof/>
        </w:rPr>
        <w:lastRenderedPageBreak/>
        <w:drawing>
          <wp:inline distT="0" distB="0" distL="0" distR="0" wp14:anchorId="2C10C2C0" wp14:editId="544CE32D">
            <wp:extent cx="6188710" cy="1198245"/>
            <wp:effectExtent l="19050" t="19050" r="21590" b="20955"/>
            <wp:docPr id="188213085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0855" name="Image 1882130855"/>
                    <pic:cNvPicPr/>
                  </pic:nvPicPr>
                  <pic:blipFill>
                    <a:blip r:embed="rId17">
                      <a:extLst>
                        <a:ext uri="{28A0092B-C50C-407E-A947-70E740481C1C}">
                          <a14:useLocalDpi xmlns:a14="http://schemas.microsoft.com/office/drawing/2010/main" val="0"/>
                        </a:ext>
                      </a:extLst>
                    </a:blip>
                    <a:stretch>
                      <a:fillRect/>
                    </a:stretch>
                  </pic:blipFill>
                  <pic:spPr>
                    <a:xfrm>
                      <a:off x="0" y="0"/>
                      <a:ext cx="6188710" cy="1198245"/>
                    </a:xfrm>
                    <a:prstGeom prst="rect">
                      <a:avLst/>
                    </a:prstGeom>
                    <a:ln>
                      <a:solidFill>
                        <a:schemeClr val="tx1"/>
                      </a:solidFill>
                    </a:ln>
                  </pic:spPr>
                </pic:pic>
              </a:graphicData>
            </a:graphic>
          </wp:inline>
        </w:drawing>
      </w:r>
    </w:p>
    <w:p w14:paraId="22545CDC" w14:textId="1EDE3E93" w:rsidR="006C511E" w:rsidRPr="006C511E" w:rsidRDefault="006C511E" w:rsidP="006C511E">
      <w:pPr>
        <w:pStyle w:val="Lgende"/>
        <w:jc w:val="center"/>
        <w:rPr>
          <w:sz w:val="24"/>
          <w:szCs w:val="24"/>
        </w:rPr>
      </w:pPr>
      <w:r w:rsidRPr="006C511E">
        <w:rPr>
          <w:sz w:val="24"/>
          <w:szCs w:val="24"/>
        </w:rPr>
        <w:t>Figure 1.8 – Opération de Transport par Camions</w:t>
      </w:r>
    </w:p>
    <w:p w14:paraId="3B82F20F" w14:textId="77777777" w:rsidR="00C519BC" w:rsidRDefault="00C519BC" w:rsidP="00C519BC">
      <w:pPr>
        <w:rPr>
          <w:rFonts w:cstheme="minorHAnsi"/>
          <w:sz w:val="32"/>
          <w:szCs w:val="32"/>
        </w:rPr>
      </w:pPr>
    </w:p>
    <w:p w14:paraId="211A6730" w14:textId="77777777" w:rsidR="00C519BC" w:rsidRDefault="00C519BC" w:rsidP="00C519BC">
      <w:pPr>
        <w:rPr>
          <w:rFonts w:cstheme="minorHAnsi"/>
          <w:sz w:val="32"/>
          <w:szCs w:val="32"/>
        </w:rPr>
      </w:pPr>
    </w:p>
    <w:p w14:paraId="3BE7A015" w14:textId="77777777" w:rsidR="00C519BC" w:rsidRDefault="00C519BC" w:rsidP="00C519BC">
      <w:pPr>
        <w:rPr>
          <w:rFonts w:cstheme="minorHAnsi"/>
          <w:sz w:val="32"/>
          <w:szCs w:val="32"/>
        </w:rPr>
      </w:pPr>
    </w:p>
    <w:p w14:paraId="3A0CED08" w14:textId="77777777" w:rsidR="00C519BC" w:rsidRDefault="00C519BC" w:rsidP="00C519BC">
      <w:pPr>
        <w:rPr>
          <w:rFonts w:cstheme="minorHAnsi"/>
          <w:sz w:val="32"/>
          <w:szCs w:val="32"/>
        </w:rPr>
      </w:pPr>
    </w:p>
    <w:p w14:paraId="78E86E03" w14:textId="77777777" w:rsidR="00C519BC" w:rsidRDefault="00C519BC" w:rsidP="00C519BC">
      <w:pPr>
        <w:rPr>
          <w:rFonts w:cstheme="minorHAnsi"/>
          <w:sz w:val="32"/>
          <w:szCs w:val="32"/>
        </w:rPr>
      </w:pPr>
    </w:p>
    <w:p w14:paraId="03F2BFC3" w14:textId="77777777" w:rsidR="00C519BC" w:rsidRDefault="00C519BC" w:rsidP="00C519BC">
      <w:pPr>
        <w:rPr>
          <w:rFonts w:cstheme="minorHAnsi"/>
          <w:sz w:val="32"/>
          <w:szCs w:val="32"/>
        </w:rPr>
      </w:pPr>
    </w:p>
    <w:p w14:paraId="0649AD55" w14:textId="77777777" w:rsidR="00C519BC" w:rsidRDefault="00C519BC" w:rsidP="00C519BC">
      <w:pPr>
        <w:rPr>
          <w:rFonts w:cstheme="minorHAnsi"/>
          <w:sz w:val="32"/>
          <w:szCs w:val="32"/>
        </w:rPr>
      </w:pPr>
    </w:p>
    <w:p w14:paraId="201CEA28" w14:textId="74BD72C7" w:rsidR="00C519BC" w:rsidRDefault="00C519BC" w:rsidP="00C519BC">
      <w:pPr>
        <w:rPr>
          <w:rFonts w:cstheme="minorHAnsi"/>
          <w:sz w:val="32"/>
          <w:szCs w:val="32"/>
        </w:rPr>
      </w:pPr>
    </w:p>
    <w:p w14:paraId="6059F8A0" w14:textId="77777777" w:rsidR="00C519BC" w:rsidRDefault="00C519BC" w:rsidP="00C519BC">
      <w:pPr>
        <w:rPr>
          <w:rFonts w:cstheme="minorHAnsi"/>
          <w:sz w:val="32"/>
          <w:szCs w:val="32"/>
        </w:rPr>
      </w:pPr>
    </w:p>
    <w:p w14:paraId="0B4C8123" w14:textId="77777777" w:rsidR="00C519BC" w:rsidRDefault="00C519BC" w:rsidP="00C519BC">
      <w:pPr>
        <w:rPr>
          <w:rFonts w:cstheme="minorHAnsi"/>
          <w:sz w:val="32"/>
          <w:szCs w:val="32"/>
        </w:rPr>
      </w:pPr>
    </w:p>
    <w:p w14:paraId="33BC5D82" w14:textId="77777777" w:rsidR="00C519BC" w:rsidRDefault="00C519BC" w:rsidP="00C519BC">
      <w:pPr>
        <w:rPr>
          <w:rFonts w:cstheme="minorHAnsi"/>
          <w:sz w:val="32"/>
          <w:szCs w:val="32"/>
        </w:rPr>
      </w:pPr>
    </w:p>
    <w:p w14:paraId="541A0DEF" w14:textId="77777777" w:rsidR="00C519BC" w:rsidRDefault="00C519BC" w:rsidP="00C519BC">
      <w:pPr>
        <w:rPr>
          <w:rFonts w:cstheme="minorHAnsi"/>
          <w:sz w:val="32"/>
          <w:szCs w:val="32"/>
        </w:rPr>
      </w:pPr>
    </w:p>
    <w:p w14:paraId="2E39AA1E" w14:textId="77777777" w:rsidR="00C519BC" w:rsidRDefault="00C519BC" w:rsidP="00C519BC">
      <w:pPr>
        <w:rPr>
          <w:rFonts w:cstheme="minorHAnsi"/>
          <w:sz w:val="32"/>
          <w:szCs w:val="32"/>
        </w:rPr>
      </w:pPr>
    </w:p>
    <w:p w14:paraId="361DE40B" w14:textId="77777777" w:rsidR="00C519BC" w:rsidRDefault="00C519BC" w:rsidP="00C519BC">
      <w:pPr>
        <w:rPr>
          <w:rFonts w:cstheme="minorHAnsi"/>
          <w:sz w:val="32"/>
          <w:szCs w:val="32"/>
        </w:rPr>
      </w:pPr>
    </w:p>
    <w:p w14:paraId="3D7F33CC" w14:textId="77777777" w:rsidR="00C519BC" w:rsidRDefault="00C519BC" w:rsidP="00C519BC">
      <w:pPr>
        <w:rPr>
          <w:rFonts w:cstheme="minorHAnsi"/>
          <w:sz w:val="32"/>
          <w:szCs w:val="32"/>
        </w:rPr>
      </w:pPr>
    </w:p>
    <w:p w14:paraId="2C75CDE5" w14:textId="77777777" w:rsidR="00C519BC" w:rsidRDefault="00C519BC" w:rsidP="00C519BC">
      <w:pPr>
        <w:rPr>
          <w:rFonts w:cstheme="minorHAnsi"/>
          <w:sz w:val="32"/>
          <w:szCs w:val="32"/>
        </w:rPr>
      </w:pPr>
    </w:p>
    <w:p w14:paraId="4F75180F" w14:textId="77777777" w:rsidR="00C519BC" w:rsidRDefault="00C519BC" w:rsidP="00C519BC">
      <w:pPr>
        <w:rPr>
          <w:rFonts w:cstheme="minorHAnsi"/>
          <w:sz w:val="32"/>
          <w:szCs w:val="32"/>
        </w:rPr>
      </w:pPr>
    </w:p>
    <w:p w14:paraId="6E27F091" w14:textId="77777777" w:rsidR="00C519BC" w:rsidRDefault="00C519BC" w:rsidP="00C519BC">
      <w:pPr>
        <w:rPr>
          <w:rFonts w:cstheme="minorHAnsi"/>
          <w:sz w:val="32"/>
          <w:szCs w:val="32"/>
        </w:rPr>
      </w:pPr>
    </w:p>
    <w:p w14:paraId="23BABC1D" w14:textId="77777777" w:rsidR="00C519BC" w:rsidRDefault="00C519BC" w:rsidP="00C519BC">
      <w:pPr>
        <w:rPr>
          <w:rFonts w:cstheme="minorHAnsi"/>
          <w:sz w:val="32"/>
          <w:szCs w:val="32"/>
        </w:rPr>
      </w:pPr>
    </w:p>
    <w:p w14:paraId="29A937A6" w14:textId="77777777" w:rsidR="00C519BC" w:rsidRDefault="00C519BC" w:rsidP="00C519BC">
      <w:pPr>
        <w:rPr>
          <w:rFonts w:cstheme="minorHAnsi"/>
          <w:sz w:val="32"/>
          <w:szCs w:val="32"/>
        </w:rPr>
      </w:pPr>
    </w:p>
    <w:p w14:paraId="390335DA" w14:textId="77777777" w:rsidR="00C519BC" w:rsidRDefault="00C519BC" w:rsidP="00C519BC">
      <w:pPr>
        <w:rPr>
          <w:rFonts w:cstheme="minorHAnsi"/>
          <w:sz w:val="32"/>
          <w:szCs w:val="32"/>
        </w:rPr>
      </w:pPr>
    </w:p>
    <w:p w14:paraId="6AA1A5EE" w14:textId="77777777" w:rsidR="00C519BC" w:rsidRDefault="00C519BC" w:rsidP="00C519BC">
      <w:pPr>
        <w:rPr>
          <w:rFonts w:cstheme="minorHAnsi"/>
          <w:sz w:val="32"/>
          <w:szCs w:val="32"/>
        </w:rPr>
      </w:pPr>
    </w:p>
    <w:p w14:paraId="5B2E2F95" w14:textId="77777777" w:rsidR="00C519BC" w:rsidRDefault="00C519BC" w:rsidP="00C519BC">
      <w:pPr>
        <w:rPr>
          <w:rFonts w:cstheme="minorHAnsi"/>
          <w:sz w:val="32"/>
          <w:szCs w:val="32"/>
        </w:rPr>
      </w:pPr>
    </w:p>
    <w:p w14:paraId="71695295" w14:textId="77777777" w:rsidR="00C519BC" w:rsidRDefault="00C519BC" w:rsidP="00C519BC">
      <w:pPr>
        <w:rPr>
          <w:rFonts w:cstheme="minorHAnsi"/>
          <w:sz w:val="32"/>
          <w:szCs w:val="32"/>
        </w:rPr>
      </w:pPr>
    </w:p>
    <w:p w14:paraId="2CF67ED8" w14:textId="77777777" w:rsidR="00C519BC" w:rsidRDefault="00C519BC" w:rsidP="00C519BC">
      <w:pPr>
        <w:rPr>
          <w:rFonts w:cstheme="minorHAnsi"/>
          <w:sz w:val="32"/>
          <w:szCs w:val="32"/>
        </w:rPr>
      </w:pPr>
    </w:p>
    <w:p w14:paraId="7651A8D3" w14:textId="77777777" w:rsidR="00C519BC" w:rsidRDefault="00C519BC" w:rsidP="00C519BC">
      <w:pPr>
        <w:rPr>
          <w:rFonts w:cstheme="minorHAnsi"/>
          <w:sz w:val="32"/>
          <w:szCs w:val="32"/>
        </w:rPr>
      </w:pPr>
    </w:p>
    <w:p w14:paraId="1E5B4F92" w14:textId="77777777" w:rsidR="00C519BC" w:rsidRDefault="00C519BC" w:rsidP="00C519BC">
      <w:pPr>
        <w:rPr>
          <w:rFonts w:cstheme="minorHAnsi"/>
          <w:sz w:val="32"/>
          <w:szCs w:val="32"/>
        </w:rPr>
      </w:pPr>
    </w:p>
    <w:p w14:paraId="4A6FB052" w14:textId="77777777" w:rsidR="00C519BC" w:rsidRDefault="00C519BC" w:rsidP="00C519BC">
      <w:pPr>
        <w:rPr>
          <w:rFonts w:cstheme="minorHAnsi"/>
          <w:sz w:val="32"/>
          <w:szCs w:val="32"/>
        </w:rPr>
      </w:pPr>
    </w:p>
    <w:p w14:paraId="65CEF103" w14:textId="77777777" w:rsidR="00C519BC" w:rsidRDefault="00C519BC" w:rsidP="00C519BC">
      <w:pPr>
        <w:rPr>
          <w:rFonts w:cstheme="minorHAnsi"/>
          <w:sz w:val="32"/>
          <w:szCs w:val="32"/>
        </w:rPr>
      </w:pPr>
    </w:p>
    <w:p w14:paraId="6FFA2284" w14:textId="77777777" w:rsidR="00C519BC" w:rsidRDefault="00C519BC" w:rsidP="00C519BC">
      <w:pPr>
        <w:rPr>
          <w:rFonts w:cstheme="minorHAnsi"/>
          <w:sz w:val="32"/>
          <w:szCs w:val="32"/>
        </w:rPr>
      </w:pPr>
    </w:p>
    <w:p w14:paraId="474CD450" w14:textId="77777777" w:rsidR="00C519BC" w:rsidRDefault="00C519BC" w:rsidP="00C519BC">
      <w:pPr>
        <w:rPr>
          <w:rFonts w:cstheme="minorHAnsi"/>
          <w:sz w:val="32"/>
          <w:szCs w:val="32"/>
        </w:rPr>
      </w:pPr>
    </w:p>
    <w:p w14:paraId="00A4DA8E" w14:textId="77777777" w:rsidR="00C519BC" w:rsidRDefault="00C519BC" w:rsidP="00C519BC">
      <w:pPr>
        <w:rPr>
          <w:rFonts w:cstheme="minorHAnsi"/>
          <w:sz w:val="32"/>
          <w:szCs w:val="32"/>
        </w:rPr>
      </w:pPr>
    </w:p>
    <w:p w14:paraId="5C8E9C21" w14:textId="4D530031" w:rsidR="00C519BC" w:rsidRDefault="00C519BC" w:rsidP="00C519BC">
      <w:pPr>
        <w:rPr>
          <w:rFonts w:cstheme="minorHAnsi"/>
          <w:sz w:val="32"/>
          <w:szCs w:val="32"/>
        </w:rPr>
      </w:pPr>
    </w:p>
    <w:p w14:paraId="6FC6FC37" w14:textId="77777777" w:rsidR="00C519BC" w:rsidRDefault="00C519BC" w:rsidP="00C519BC">
      <w:pPr>
        <w:rPr>
          <w:rFonts w:cstheme="minorHAnsi"/>
          <w:sz w:val="32"/>
          <w:szCs w:val="32"/>
        </w:rPr>
      </w:pPr>
    </w:p>
    <w:p w14:paraId="492D347A" w14:textId="77777777" w:rsidR="00C519BC" w:rsidRPr="00E903D8" w:rsidRDefault="00C519BC" w:rsidP="00C519BC">
      <w:pPr>
        <w:rPr>
          <w:rFonts w:cstheme="minorHAnsi"/>
          <w:sz w:val="32"/>
          <w:szCs w:val="32"/>
        </w:rPr>
      </w:pPr>
    </w:p>
    <w:sectPr w:rsidR="00C519BC" w:rsidRPr="00E903D8" w:rsidSect="002E4BF7">
      <w:pgSz w:w="11906" w:h="16838"/>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D34"/>
    <w:multiLevelType w:val="hybridMultilevel"/>
    <w:tmpl w:val="2D2A2DC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54148B5"/>
    <w:multiLevelType w:val="hybridMultilevel"/>
    <w:tmpl w:val="3AE4A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015C"/>
    <w:multiLevelType w:val="hybridMultilevel"/>
    <w:tmpl w:val="48486ACE"/>
    <w:lvl w:ilvl="0" w:tplc="1A0A458A">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6453D2"/>
    <w:multiLevelType w:val="hybridMultilevel"/>
    <w:tmpl w:val="2800CC82"/>
    <w:lvl w:ilvl="0" w:tplc="0318208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B7B7095"/>
    <w:multiLevelType w:val="hybridMultilevel"/>
    <w:tmpl w:val="9920CC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C80F9E"/>
    <w:multiLevelType w:val="hybridMultilevel"/>
    <w:tmpl w:val="BCF0F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9F3508"/>
    <w:multiLevelType w:val="hybridMultilevel"/>
    <w:tmpl w:val="5DFC28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D65549"/>
    <w:multiLevelType w:val="hybridMultilevel"/>
    <w:tmpl w:val="3B72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F54F0C"/>
    <w:multiLevelType w:val="hybridMultilevel"/>
    <w:tmpl w:val="81446B5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9475197"/>
    <w:multiLevelType w:val="multilevel"/>
    <w:tmpl w:val="10DAED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A2E25"/>
    <w:multiLevelType w:val="hybridMultilevel"/>
    <w:tmpl w:val="FC1C5F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AA4A61"/>
    <w:multiLevelType w:val="hybridMultilevel"/>
    <w:tmpl w:val="D6F4D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2A3A00"/>
    <w:multiLevelType w:val="hybridMultilevel"/>
    <w:tmpl w:val="9F38BB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548806949">
    <w:abstractNumId w:val="7"/>
  </w:num>
  <w:num w:numId="2" w16cid:durableId="1392457732">
    <w:abstractNumId w:val="9"/>
  </w:num>
  <w:num w:numId="3" w16cid:durableId="1895776333">
    <w:abstractNumId w:val="1"/>
  </w:num>
  <w:num w:numId="4" w16cid:durableId="2115830827">
    <w:abstractNumId w:val="0"/>
  </w:num>
  <w:num w:numId="5" w16cid:durableId="1351908266">
    <w:abstractNumId w:val="12"/>
  </w:num>
  <w:num w:numId="6" w16cid:durableId="536509486">
    <w:abstractNumId w:val="8"/>
  </w:num>
  <w:num w:numId="7" w16cid:durableId="1687093937">
    <w:abstractNumId w:val="3"/>
  </w:num>
  <w:num w:numId="8" w16cid:durableId="1002245666">
    <w:abstractNumId w:val="11"/>
  </w:num>
  <w:num w:numId="9" w16cid:durableId="1091896814">
    <w:abstractNumId w:val="5"/>
  </w:num>
  <w:num w:numId="10" w16cid:durableId="671564311">
    <w:abstractNumId w:val="4"/>
  </w:num>
  <w:num w:numId="11" w16cid:durableId="1020592371">
    <w:abstractNumId w:val="2"/>
  </w:num>
  <w:num w:numId="12" w16cid:durableId="1052316187">
    <w:abstractNumId w:val="6"/>
  </w:num>
  <w:num w:numId="13" w16cid:durableId="1909070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7C"/>
    <w:rsid w:val="000E07D9"/>
    <w:rsid w:val="0020636D"/>
    <w:rsid w:val="00250C00"/>
    <w:rsid w:val="002E4BF7"/>
    <w:rsid w:val="003F336D"/>
    <w:rsid w:val="00491AFB"/>
    <w:rsid w:val="00523CE1"/>
    <w:rsid w:val="006C511E"/>
    <w:rsid w:val="007436C6"/>
    <w:rsid w:val="0075445E"/>
    <w:rsid w:val="007D12FD"/>
    <w:rsid w:val="008D4FC7"/>
    <w:rsid w:val="008F0EA6"/>
    <w:rsid w:val="009629E7"/>
    <w:rsid w:val="00A01155"/>
    <w:rsid w:val="00AE76F6"/>
    <w:rsid w:val="00BD5AA0"/>
    <w:rsid w:val="00C519BC"/>
    <w:rsid w:val="00D0537B"/>
    <w:rsid w:val="00D91290"/>
    <w:rsid w:val="00E4438E"/>
    <w:rsid w:val="00E614AE"/>
    <w:rsid w:val="00E61EE9"/>
    <w:rsid w:val="00E70267"/>
    <w:rsid w:val="00E903D8"/>
    <w:rsid w:val="00E95044"/>
    <w:rsid w:val="00EB5F7C"/>
    <w:rsid w:val="00EB621F"/>
    <w:rsid w:val="00EF05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41C0"/>
  <w15:chartTrackingRefBased/>
  <w15:docId w15:val="{06D35B65-D822-4F71-932E-D270DB0E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38E"/>
    <w:pPr>
      <w:jc w:val="both"/>
    </w:pPr>
    <w:rPr>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3D8"/>
    <w:pPr>
      <w:ind w:left="720"/>
      <w:contextualSpacing/>
    </w:pPr>
  </w:style>
  <w:style w:type="paragraph" w:customStyle="1" w:styleId="TitreSpcial">
    <w:name w:val="Titre Spécial"/>
    <w:basedOn w:val="Normal"/>
    <w:link w:val="TitreSpcialCar"/>
    <w:qFormat/>
    <w:rsid w:val="00A01155"/>
    <w:pPr>
      <w:jc w:val="center"/>
    </w:pPr>
    <w:rPr>
      <w:rFonts w:cstheme="minorHAnsi"/>
      <w:b/>
      <w:sz w:val="32"/>
      <w:szCs w:val="28"/>
      <w:u w:val="single"/>
    </w:rPr>
  </w:style>
  <w:style w:type="character" w:customStyle="1" w:styleId="TitreSpcialCar">
    <w:name w:val="Titre Spécial Car"/>
    <w:basedOn w:val="Policepardfaut"/>
    <w:link w:val="TitreSpcial"/>
    <w:rsid w:val="00A01155"/>
    <w:rPr>
      <w:rFonts w:cstheme="minorHAnsi"/>
      <w:b/>
      <w:sz w:val="32"/>
      <w:szCs w:val="28"/>
      <w:u w:val="single"/>
    </w:rPr>
  </w:style>
  <w:style w:type="paragraph" w:customStyle="1" w:styleId="GrandChapitre">
    <w:name w:val="Grand Chapitre"/>
    <w:basedOn w:val="Normal"/>
    <w:link w:val="GrandChapitreCar"/>
    <w:qFormat/>
    <w:rsid w:val="007436C6"/>
    <w:rPr>
      <w:rFonts w:cstheme="minorHAnsi"/>
      <w:b/>
      <w:sz w:val="40"/>
      <w:szCs w:val="32"/>
    </w:rPr>
  </w:style>
  <w:style w:type="character" w:customStyle="1" w:styleId="GrandChapitreCar">
    <w:name w:val="Grand Chapitre Car"/>
    <w:basedOn w:val="Policepardfaut"/>
    <w:link w:val="GrandChapitre"/>
    <w:rsid w:val="007436C6"/>
    <w:rPr>
      <w:rFonts w:cstheme="minorHAnsi"/>
      <w:b/>
      <w:sz w:val="40"/>
      <w:szCs w:val="32"/>
    </w:rPr>
  </w:style>
  <w:style w:type="paragraph" w:styleId="Lgende">
    <w:name w:val="caption"/>
    <w:basedOn w:val="Normal"/>
    <w:next w:val="Normal"/>
    <w:uiPriority w:val="35"/>
    <w:unhideWhenUsed/>
    <w:qFormat/>
    <w:rsid w:val="00E61EE9"/>
    <w:pPr>
      <w:spacing w:after="200" w:line="240" w:lineRule="auto"/>
    </w:pPr>
    <w:rPr>
      <w:i/>
      <w:iCs/>
      <w:color w:val="44546A" w:themeColor="text2"/>
      <w:sz w:val="18"/>
      <w:szCs w:val="18"/>
    </w:rPr>
  </w:style>
  <w:style w:type="character" w:styleId="Lienhypertexte">
    <w:name w:val="Hyperlink"/>
    <w:basedOn w:val="Policepardfaut"/>
    <w:uiPriority w:val="99"/>
    <w:unhideWhenUsed/>
    <w:rsid w:val="0020636D"/>
    <w:rPr>
      <w:color w:val="0563C1" w:themeColor="hyperlink"/>
      <w:u w:val="single"/>
    </w:rPr>
  </w:style>
  <w:style w:type="character" w:styleId="Mentionnonrsolue">
    <w:name w:val="Unresolved Mention"/>
    <w:basedOn w:val="Policepardfaut"/>
    <w:uiPriority w:val="99"/>
    <w:semiHidden/>
    <w:unhideWhenUsed/>
    <w:rsid w:val="0020636D"/>
    <w:rPr>
      <w:color w:val="605E5C"/>
      <w:shd w:val="clear" w:color="auto" w:fill="E1DFDD"/>
    </w:rPr>
  </w:style>
  <w:style w:type="character" w:styleId="Lienhypertextesuivivisit">
    <w:name w:val="FollowedHyperlink"/>
    <w:basedOn w:val="Policepardfaut"/>
    <w:uiPriority w:val="99"/>
    <w:semiHidden/>
    <w:unhideWhenUsed/>
    <w:rsid w:val="00206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319428">
      <w:bodyDiv w:val="1"/>
      <w:marLeft w:val="0"/>
      <w:marRight w:val="0"/>
      <w:marTop w:val="0"/>
      <w:marBottom w:val="0"/>
      <w:divBdr>
        <w:top w:val="none" w:sz="0" w:space="0" w:color="auto"/>
        <w:left w:val="none" w:sz="0" w:space="0" w:color="auto"/>
        <w:bottom w:val="none" w:sz="0" w:space="0" w:color="auto"/>
        <w:right w:val="none" w:sz="0" w:space="0" w:color="auto"/>
      </w:divBdr>
    </w:div>
    <w:div w:id="9941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C36D1-00A4-4836-A2FE-0B273172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2083</Words>
  <Characters>11460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Choaib ELMADI</dc:creator>
  <cp:keywords/>
  <dc:description/>
  <cp:lastModifiedBy>Choaib ELMADI</cp:lastModifiedBy>
  <cp:revision>5</cp:revision>
  <dcterms:created xsi:type="dcterms:W3CDTF">2024-07-23T14:04:00Z</dcterms:created>
  <dcterms:modified xsi:type="dcterms:W3CDTF">2024-07-26T15:20:00Z</dcterms:modified>
</cp:coreProperties>
</file>