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A Spatial and Machine Learning Approach to Identifying High-Risk Functional Literacy Areas in the Philippines</w:t>
      </w:r>
    </w:p>
    <w:p>
      <w:pPr>
        <w:jc w:val="center"/>
      </w:pPr>
      <w:r>
        <w:t xml:space="preserve">STAT299 final paper, working draft, 29 October 2026</w:t>
      </w:r>
    </w:p>
    <w:p>
      <w:pPr>
        <w:spacing w:after="240"/>
        <w:jc w:val="center"/>
      </w:pPr>
      <w:r>
        <w:rPr>
          <w:b/>
          <w:bCs/>
          <w:highlight w:val="yellow"/>
        </w:rPr>
        <w:t xml:space="preserve">[AUTHOR NAME, ADVISER, AFFILIATION]</w:t>
      </w:r>
    </w:p>
    <w:p>
      <w:pPr>
        <w:pBdr>
          <w:left w:val="single" w:color="BBBBBB" w:sz="12" w:space="6"/>
        </w:pBdr>
        <w:spacing w:after="120"/>
        <w:ind w:left="200"/>
      </w:pPr>
      <w:r>
        <w:rPr>
          <w:i/>
          <w:iCs/>
          <w:color w:val="666666"/>
          <w:sz w:val="20"/>
          <w:szCs w:val="20"/>
        </w:rPr>
        <w:t xml:space="preserve">Note: Rough draft built from the run outputs (EDA_FINDINGS.md, ALE_LEAKAGE_FINDINGS.md, LISA_FINDINGS.md). Numbers are from the 2026-10-12 EDA and ALE runs and the 2026-10-28 spatial run. Bullets mark places still to be turned into prose. Highlighted brackets mark missing citations or data.</w:t>
      </w:r>
    </w:p>
    <w:p>
      <w:pPr>
        <w:pStyle w:val="Heading1"/>
      </w:pPr>
      <w:r>
        <w:t xml:space="preserve">Abstract</w:t>
      </w:r>
    </w:p>
    <w:p>
      <w:pPr>
        <w:spacing w:after="120"/>
      </w:pPr>
      <w:r>
        <w:rPr>
          <w:b/>
          <w:bCs/>
        </w:rPr>
        <w:t xml:space="preserve">Background.</w:t>
      </w:r>
      <w:r>
        <w:t xml:space="preserve"> Nearly three in ten working-age Filipinos (29.2%, weighted) are not functionally literate in the 2024 FLEMMS, and the rate varies sharply by province.</w:t>
      </w:r>
    </w:p>
    <w:p>
      <w:pPr>
        <w:spacing w:after="120"/>
      </w:pPr>
      <w:r>
        <w:rPr>
          <w:b/>
          <w:bCs/>
        </w:rPr>
        <w:t xml:space="preserve">Objective.</w:t>
      </w:r>
      <w:r>
        <w:t xml:space="preserve"> We identify which individual and household characteristics predict functional illiteracy and which provinces form spatial clusters of high risk.</w:t>
      </w:r>
    </w:p>
    <w:p>
      <w:pPr>
        <w:spacing w:after="120"/>
      </w:pPr>
      <w:r>
        <w:rPr>
          <w:b/>
          <w:bCs/>
        </w:rPr>
        <w:t xml:space="preserve">Method.</w:t>
      </w:r>
      <w:r>
        <w:t xml:space="preserve"> We use 468,643 respondents aged 10 to 64 from the PSA FLEMMS 2024 public-use files. We select 45 features by supervised gain ranking on training households, keeping PCA as a diagnostic only. An XGBoost classifier with survey weights and class-imbalance correction is explained with accumulated local effects (ALE). Out-of-fold predictions are aggregated to 117 provinces and highly urbanised cities and tested with global Moran's I and LISA. A scenario simulation raises internet use and digital skills by 10 points in the high-risk cluster.</w:t>
      </w:r>
    </w:p>
    <w:p>
      <w:pPr>
        <w:spacing w:after="120"/>
      </w:pPr>
      <w:r>
        <w:rPr>
          <w:b/>
          <w:bCs/>
        </w:rPr>
        <w:t xml:space="preserve">Results.</w:t>
      </w:r>
      <w:r>
        <w:t xml:space="preserve"> The model reaches a weighted out-of-fold ROC-AUC of 0.701 and is well calibrated. Observed rates cluster in space (Moran's I = 0.34, p &lt; 0.001), and predicted rates cluster more strongly (I = 0.65). High-High clusters appear in Eastern Visayas, the Zamboanga Peninsula and southern Davao, though none survives false-discovery correction. A 10-point rise in digital uptake lowers predicted illiteracy in these areas by about 1.1 points.</w:t>
      </w:r>
    </w:p>
    <w:p>
      <w:pPr>
        <w:spacing w:after="120"/>
      </w:pPr>
      <w:r>
        <w:rPr>
          <w:b/>
          <w:bCs/>
        </w:rPr>
        <w:t xml:space="preserve">Conclusion.</w:t>
      </w:r>
      <w:r>
        <w:t xml:space="preserve"> Population composition explains most of the provincial pattern. The Samar island group remains worse than predicted and warrants place-specific study.</w:t>
      </w:r>
    </w:p>
    <w:p>
      <w:pPr>
        <w:pBdr>
          <w:left w:val="single" w:color="BBBBBB" w:sz="12" w:space="6"/>
        </w:pBdr>
        <w:spacing w:after="120"/>
        <w:ind w:left="200"/>
      </w:pPr>
      <w:r>
        <w:rPr>
          <w:i/>
          <w:iCs/>
          <w:color w:val="666666"/>
          <w:sz w:val="20"/>
          <w:szCs w:val="20"/>
        </w:rPr>
        <w:t xml:space="preserve">Note: About 210 words. Recount after Results are final; limit is 250.</w:t>
      </w:r>
    </w:p>
    <w:p>
      <w:pPr>
        <w:pStyle w:val="Heading1"/>
      </w:pPr>
      <w:r>
        <w:t xml:space="preserve">1. Introduction</w:t>
      </w:r>
    </w:p>
    <w:p>
      <w:pPr>
        <w:spacing w:after="120"/>
      </w:pPr>
      <w:r>
        <w:t xml:space="preserve">The Philippines reports basic literacy of about 90% for persons aged five and above, yet only about 70.8% of persons aged 10 to 64 are functionally literate (Philippine Statistics Authority, 2024). The gap between reading and using what one reads is the problem this paper addresses.</w:t>
      </w:r>
    </w:p>
    <w:p>
      <w:pPr>
        <w:spacing w:after="120"/>
      </w:pPr>
      <w:r>
        <w:t xml:space="preserve">National and regional aggregates hide where this gap is concentrated. The 2024 FLEMMS is the first round to release estimates at province and highly urbanised city (HUC) level, which makes a sub-national risk map possible for the first time </w:t>
      </w:r>
      <w:r>
        <w:rPr>
          <w:b/>
          <w:bCs/>
          <w:highlight w:val="yellow"/>
        </w:rPr>
        <w:t xml:space="preserve">[CITATION NEEDED]</w:t>
      </w:r>
      <w:r>
        <w:t xml:space="preserve">.</w:t>
      </w:r>
    </w:p>
    <w:p>
      <w:pPr>
        <w:pStyle w:val="ListParagraph"/>
        <w:numPr>
          <w:ilvl w:val="0"/>
          <w:numId w:val="2"/>
        </w:numPr>
        <w:spacing w:after="60"/>
      </w:pPr>
      <w:r>
        <w:t xml:space="preserve">Point to keep from the proposal: interventions by DepEd and DOLE rely on lagging aggregate indicators </w:t>
      </w:r>
      <w:r>
        <w:rPr>
          <w:b/>
          <w:bCs/>
          <w:highlight w:val="yellow"/>
        </w:rPr>
        <w:t xml:space="preserve">[CITATION NEEDED]</w:t>
      </w:r>
      <w:r>
        <w:t xml:space="preserve">.</w:t>
      </w:r>
    </w:p>
    <w:p>
      <w:pPr>
        <w:pStyle w:val="ListParagraph"/>
        <w:numPr>
          <w:ilvl w:val="0"/>
          <w:numId w:val="2"/>
        </w:numPr>
        <w:spacing w:after="60"/>
      </w:pPr>
      <w:r>
        <w:t xml:space="preserve">Point to keep: digital access as a prerequisite for functional literacy (Sabarwal &amp; Noonan, 2025).</w:t>
      </w:r>
    </w:p>
    <w:p>
      <w:pPr>
        <w:pStyle w:val="ListParagraph"/>
        <w:numPr>
          <w:ilvl w:val="0"/>
          <w:numId w:val="2"/>
        </w:numPr>
        <w:spacing w:after="60"/>
      </w:pPr>
      <w:r>
        <w:t xml:space="preserve">Point to keep: intergenerational transmission (Biñas &amp; Garvida, 2023).</w:t>
      </w:r>
    </w:p>
    <w:p>
      <w:pPr>
        <w:pStyle w:val="ListParagraph"/>
        <w:numPr>
          <w:ilvl w:val="0"/>
          <w:numId w:val="2"/>
        </w:numPr>
        <w:spacing w:after="60"/>
      </w:pPr>
      <w:r>
        <w:t xml:space="preserve">Drop or source: the "19 million Filipinos" figure </w:t>
      </w:r>
      <w:r>
        <w:rPr>
          <w:b/>
          <w:bCs/>
          <w:highlight w:val="yellow"/>
        </w:rPr>
        <w:t xml:space="preserve">[CITATION NEEDED]</w:t>
      </w:r>
      <w:r>
        <w:t xml:space="preserve"> and San Juan City 94.5% </w:t>
      </w:r>
      <w:r>
        <w:rPr>
          <w:b/>
          <w:bCs/>
          <w:highlight w:val="yellow"/>
        </w:rPr>
        <w:t xml:space="preserve">[CITATION NEEDED]</w:t>
      </w:r>
      <w:r>
        <w:t xml:space="preserve">.</w:t>
      </w:r>
    </w:p>
    <w:p>
      <w:pPr>
        <w:pStyle w:val="Heading2"/>
      </w:pPr>
      <w:r>
        <w:t xml:space="preserve">1.1 Objectives</w:t>
      </w:r>
    </w:p>
    <w:p>
      <w:pPr>
        <w:pStyle w:val="ListParagraph"/>
        <w:numPr>
          <w:ilvl w:val="0"/>
          <w:numId w:val="3"/>
        </w:numPr>
        <w:spacing w:after="60"/>
      </w:pPr>
      <w:r>
        <w:t xml:space="preserve">Describe where functional illiteracy risk is geographically concentrated across provinces and HUCs, using LISA.</w:t>
      </w:r>
    </w:p>
    <w:p>
      <w:pPr>
        <w:pStyle w:val="ListParagraph"/>
        <w:numPr>
          <w:ilvl w:val="0"/>
          <w:numId w:val="3"/>
        </w:numPr>
        <w:spacing w:after="60"/>
      </w:pPr>
      <w:r>
        <w:t xml:space="preserve">Identify and quantify the individual and household factors associated with functional illiteracy.</w:t>
      </w:r>
    </w:p>
    <w:p>
      <w:pPr>
        <w:pStyle w:val="ListParagraph"/>
        <w:numPr>
          <w:ilvl w:val="0"/>
          <w:numId w:val="3"/>
        </w:numPr>
        <w:spacing w:after="60"/>
      </w:pPr>
      <w:r>
        <w:t xml:space="preserve">Build a predictive early warning model with gradient boosting and use it to simulate targeted digital interventions in high-risk areas.</w:t>
      </w:r>
    </w:p>
    <w:p>
      <w:pPr>
        <w:pBdr>
          <w:left w:val="single" w:color="BBBBBB" w:sz="12" w:space="6"/>
        </w:pBdr>
        <w:spacing w:after="120"/>
        <w:ind w:left="200"/>
      </w:pPr>
      <w:r>
        <w:rPr>
          <w:i/>
          <w:iCs/>
          <w:color w:val="666666"/>
          <w:sz w:val="20"/>
          <w:szCs w:val="20"/>
        </w:rPr>
        <w:t xml:space="preserve">Note: Objective 2 in the proposal mentions income and infrastructure. FLEMMS has no income variable, so the final model uses schooling, digital use and household proxies instead. Reword to match.</w:t>
      </w:r>
    </w:p>
    <w:p>
      <w:pPr>
        <w:pStyle w:val="Heading2"/>
      </w:pPr>
      <w:r>
        <w:t xml:space="preserve">1.2 Scope</w:t>
      </w:r>
    </w:p>
    <w:p>
      <w:pPr>
        <w:spacing w:after="120"/>
      </w:pPr>
      <w:r>
        <w:t xml:space="preserve">We study persons aged 10 to 64, the FLEMMS Form 2 and Form 3 universe. FLEMMS is a single cross-section, so the model predicts current status, not future change, and the simulations describe model associations, not causal effects.</w:t>
      </w:r>
    </w:p>
    <w:p>
      <w:pPr>
        <w:pStyle w:val="Heading1"/>
      </w:pPr>
      <w:r>
        <w:t xml:space="preserve">2. Related Work</w:t>
      </w:r>
    </w:p>
    <w:p>
      <w:pPr>
        <w:pBdr>
          <w:left w:val="single" w:color="BBBBBB" w:sz="12" w:space="6"/>
        </w:pBdr>
        <w:spacing w:after="120"/>
        <w:ind w:left="200"/>
      </w:pPr>
      <w:r>
        <w:rPr>
          <w:i/>
          <w:iCs/>
          <w:color w:val="666666"/>
          <w:sz w:val="20"/>
          <w:szCs w:val="20"/>
        </w:rPr>
        <w:t xml:space="preserve">Note: Condense from reference/proposal-manuscript/02_lit_review.md. Keep it to about one page in the final paper.</w:t>
      </w:r>
    </w:p>
    <w:p>
      <w:pPr>
        <w:pStyle w:val="ListParagraph"/>
        <w:numPr>
          <w:ilvl w:val="0"/>
          <w:numId w:val="2"/>
        </w:numPr>
        <w:spacing w:after="60"/>
      </w:pPr>
      <w:r>
        <w:t xml:space="preserve">Functional literacy: definitions and measurement (UNESCO, 2020; World Bank, 2021).</w:t>
      </w:r>
    </w:p>
    <w:p>
      <w:pPr>
        <w:pStyle w:val="ListParagraph"/>
        <w:numPr>
          <w:ilvl w:val="0"/>
          <w:numId w:val="2"/>
        </w:numPr>
        <w:spacing w:after="60"/>
      </w:pPr>
      <w:r>
        <w:t xml:space="preserve">Spatial inequality in education and LISA as a tool to find clusters (Anselin, 1995; Xiang &amp; Stillwell, 2023).</w:t>
      </w:r>
    </w:p>
    <w:p>
      <w:pPr>
        <w:pStyle w:val="ListParagraph"/>
        <w:numPr>
          <w:ilvl w:val="0"/>
          <w:numId w:val="2"/>
        </w:numPr>
        <w:spacing w:after="60"/>
      </w:pPr>
      <w:r>
        <w:t xml:space="preserve">Digital skills and resources (Sabarwal &amp; Noonan, 2025).</w:t>
      </w:r>
    </w:p>
    <w:p>
      <w:pPr>
        <w:pStyle w:val="ListParagraph"/>
        <w:numPr>
          <w:ilvl w:val="0"/>
          <w:numId w:val="2"/>
        </w:numPr>
        <w:spacing w:after="60"/>
      </w:pPr>
      <w:r>
        <w:t xml:space="preserve">Machine learning as an early warning system in education (Chung &amp; Lee, 2019).</w:t>
      </w:r>
    </w:p>
    <w:p>
      <w:pPr>
        <w:pStyle w:val="ListParagraph"/>
        <w:numPr>
          <w:ilvl w:val="0"/>
          <w:numId w:val="2"/>
        </w:numPr>
        <w:spacing w:after="60"/>
      </w:pPr>
      <w:r>
        <w:t xml:space="preserve">Interpretability: SHAP and ALE (Molnar, 2022). Add the original ALE paper </w:t>
      </w:r>
      <w:r>
        <w:rPr>
          <w:b/>
          <w:bCs/>
          <w:highlight w:val="yellow"/>
        </w:rPr>
        <w:t xml:space="preserve">[CITATION NEEDED]</w:t>
      </w:r>
      <w:r>
        <w:t xml:space="preserve"> and the XGBoost paper </w:t>
      </w:r>
      <w:r>
        <w:rPr>
          <w:b/>
          <w:bCs/>
          <w:highlight w:val="yellow"/>
        </w:rPr>
        <w:t xml:space="preserve">[CITATION NEEDED]</w:t>
      </w:r>
      <w:r>
        <w:t xml:space="preserve">.</w:t>
      </w:r>
    </w:p>
    <w:p>
      <w:pPr>
        <w:pStyle w:val="ListParagraph"/>
        <w:numPr>
          <w:ilvl w:val="0"/>
          <w:numId w:val="2"/>
        </w:numPr>
        <w:spacing w:after="60"/>
      </w:pPr>
      <w:r>
        <w:t xml:space="preserve">Wealth proxies from asset indicators (Filmer &amp; Pritchett, 2001).</w:t>
      </w:r>
    </w:p>
    <w:p>
      <w:pPr>
        <w:pStyle w:val="Heading1"/>
      </w:pPr>
      <w:r>
        <w:t xml:space="preserve">3. Data</w:t>
      </w:r>
    </w:p>
    <w:p>
      <w:pPr>
        <w:spacing w:after="120"/>
      </w:pPr>
      <w:r>
        <w:t xml:space="preserve">We use the PSA FLEMMS 2024 public-use files: the member roster, household (RTF1), literacy (RTF2, Form 2) and ICT (RTF3, Form 3) records, merged on household and line number. The working-age universe has 496,770 persons aged 10 to 64. Of these, 468,643 (94.3%) have a valid Form 2 result and enter the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shd w:fill="E7E6E6" w:color="auto" w:val="clear"/>
            <w:tcMar>
              <w:top w:type="dxa" w:w="40"/>
              <w:left w:type="dxa" w:w="80"/>
              <w:bottom w:type="dxa" w:w="40"/>
              <w:right w:type="dxa" w:w="80"/>
            </w:tcMar>
          </w:tcPr>
          <w:p>
            <w:r>
              <w:rPr>
                <w:b/>
                <w:bCs/>
                <w:sz w:val="20"/>
                <w:szCs w:val="20"/>
              </w:rPr>
              <w:t xml:space="preserve">Item</w:t>
            </w:r>
          </w:p>
        </w:tc>
        <w:tc>
          <w:tcPr>
            <w:tcW w:type="dxa" w:w="3826"/>
            <w:shd w:fill="E7E6E6" w:color="auto" w:val="clear"/>
            <w:tcMar>
              <w:top w:type="dxa" w:w="40"/>
              <w:left w:type="dxa" w:w="80"/>
              <w:bottom w:type="dxa" w:w="40"/>
              <w:right w:type="dxa" w:w="80"/>
            </w:tcMar>
          </w:tcPr>
          <w:p>
            <w:r>
              <w:rPr>
                <w:b/>
                <w:bCs/>
                <w:sz w:val="20"/>
                <w:szCs w:val="20"/>
              </w:rPr>
              <w:t xml:space="preserve">Value</w:t>
            </w:r>
          </w:p>
        </w:tc>
      </w:tr>
      <w:tr>
        <w:trPr>
          <w:tblHeader w:val="off"/>
        </w:trPr>
        <w:tc>
          <w:tcPr>
            <w:tcW w:type="dxa" w:w="5200"/>
            <w:tcMar>
              <w:top w:type="dxa" w:w="40"/>
              <w:left w:type="dxa" w:w="80"/>
              <w:bottom w:type="dxa" w:w="40"/>
              <w:right w:type="dxa" w:w="80"/>
            </w:tcMar>
          </w:tcPr>
          <w:p>
            <w:r>
              <w:rPr>
                <w:b w:val="false"/>
                <w:bCs w:val="false"/>
                <w:sz w:val="20"/>
                <w:szCs w:val="20"/>
              </w:rPr>
              <w:t xml:space="preserve">Persons aged 10 to 64 (merged)</w:t>
            </w:r>
          </w:p>
        </w:tc>
        <w:tc>
          <w:tcPr>
            <w:tcW w:type="dxa" w:w="3826"/>
            <w:tcMar>
              <w:top w:type="dxa" w:w="40"/>
              <w:left w:type="dxa" w:w="80"/>
              <w:bottom w:type="dxa" w:w="40"/>
              <w:right w:type="dxa" w:w="80"/>
            </w:tcMar>
          </w:tcPr>
          <w:p>
            <w:r>
              <w:rPr>
                <w:b w:val="false"/>
                <w:bCs w:val="false"/>
                <w:sz w:val="20"/>
                <w:szCs w:val="20"/>
              </w:rPr>
              <w:t xml:space="preserve">496,770</w:t>
            </w:r>
          </w:p>
        </w:tc>
      </w:tr>
      <w:tr>
        <w:trPr>
          <w:tblHeader w:val="off"/>
        </w:trPr>
        <w:tc>
          <w:tcPr>
            <w:tcW w:type="dxa" w:w="5200"/>
            <w:tcMar>
              <w:top w:type="dxa" w:w="40"/>
              <w:left w:type="dxa" w:w="80"/>
              <w:bottom w:type="dxa" w:w="40"/>
              <w:right w:type="dxa" w:w="80"/>
            </w:tcMar>
          </w:tcPr>
          <w:p>
            <w:r>
              <w:rPr>
                <w:b w:val="false"/>
                <w:bCs w:val="false"/>
                <w:sz w:val="20"/>
                <w:szCs w:val="20"/>
              </w:rPr>
              <w:t xml:space="preserve">Analysis rows (valid FLITERATE and weight)</w:t>
            </w:r>
          </w:p>
        </w:tc>
        <w:tc>
          <w:tcPr>
            <w:tcW w:type="dxa" w:w="3826"/>
            <w:tcMar>
              <w:top w:type="dxa" w:w="40"/>
              <w:left w:type="dxa" w:w="80"/>
              <w:bottom w:type="dxa" w:w="40"/>
              <w:right w:type="dxa" w:w="80"/>
            </w:tcMar>
          </w:tcPr>
          <w:p>
            <w:r>
              <w:rPr>
                <w:b w:val="false"/>
                <w:bCs w:val="false"/>
                <w:sz w:val="20"/>
                <w:szCs w:val="20"/>
              </w:rPr>
              <w:t xml:space="preserve">468,643</w:t>
            </w:r>
          </w:p>
        </w:tc>
      </w:tr>
      <w:tr>
        <w:trPr>
          <w:tblHeader w:val="off"/>
        </w:trPr>
        <w:tc>
          <w:tcPr>
            <w:tcW w:type="dxa" w:w="5200"/>
            <w:tcMar>
              <w:top w:type="dxa" w:w="40"/>
              <w:left w:type="dxa" w:w="80"/>
              <w:bottom w:type="dxa" w:w="40"/>
              <w:right w:type="dxa" w:w="80"/>
            </w:tcMar>
          </w:tcPr>
          <w:p>
            <w:r>
              <w:rPr>
                <w:b w:val="false"/>
                <w:bCs w:val="false"/>
                <w:sz w:val="20"/>
                <w:szCs w:val="20"/>
              </w:rPr>
              <w:t xml:space="preserve">Households in the analysis</w:t>
            </w:r>
          </w:p>
        </w:tc>
        <w:tc>
          <w:tcPr>
            <w:tcW w:type="dxa" w:w="3826"/>
            <w:tcMar>
              <w:top w:type="dxa" w:w="40"/>
              <w:left w:type="dxa" w:w="80"/>
              <w:bottom w:type="dxa" w:w="40"/>
              <w:right w:type="dxa" w:w="80"/>
            </w:tcMar>
          </w:tcPr>
          <w:p>
            <w:r>
              <w:rPr>
                <w:b w:val="false"/>
                <w:bCs w:val="false"/>
                <w:sz w:val="20"/>
                <w:szCs w:val="20"/>
              </w:rPr>
              <w:t xml:space="preserve">163,655</w:t>
            </w:r>
          </w:p>
        </w:tc>
      </w:tr>
      <w:tr>
        <w:trPr>
          <w:tblHeader w:val="off"/>
        </w:trPr>
        <w:tc>
          <w:tcPr>
            <w:tcW w:type="dxa" w:w="5200"/>
            <w:tcMar>
              <w:top w:type="dxa" w:w="40"/>
              <w:left w:type="dxa" w:w="80"/>
              <w:bottom w:type="dxa" w:w="40"/>
              <w:right w:type="dxa" w:w="80"/>
            </w:tcMar>
          </w:tcPr>
          <w:p>
            <w:r>
              <w:rPr>
                <w:b w:val="false"/>
                <w:bCs w:val="false"/>
                <w:sz w:val="20"/>
                <w:szCs w:val="20"/>
              </w:rPr>
              <w:t xml:space="preserve">Weighted functional illiteracy rate</w:t>
            </w:r>
          </w:p>
        </w:tc>
        <w:tc>
          <w:tcPr>
            <w:tcW w:type="dxa" w:w="3826"/>
            <w:tcMar>
              <w:top w:type="dxa" w:w="40"/>
              <w:left w:type="dxa" w:w="80"/>
              <w:bottom w:type="dxa" w:w="40"/>
              <w:right w:type="dxa" w:w="80"/>
            </w:tcMar>
          </w:tcPr>
          <w:p>
            <w:r>
              <w:rPr>
                <w:b w:val="false"/>
                <w:bCs w:val="false"/>
                <w:sz w:val="20"/>
                <w:szCs w:val="20"/>
              </w:rPr>
              <w:t xml:space="preserve">29.2% (unweighted 30.6%)</w:t>
            </w:r>
          </w:p>
        </w:tc>
      </w:tr>
      <w:tr>
        <w:trPr>
          <w:tblHeader w:val="off"/>
        </w:trPr>
        <w:tc>
          <w:tcPr>
            <w:tcW w:type="dxa" w:w="5200"/>
            <w:tcMar>
              <w:top w:type="dxa" w:w="40"/>
              <w:left w:type="dxa" w:w="80"/>
              <w:bottom w:type="dxa" w:w="40"/>
              <w:right w:type="dxa" w:w="80"/>
            </w:tcMar>
          </w:tcPr>
          <w:p>
            <w:r>
              <w:rPr>
                <w:b w:val="false"/>
                <w:bCs w:val="false"/>
                <w:sz w:val="20"/>
                <w:szCs w:val="20"/>
              </w:rPr>
              <w:t xml:space="preserve">Population represented</w:t>
            </w:r>
          </w:p>
        </w:tc>
        <w:tc>
          <w:tcPr>
            <w:tcW w:type="dxa" w:w="3826"/>
            <w:tcMar>
              <w:top w:type="dxa" w:w="40"/>
              <w:left w:type="dxa" w:w="80"/>
              <w:bottom w:type="dxa" w:w="40"/>
              <w:right w:type="dxa" w:w="80"/>
            </w:tcMar>
          </w:tcPr>
          <w:p>
            <w:r>
              <w:rPr>
                <w:b w:val="false"/>
                <w:bCs w:val="false"/>
                <w:sz w:val="20"/>
                <w:szCs w:val="20"/>
              </w:rPr>
              <w:t xml:space="preserve">85.0 million</w:t>
            </w:r>
          </w:p>
        </w:tc>
      </w:tr>
      <w:tr>
        <w:trPr>
          <w:tblHeader w:val="off"/>
        </w:trPr>
        <w:tc>
          <w:tcPr>
            <w:tcW w:type="dxa" w:w="5200"/>
            <w:tcMar>
              <w:top w:type="dxa" w:w="40"/>
              <w:left w:type="dxa" w:w="80"/>
              <w:bottom w:type="dxa" w:w="40"/>
              <w:right w:type="dxa" w:w="80"/>
            </w:tcMar>
          </w:tcPr>
          <w:p>
            <w:r>
              <w:rPr>
                <w:b w:val="false"/>
                <w:bCs w:val="false"/>
                <w:sz w:val="20"/>
                <w:szCs w:val="20"/>
              </w:rPr>
              <w:t xml:space="preserve">Kish effective sample size</w:t>
            </w:r>
          </w:p>
        </w:tc>
        <w:tc>
          <w:tcPr>
            <w:tcW w:type="dxa" w:w="3826"/>
            <w:tcMar>
              <w:top w:type="dxa" w:w="40"/>
              <w:left w:type="dxa" w:w="80"/>
              <w:bottom w:type="dxa" w:w="40"/>
              <w:right w:type="dxa" w:w="80"/>
            </w:tcMar>
          </w:tcPr>
          <w:p>
            <w:r>
              <w:rPr>
                <w:b w:val="false"/>
                <w:bCs w:val="false"/>
                <w:sz w:val="20"/>
                <w:szCs w:val="20"/>
              </w:rPr>
              <w:t xml:space="preserve">242,573 (design effect about 1.93)</w:t>
            </w:r>
          </w:p>
        </w:tc>
      </w:tr>
      <w:tr>
        <w:trPr>
          <w:tblHeader w:val="off"/>
        </w:trPr>
        <w:tc>
          <w:tcPr>
            <w:tcW w:type="dxa" w:w="5200"/>
            <w:tcMar>
              <w:top w:type="dxa" w:w="40"/>
              <w:left w:type="dxa" w:w="80"/>
              <w:bottom w:type="dxa" w:w="40"/>
              <w:right w:type="dxa" w:w="80"/>
            </w:tcMar>
          </w:tcPr>
          <w:p>
            <w:r>
              <w:rPr>
                <w:b w:val="false"/>
                <w:bCs w:val="false"/>
                <w:sz w:val="20"/>
                <w:szCs w:val="20"/>
              </w:rPr>
              <w:t xml:space="preserve">Spatial units (PRV codes)</w:t>
            </w:r>
          </w:p>
        </w:tc>
        <w:tc>
          <w:tcPr>
            <w:tcW w:type="dxa" w:w="3826"/>
            <w:tcMar>
              <w:top w:type="dxa" w:w="40"/>
              <w:left w:type="dxa" w:w="80"/>
              <w:bottom w:type="dxa" w:w="40"/>
              <w:right w:type="dxa" w:w="80"/>
            </w:tcMar>
          </w:tcPr>
          <w:p>
            <w:r>
              <w:rPr>
                <w:b w:val="false"/>
                <w:bCs w:val="false"/>
                <w:sz w:val="20"/>
                <w:szCs w:val="20"/>
              </w:rPr>
              <w:t xml:space="preserve">118 in the data, 117 mapped</w:t>
            </w:r>
          </w:p>
        </w:tc>
      </w:tr>
    </w:tbl>
    <w:p>
      <w:pPr>
        <w:spacing w:after="200" w:before="60"/>
      </w:pPr>
      <w:r>
        <w:rPr>
          <w:i/>
          <w:iCs/>
          <w:sz w:val="20"/>
          <w:szCs w:val="20"/>
        </w:rPr>
        <w:t xml:space="preserve">Table 1. Analysis universe. Source: EDA_FINDINGS.md, LISA_FINDINGS.md.</w:t>
      </w:r>
    </w:p>
    <w:p>
      <w:pPr>
        <w:pStyle w:val="ListParagraph"/>
        <w:numPr>
          <w:ilvl w:val="0"/>
          <w:numId w:val="2"/>
        </w:numPr>
        <w:spacing w:after="60"/>
      </w:pPr>
      <w:r>
        <w:t xml:space="preserve">Target: </w:t>
      </w:r>
      <w:r>
        <w:rPr>
          <w:rFonts w:ascii="Consolas" w:cs="Consolas" w:eastAsia="Consolas" w:hAnsi="Consolas"/>
          <w:sz w:val="20"/>
          <w:szCs w:val="20"/>
        </w:rPr>
        <w:t xml:space="preserve">FLITERATE</w:t>
      </w:r>
      <w:r>
        <w:t xml:space="preserve">, recoded 1 = functionally illiterate, 0 = literate.</w:t>
      </w:r>
    </w:p>
    <w:p>
      <w:pPr>
        <w:pStyle w:val="ListParagraph"/>
        <w:numPr>
          <w:ilvl w:val="0"/>
          <w:numId w:val="2"/>
        </w:numPr>
        <w:spacing w:after="60"/>
      </w:pPr>
      <w:r>
        <w:t xml:space="preserve">Weights: </w:t>
      </w:r>
      <w:r>
        <w:rPr>
          <w:rFonts w:ascii="Consolas" w:cs="Consolas" w:eastAsia="Consolas" w:hAnsi="Consolas"/>
          <w:sz w:val="20"/>
          <w:szCs w:val="20"/>
        </w:rPr>
        <w:t xml:space="preserve">RESP_RFACT_F2</w:t>
      </w:r>
      <w:r>
        <w:t xml:space="preserve"> throughout, so all rates describe the national population.</w:t>
      </w:r>
    </w:p>
    <w:p>
      <w:pPr>
        <w:pStyle w:val="ListParagraph"/>
        <w:numPr>
          <w:ilvl w:val="0"/>
          <w:numId w:val="2"/>
        </w:numPr>
        <w:spacing w:after="60"/>
      </w:pPr>
      <w:r>
        <w:t xml:space="preserve">The 28,127 persons without a Form 2 record are older (mean age 36.3 vs 32.8) and slightly less often female. State this as a selection limit.</w:t>
      </w:r>
    </w:p>
    <w:p>
      <w:pPr>
        <w:pStyle w:val="ListParagraph"/>
        <w:numPr>
          <w:ilvl w:val="0"/>
          <w:numId w:val="2"/>
        </w:numPr>
        <w:spacing w:after="60"/>
      </w:pPr>
      <w:r>
        <w:t xml:space="preserve">Boundaries: OCHA COD-AB city and municipality polygons [CITATION NEEDED: dataset version and access date], dissolved to the FLEMMS province and HUC units. Each PRV code is matched by name to a boundary code using the PSA value set </w:t>
      </w:r>
      <w:r>
        <w:rPr>
          <w:rFonts w:ascii="Consolas" w:cs="Consolas" w:eastAsia="Consolas" w:hAnsi="Consolas"/>
          <w:sz w:val="20"/>
          <w:szCs w:val="20"/>
        </w:rPr>
        <w:t xml:space="preserve">PRV_VS1</w:t>
      </w:r>
      <w:r>
        <w:t xml:space="preserve">. HUCs are carved out of the province that surrounds them.</w:t>
      </w:r>
    </w:p>
    <w:p>
      <w:pPr>
        <w:pStyle w:val="ListParagraph"/>
        <w:numPr>
          <w:ilvl w:val="0"/>
          <w:numId w:val="2"/>
        </w:numPr>
        <w:spacing w:after="60"/>
      </w:pPr>
      <w:r>
        <w:t xml:space="preserve">Code 999 ("BARMM63", the BARMM Special Geographic Area, n = 589) has no matching unit and is left out of the spatial weights.</w:t>
      </w:r>
    </w:p>
    <w:p>
      <w:pPr>
        <w:pStyle w:val="Heading1"/>
      </w:pPr>
      <w:r>
        <w:t xml:space="preserve">4. Methods</w:t>
      </w:r>
    </w:p>
    <w:p>
      <w:pPr>
        <w:pStyle w:val="Heading2"/>
      </w:pPr>
      <w:r>
        <w:t xml:space="preserve">4.1 Feature selection</w:t>
      </w:r>
    </w:p>
    <w:p>
      <w:pPr>
        <w:spacing w:after="120"/>
      </w:pPr>
      <w:r>
        <w:t xml:space="preserve">PCA on the 750 encoded features needs 504 components to reach 95% of variance, so it reduces little. Because variance is not relevance, we keep PCA as a diagnostic and select features by XGBoost gain against the target instead.</w:t>
      </w:r>
    </w:p>
    <w:p>
      <w:pPr>
        <w:pStyle w:val="ListParagraph"/>
        <w:numPr>
          <w:ilvl w:val="0"/>
          <w:numId w:val="2"/>
        </w:numPr>
        <w:spacing w:after="60"/>
      </w:pPr>
      <w:r>
        <w:t xml:space="preserve">Split by household first (80/20, grouped on </w:t>
      </w:r>
      <w:r>
        <w:rPr>
          <w:rFonts w:ascii="Consolas" w:cs="Consolas" w:eastAsia="Consolas" w:hAnsi="Consolas"/>
          <w:sz w:val="20"/>
          <w:szCs w:val="20"/>
        </w:rPr>
        <w:t xml:space="preserve">HHID</w:t>
      </w:r>
      <w:r>
        <w:t xml:space="preserve">), then select the top 44 features on training rows only.</w:t>
      </w:r>
    </w:p>
    <w:p>
      <w:pPr>
        <w:pStyle w:val="ListParagraph"/>
        <w:numPr>
          <w:ilvl w:val="0"/>
          <w:numId w:val="2"/>
        </w:numPr>
        <w:spacing w:after="60"/>
      </w:pPr>
      <w:r>
        <w:t xml:space="preserve">Exclude outcome proxies: </w:t>
      </w:r>
      <w:r>
        <w:rPr>
          <w:rFonts w:ascii="Consolas" w:cs="Consolas" w:eastAsia="Consolas" w:hAnsi="Consolas"/>
          <w:sz w:val="20"/>
          <w:szCs w:val="20"/>
        </w:rPr>
        <w:t xml:space="preserve">READ_IND_F2</w:t>
      </w:r>
      <w:r>
        <w:t xml:space="preserve"> and </w:t>
      </w:r>
      <w:r>
        <w:rPr>
          <w:rFonts w:ascii="Consolas" w:cs="Consolas" w:eastAsia="Consolas" w:hAnsi="Consolas"/>
          <w:sz w:val="20"/>
          <w:szCs w:val="20"/>
        </w:rPr>
        <w:t xml:space="preserve">READ_IND_F3</w:t>
      </w:r>
      <w:r>
        <w:t xml:space="preserve"> restate the literacy result (illiteracy rate near 100% at levels 2 and 3).</w:t>
      </w:r>
    </w:p>
    <w:p>
      <w:pPr>
        <w:pStyle w:val="ListParagraph"/>
        <w:numPr>
          <w:ilvl w:val="0"/>
          <w:numId w:val="2"/>
        </w:numPr>
        <w:spacing w:after="60"/>
      </w:pPr>
      <w:r>
        <w:t xml:space="preserve">Add </w:t>
      </w:r>
      <w:r>
        <w:rPr>
          <w:rFonts w:ascii="Consolas" w:cs="Consolas" w:eastAsia="Consolas" w:hAnsi="Consolas"/>
          <w:sz w:val="20"/>
          <w:szCs w:val="20"/>
        </w:rPr>
        <w:t xml:space="preserve">AGE</w:t>
      </w:r>
      <w:r>
        <w:t xml:space="preserve"> as a demographic control, for 45 features in total.</w:t>
      </w:r>
    </w:p>
    <w:p>
      <w:pPr>
        <w:pStyle w:val="Heading2"/>
      </w:pPr>
      <w:r>
        <w:t xml:space="preserve">4.2 Predictive model</w:t>
      </w:r>
    </w:p>
    <w:p>
      <w:pPr>
        <w:spacing w:after="120"/>
      </w:pPr>
      <w:r>
        <w:t xml:space="preserve">We fit an XGBoost classifier with 300 trees, depth 6 and learning rate 0.05. </w:t>
      </w:r>
      <w:r>
        <w:rPr>
          <w:rFonts w:ascii="Consolas" w:cs="Consolas" w:eastAsia="Consolas" w:hAnsi="Consolas"/>
          <w:sz w:val="20"/>
          <w:szCs w:val="20"/>
        </w:rPr>
        <w:t xml:space="preserve">scale_pos_weight</w:t>
      </w:r>
      <w:r>
        <w:t xml:space="preserve"> corrects class imbalance and the survey weight enters as a sample weight. For province aggregation we refit in 5 folds grouped by household, so every person is scored by a model that never saw their household.</w:t>
      </w:r>
    </w:p>
    <w:p>
      <w:pPr>
        <w:pStyle w:val="ListParagraph"/>
        <w:numPr>
          <w:ilvl w:val="0"/>
          <w:numId w:val="2"/>
        </w:numPr>
        <w:spacing w:after="60"/>
      </w:pPr>
      <w:r>
        <w:t xml:space="preserve">Prior correction: subtract log(scale_pos_weight) from the margin so predicted probabilities match observed rates.</w:t>
      </w:r>
    </w:p>
    <w:p>
      <w:pPr>
        <w:pStyle w:val="Heading2"/>
      </w:pPr>
      <w:r>
        <w:t xml:space="preserve">4.3 Interpretation</w:t>
      </w:r>
    </w:p>
    <w:p>
      <w:pPr>
        <w:spacing w:after="120"/>
      </w:pPr>
      <w:r>
        <w:t xml:space="preserve">We use accumulated local effects (ALE) because they stay within realistic data regions when features are correlated. Effects are reported on the log-odds scale and as odds ratios.</w:t>
      </w:r>
    </w:p>
    <w:p>
      <w:pPr>
        <w:pBdr>
          <w:left w:val="single" w:color="BBBBBB" w:sz="12" w:space="6"/>
        </w:pBdr>
        <w:spacing w:after="120"/>
        <w:ind w:left="200"/>
      </w:pPr>
      <w:r>
        <w:rPr>
          <w:i/>
          <w:iCs/>
          <w:color w:val="666666"/>
          <w:sz w:val="20"/>
          <w:szCs w:val="20"/>
        </w:rPr>
        <w:t xml:space="preserve">Note: SHAP results in 02_xgboost_xai/xgboost_shap_*.csv come from the older, unaudited pipeline. Either re-run SHAP on the audited model or drop SHAP from the paper. Friedman's H was promised in the proposal and is not done yet.</w:t>
      </w:r>
    </w:p>
    <w:p>
      <w:pPr>
        <w:pStyle w:val="Heading2"/>
      </w:pPr>
      <w:r>
        <w:t xml:space="preserve">4.4 Spatial analysis</w:t>
      </w:r>
    </w:p>
    <w:p>
      <w:pPr>
        <w:pStyle w:val="ListParagraph"/>
        <w:numPr>
          <w:ilvl w:val="0"/>
          <w:numId w:val="2"/>
        </w:numPr>
        <w:spacing w:after="60"/>
      </w:pPr>
      <w:r>
        <w:t xml:space="preserve">Province and HUC rates: observed weighted rate, mean predicted rate, and their difference (residual).</w:t>
      </w:r>
    </w:p>
    <w:p>
      <w:pPr>
        <w:pStyle w:val="ListParagraph"/>
        <w:numPr>
          <w:ilvl w:val="0"/>
          <w:numId w:val="2"/>
        </w:numPr>
        <w:spacing w:after="60"/>
      </w:pPr>
      <w:r>
        <w:t xml:space="preserve">Weights: queen contiguity with 13 island units linked to their nearest neighbour; KNN with k = 6 as a check.</w:t>
      </w:r>
    </w:p>
    <w:p>
      <w:pPr>
        <w:pStyle w:val="ListParagraph"/>
        <w:numPr>
          <w:ilvl w:val="0"/>
          <w:numId w:val="2"/>
        </w:numPr>
        <w:spacing w:after="60"/>
      </w:pPr>
      <w:r>
        <w:t xml:space="preserve">Global Moran's I and LISA with 9,999 permutations. Clusters use p &lt; 0.05; Benjamini-Hochberg FDR is reported as a sensitivity check.</w:t>
      </w:r>
    </w:p>
    <w:p>
      <w:pPr>
        <w:pStyle w:val="Heading2"/>
      </w:pPr>
      <w:r>
        <w:t xml:space="preserve">4.5 Scenario simulation</w:t>
      </w:r>
    </w:p>
    <w:p>
      <w:pPr>
        <w:spacing w:after="120"/>
      </w:pPr>
      <w:r>
        <w:t xml:space="preserve">In each High-High province, we switch randomly chosen eligible persons to internet use, digital skills, or both, until the weighted share rises by 10 percentage points. We re-score everyone with their out-of-fold model and report the change in the weighted mean predicted rate, with intervals from 50 Monte Carlo draws.</w:t>
      </w:r>
    </w:p>
    <w:p>
      <w:pPr>
        <w:pStyle w:val="Heading1"/>
      </w:pPr>
      <w:r>
        <w:t xml:space="preserve">5. Results</w:t>
      </w:r>
    </w:p>
    <w:p>
      <w:pPr>
        <w:pStyle w:val="Heading2"/>
      </w:pPr>
      <w:r>
        <w:t xml:space="preserve">5.1 Model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shd w:fill="E7E6E6" w:color="auto" w:val="clear"/>
            <w:tcMar>
              <w:top w:type="dxa" w:w="40"/>
              <w:left w:type="dxa" w:w="80"/>
              <w:bottom w:type="dxa" w:w="40"/>
              <w:right w:type="dxa" w:w="80"/>
            </w:tcMar>
          </w:tcPr>
          <w:p>
            <w:r>
              <w:rPr>
                <w:b/>
                <w:bCs/>
                <w:sz w:val="20"/>
                <w:szCs w:val="20"/>
              </w:rPr>
              <w:t xml:space="preserve">Metric</w:t>
            </w:r>
          </w:p>
        </w:tc>
        <w:tc>
          <w:tcPr>
            <w:tcW w:type="dxa" w:w="2500"/>
            <w:shd w:fill="E7E6E6" w:color="auto" w:val="clear"/>
            <w:tcMar>
              <w:top w:type="dxa" w:w="40"/>
              <w:left w:type="dxa" w:w="80"/>
              <w:bottom w:type="dxa" w:w="40"/>
              <w:right w:type="dxa" w:w="80"/>
            </w:tcMar>
          </w:tcPr>
          <w:p>
            <w:r>
              <w:rPr>
                <w:b/>
                <w:bCs/>
                <w:sz w:val="20"/>
                <w:szCs w:val="20"/>
              </w:rPr>
              <w:t xml:space="preserve">Grouped hold-out</w:t>
            </w:r>
          </w:p>
        </w:tc>
        <w:tc>
          <w:tcPr>
            <w:tcW w:type="dxa" w:w="2500"/>
            <w:shd w:fill="E7E6E6" w:color="auto" w:val="clear"/>
            <w:tcMar>
              <w:top w:type="dxa" w:w="40"/>
              <w:left w:type="dxa" w:w="80"/>
              <w:bottom w:type="dxa" w:w="40"/>
              <w:right w:type="dxa" w:w="80"/>
            </w:tcMar>
          </w:tcPr>
          <w:p>
            <w:r>
              <w:rPr>
                <w:b/>
                <w:bCs/>
                <w:sz w:val="20"/>
                <w:szCs w:val="20"/>
              </w:rPr>
              <w:t xml:space="preserve">Out of fold (5 folds)</w:t>
            </w:r>
          </w:p>
        </w:tc>
      </w:tr>
      <w:tr>
        <w:trPr>
          <w:tblHeader w:val="off"/>
        </w:trPr>
        <w:tc>
          <w:tcPr>
            <w:tcW w:type="dxa" w:w="4026"/>
            <w:tcMar>
              <w:top w:type="dxa" w:w="40"/>
              <w:left w:type="dxa" w:w="80"/>
              <w:bottom w:type="dxa" w:w="40"/>
              <w:right w:type="dxa" w:w="80"/>
            </w:tcMar>
          </w:tcPr>
          <w:p>
            <w:r>
              <w:rPr>
                <w:b w:val="false"/>
                <w:bCs w:val="false"/>
                <w:sz w:val="20"/>
                <w:szCs w:val="20"/>
              </w:rPr>
              <w:t xml:space="preserve">ROC-AUC, weighted</w:t>
            </w:r>
          </w:p>
        </w:tc>
        <w:tc>
          <w:tcPr>
            <w:tcW w:type="dxa" w:w="2500"/>
            <w:tcMar>
              <w:top w:type="dxa" w:w="40"/>
              <w:left w:type="dxa" w:w="80"/>
              <w:bottom w:type="dxa" w:w="40"/>
              <w:right w:type="dxa" w:w="80"/>
            </w:tcMar>
          </w:tcPr>
          <w:p>
            <w:r>
              <w:rPr>
                <w:b w:val="false"/>
                <w:bCs w:val="false"/>
                <w:sz w:val="20"/>
                <w:szCs w:val="20"/>
              </w:rPr>
              <w:t xml:space="preserve">0.702</w:t>
            </w:r>
          </w:p>
        </w:tc>
        <w:tc>
          <w:tcPr>
            <w:tcW w:type="dxa" w:w="2500"/>
            <w:tcMar>
              <w:top w:type="dxa" w:w="40"/>
              <w:left w:type="dxa" w:w="80"/>
              <w:bottom w:type="dxa" w:w="40"/>
              <w:right w:type="dxa" w:w="80"/>
            </w:tcMar>
          </w:tcPr>
          <w:p>
            <w:r>
              <w:rPr>
                <w:b w:val="false"/>
                <w:bCs w:val="false"/>
                <w:sz w:val="20"/>
                <w:szCs w:val="20"/>
              </w:rPr>
              <w:t xml:space="preserve">0.701</w:t>
            </w:r>
          </w:p>
        </w:tc>
      </w:tr>
      <w:tr>
        <w:trPr>
          <w:tblHeader w:val="off"/>
        </w:trPr>
        <w:tc>
          <w:tcPr>
            <w:tcW w:type="dxa" w:w="4026"/>
            <w:tcMar>
              <w:top w:type="dxa" w:w="40"/>
              <w:left w:type="dxa" w:w="80"/>
              <w:bottom w:type="dxa" w:w="40"/>
              <w:right w:type="dxa" w:w="80"/>
            </w:tcMar>
          </w:tcPr>
          <w:p>
            <w:r>
              <w:rPr>
                <w:b w:val="false"/>
                <w:bCs w:val="false"/>
                <w:sz w:val="20"/>
                <w:szCs w:val="20"/>
              </w:rPr>
              <w:t xml:space="preserve">PR-AUC, weighted</w:t>
            </w:r>
          </w:p>
        </w:tc>
        <w:tc>
          <w:tcPr>
            <w:tcW w:type="dxa" w:w="2500"/>
            <w:tcMar>
              <w:top w:type="dxa" w:w="40"/>
              <w:left w:type="dxa" w:w="80"/>
              <w:bottom w:type="dxa" w:w="40"/>
              <w:right w:type="dxa" w:w="80"/>
            </w:tcMar>
          </w:tcPr>
          <w:p>
            <w:r>
              <w:rPr>
                <w:b w:val="false"/>
                <w:bCs w:val="false"/>
                <w:sz w:val="20"/>
                <w:szCs w:val="20"/>
              </w:rPr>
              <w:t xml:space="preserve">0.505</w:t>
            </w:r>
          </w:p>
        </w:tc>
        <w:tc>
          <w:tcPr>
            <w:tcW w:type="dxa" w:w="2500"/>
            <w:tcMar>
              <w:top w:type="dxa" w:w="40"/>
              <w:left w:type="dxa" w:w="80"/>
              <w:bottom w:type="dxa" w:w="40"/>
              <w:right w:type="dxa" w:w="80"/>
            </w:tcMar>
          </w:tcPr>
          <w:p>
            <w:r>
              <w:rPr>
                <w:b w:val="false"/>
                <w:bCs w:val="false"/>
                <w:sz w:val="20"/>
                <w:szCs w:val="20"/>
              </w:rPr>
              <w:t xml:space="preserve">0.507</w:t>
            </w:r>
          </w:p>
        </w:tc>
      </w:tr>
      <w:tr>
        <w:trPr>
          <w:tblHeader w:val="off"/>
        </w:trPr>
        <w:tc>
          <w:tcPr>
            <w:tcW w:type="dxa" w:w="4026"/>
            <w:tcMar>
              <w:top w:type="dxa" w:w="40"/>
              <w:left w:type="dxa" w:w="80"/>
              <w:bottom w:type="dxa" w:w="40"/>
              <w:right w:type="dxa" w:w="80"/>
            </w:tcMar>
          </w:tcPr>
          <w:p>
            <w:r>
              <w:rPr>
                <w:b w:val="false"/>
                <w:bCs w:val="false"/>
                <w:sz w:val="20"/>
                <w:szCs w:val="20"/>
              </w:rPr>
              <w:t xml:space="preserve">ROC-AUC, unweighted</w:t>
            </w:r>
          </w:p>
        </w:tc>
        <w:tc>
          <w:tcPr>
            <w:tcW w:type="dxa" w:w="2500"/>
            <w:tcMar>
              <w:top w:type="dxa" w:w="40"/>
              <w:left w:type="dxa" w:w="80"/>
              <w:bottom w:type="dxa" w:w="40"/>
              <w:right w:type="dxa" w:w="80"/>
            </w:tcMar>
          </w:tcPr>
          <w:p>
            <w:r>
              <w:rPr>
                <w:b w:val="false"/>
                <w:bCs w:val="false"/>
                <w:sz w:val="20"/>
                <w:szCs w:val="20"/>
              </w:rPr>
              <w:t xml:space="preserve">0.708</w:t>
            </w:r>
          </w:p>
        </w:tc>
        <w:tc>
          <w:tcPr>
            <w:tcW w:type="dxa" w:w="2500"/>
            <w:tcMar>
              <w:top w:type="dxa" w:w="40"/>
              <w:left w:type="dxa" w:w="80"/>
              <w:bottom w:type="dxa" w:w="40"/>
              <w:right w:type="dxa" w:w="80"/>
            </w:tcMar>
          </w:tcPr>
          <w:p>
            <w:r>
              <w:rPr>
                <w:b w:val="false"/>
                <w:bCs w:val="false"/>
                <w:sz w:val="20"/>
                <w:szCs w:val="20"/>
              </w:rPr>
              <w:t xml:space="preserve">0.709</w:t>
            </w:r>
          </w:p>
        </w:tc>
      </w:tr>
      <w:tr>
        <w:trPr>
          <w:tblHeader w:val="off"/>
        </w:trPr>
        <w:tc>
          <w:tcPr>
            <w:tcW w:type="dxa" w:w="4026"/>
            <w:tcMar>
              <w:top w:type="dxa" w:w="40"/>
              <w:left w:type="dxa" w:w="80"/>
              <w:bottom w:type="dxa" w:w="40"/>
              <w:right w:type="dxa" w:w="80"/>
            </w:tcMar>
          </w:tcPr>
          <w:p>
            <w:r>
              <w:rPr>
                <w:b w:val="false"/>
                <w:bCs w:val="false"/>
                <w:sz w:val="20"/>
                <w:szCs w:val="20"/>
              </w:rPr>
              <w:t xml:space="preserve">Recall, illiterate class (0.5 cutoff)</w:t>
            </w:r>
          </w:p>
        </w:tc>
        <w:tc>
          <w:tcPr>
            <w:tcW w:type="dxa" w:w="2500"/>
            <w:tcMar>
              <w:top w:type="dxa" w:w="40"/>
              <w:left w:type="dxa" w:w="80"/>
              <w:bottom w:type="dxa" w:w="40"/>
              <w:right w:type="dxa" w:w="80"/>
            </w:tcMar>
          </w:tcPr>
          <w:p>
            <w:r>
              <w:rPr>
                <w:b w:val="false"/>
                <w:bCs w:val="false"/>
                <w:sz w:val="20"/>
                <w:szCs w:val="20"/>
              </w:rPr>
              <w:t xml:space="preserve">0.59</w:t>
            </w:r>
          </w:p>
        </w:tc>
        <w:tc>
          <w:tcPr>
            <w:tcW w:type="dxa" w:w="2500"/>
            <w:tcMar>
              <w:top w:type="dxa" w:w="40"/>
              <w:left w:type="dxa" w:w="80"/>
              <w:bottom w:type="dxa" w:w="40"/>
              <w:right w:type="dxa" w:w="80"/>
            </w:tcMar>
          </w:tcPr>
          <w:p>
            <w:r>
              <w:rPr>
                <w:b/>
                <w:bCs/>
                <w:sz w:val="20"/>
                <w:szCs w:val="20"/>
                <w:highlight w:val="yellow"/>
              </w:rPr>
              <w:t xml:space="preserve">[DATA MISSING]</w:t>
            </w:r>
          </w:p>
        </w:tc>
      </w:tr>
      <w:tr>
        <w:trPr>
          <w:tblHeader w:val="off"/>
        </w:trPr>
        <w:tc>
          <w:tcPr>
            <w:tcW w:type="dxa" w:w="4026"/>
            <w:tcMar>
              <w:top w:type="dxa" w:w="40"/>
              <w:left w:type="dxa" w:w="80"/>
              <w:bottom w:type="dxa" w:w="40"/>
              <w:right w:type="dxa" w:w="80"/>
            </w:tcMar>
          </w:tcPr>
          <w:p>
            <w:r>
              <w:rPr>
                <w:b w:val="false"/>
                <w:bCs w:val="false"/>
                <w:sz w:val="20"/>
                <w:szCs w:val="20"/>
              </w:rPr>
              <w:t xml:space="preserve">Precision, illiterate class (0.5 cutoff)</w:t>
            </w:r>
          </w:p>
        </w:tc>
        <w:tc>
          <w:tcPr>
            <w:tcW w:type="dxa" w:w="2500"/>
            <w:tcMar>
              <w:top w:type="dxa" w:w="40"/>
              <w:left w:type="dxa" w:w="80"/>
              <w:bottom w:type="dxa" w:w="40"/>
              <w:right w:type="dxa" w:w="80"/>
            </w:tcMar>
          </w:tcPr>
          <w:p>
            <w:r>
              <w:rPr>
                <w:b w:val="false"/>
                <w:bCs w:val="false"/>
                <w:sz w:val="20"/>
                <w:szCs w:val="20"/>
              </w:rPr>
              <w:t xml:space="preserve">0.44</w:t>
            </w:r>
          </w:p>
        </w:tc>
        <w:tc>
          <w:tcPr>
            <w:tcW w:type="dxa" w:w="2500"/>
            <w:tcMar>
              <w:top w:type="dxa" w:w="40"/>
              <w:left w:type="dxa" w:w="80"/>
              <w:bottom w:type="dxa" w:w="40"/>
              <w:right w:type="dxa" w:w="80"/>
            </w:tcMar>
          </w:tcPr>
          <w:p>
            <w:r>
              <w:rPr>
                <w:b/>
                <w:bCs/>
                <w:sz w:val="20"/>
                <w:szCs w:val="20"/>
                <w:highlight w:val="yellow"/>
              </w:rPr>
              <w:t xml:space="preserve">[DATA MISSING]</w:t>
            </w:r>
          </w:p>
        </w:tc>
      </w:tr>
    </w:tbl>
    <w:p>
      <w:pPr>
        <w:spacing w:after="200" w:before="60"/>
      </w:pPr>
      <w:r>
        <w:rPr>
          <w:i/>
          <w:iCs/>
          <w:sz w:val="20"/>
          <w:szCs w:val="20"/>
        </w:rPr>
        <w:t xml:space="preserve">Table 2. Model performance. Source: ALE_LEAKAGE_FINDINGS.md, oof_model_metrics.csv.</w:t>
      </w:r>
    </w:p>
    <w:p>
      <w:pPr>
        <w:spacing w:after="120"/>
      </w:pPr>
      <w:r>
        <w:t xml:space="preserve">Discrimination is moderate and stable across splits. Calibration is good after prior correction: in every risk decile the mean prediction is within 0.8 points of the observed rate.</w:t>
      </w:r>
    </w:p>
    <w:p>
      <w:pPr>
        <w:pStyle w:val="Heading2"/>
      </w:pPr>
      <w:r>
        <w:t xml:space="preserve">5.2 Drivers of functional illiteracy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rPr>
          <w:tblHeader/>
        </w:trPr>
        <w:tc>
          <w:tcPr>
            <w:tcW w:type="dxa" w:w="2400"/>
            <w:shd w:fill="E7E6E6" w:color="auto" w:val="clear"/>
            <w:tcMar>
              <w:top w:type="dxa" w:w="40"/>
              <w:left w:type="dxa" w:w="80"/>
              <w:bottom w:type="dxa" w:w="40"/>
              <w:right w:type="dxa" w:w="80"/>
            </w:tcMar>
          </w:tcPr>
          <w:p>
            <w:r>
              <w:rPr>
                <w:b/>
                <w:bCs/>
                <w:sz w:val="20"/>
                <w:szCs w:val="20"/>
              </w:rPr>
              <w:t xml:space="preserve">Feature</w:t>
            </w:r>
          </w:p>
        </w:tc>
        <w:tc>
          <w:tcPr>
            <w:tcW w:type="dxa" w:w="4626"/>
            <w:shd w:fill="E7E6E6" w:color="auto" w:val="clear"/>
            <w:tcMar>
              <w:top w:type="dxa" w:w="40"/>
              <w:left w:type="dxa" w:w="80"/>
              <w:bottom w:type="dxa" w:w="40"/>
              <w:right w:type="dxa" w:w="80"/>
            </w:tcMar>
          </w:tcPr>
          <w:p>
            <w:r>
              <w:rPr>
                <w:b/>
                <w:bCs/>
                <w:sz w:val="20"/>
                <w:szCs w:val="20"/>
              </w:rPr>
              <w:t xml:space="preserve">Meaning</w:t>
            </w:r>
          </w:p>
        </w:tc>
        <w:tc>
          <w:tcPr>
            <w:tcW w:type="dxa" w:w="2000"/>
            <w:shd w:fill="E7E6E6" w:color="auto" w:val="clear"/>
            <w:tcMar>
              <w:top w:type="dxa" w:w="40"/>
              <w:left w:type="dxa" w:w="80"/>
              <w:bottom w:type="dxa" w:w="40"/>
              <w:right w:type="dxa" w:w="80"/>
            </w:tcMar>
          </w:tcPr>
          <w:p>
            <w:r>
              <w:rPr>
                <w:b/>
                <w:bCs/>
                <w:sz w:val="20"/>
                <w:szCs w:val="20"/>
              </w:rPr>
              <w:t xml:space="preserve">Odds ratio</w:t>
            </w:r>
          </w:p>
        </w:tc>
      </w:tr>
      <w:tr>
        <w:trPr>
          <w:tblHeader w:val="off"/>
        </w:trPr>
        <w:tc>
          <w:tcPr>
            <w:tcW w:type="dxa" w:w="2400"/>
            <w:tcMar>
              <w:top w:type="dxa" w:w="40"/>
              <w:left w:type="dxa" w:w="80"/>
              <w:bottom w:type="dxa" w:w="40"/>
              <w:right w:type="dxa" w:w="80"/>
            </w:tcMar>
          </w:tcPr>
          <w:p>
            <w:r>
              <w:rPr>
                <w:b w:val="false"/>
                <w:bCs w:val="false"/>
                <w:sz w:val="20"/>
                <w:szCs w:val="20"/>
              </w:rPr>
              <w:t xml:space="preserve">HGC_LEVEL_2</w:t>
            </w:r>
          </w:p>
        </w:tc>
        <w:tc>
          <w:tcPr>
            <w:tcW w:type="dxa" w:w="4626"/>
            <w:tcMar>
              <w:top w:type="dxa" w:w="40"/>
              <w:left w:type="dxa" w:w="80"/>
              <w:bottom w:type="dxa" w:w="40"/>
              <w:right w:type="dxa" w:w="80"/>
            </w:tcMar>
          </w:tcPr>
          <w:p>
            <w:r>
              <w:rPr>
                <w:b w:val="false"/>
                <w:bCs w:val="false"/>
                <w:sz w:val="20"/>
                <w:szCs w:val="20"/>
              </w:rPr>
              <w:t xml:space="preserve">Lower secondary completed</w:t>
            </w:r>
          </w:p>
        </w:tc>
        <w:tc>
          <w:tcPr>
            <w:tcW w:type="dxa" w:w="2000"/>
            <w:tcMar>
              <w:top w:type="dxa" w:w="40"/>
              <w:left w:type="dxa" w:w="80"/>
              <w:bottom w:type="dxa" w:w="40"/>
              <w:right w:type="dxa" w:w="80"/>
            </w:tcMar>
          </w:tcPr>
          <w:p>
            <w:r>
              <w:rPr>
                <w:b w:val="false"/>
                <w:bCs w:val="false"/>
                <w:sz w:val="20"/>
                <w:szCs w:val="20"/>
              </w:rPr>
              <w:t xml:space="preserve">0.50</w:t>
            </w:r>
          </w:p>
        </w:tc>
      </w:tr>
      <w:tr>
        <w:trPr>
          <w:tblHeader w:val="off"/>
        </w:trPr>
        <w:tc>
          <w:tcPr>
            <w:tcW w:type="dxa" w:w="2400"/>
            <w:tcMar>
              <w:top w:type="dxa" w:w="40"/>
              <w:left w:type="dxa" w:w="80"/>
              <w:bottom w:type="dxa" w:w="40"/>
              <w:right w:type="dxa" w:w="80"/>
            </w:tcMar>
          </w:tcPr>
          <w:p>
            <w:r>
              <w:rPr>
                <w:b w:val="false"/>
                <w:bCs w:val="false"/>
                <w:sz w:val="20"/>
                <w:szCs w:val="20"/>
              </w:rPr>
              <w:t xml:space="preserve">HGC_LEVEL_1</w:t>
            </w:r>
          </w:p>
        </w:tc>
        <w:tc>
          <w:tcPr>
            <w:tcW w:type="dxa" w:w="4626"/>
            <w:tcMar>
              <w:top w:type="dxa" w:w="40"/>
              <w:left w:type="dxa" w:w="80"/>
              <w:bottom w:type="dxa" w:w="40"/>
              <w:right w:type="dxa" w:w="80"/>
            </w:tcMar>
          </w:tcPr>
          <w:p>
            <w:r>
              <w:rPr>
                <w:b w:val="false"/>
                <w:bCs w:val="false"/>
                <w:sz w:val="20"/>
                <w:szCs w:val="20"/>
              </w:rPr>
              <w:t xml:space="preserve">Elementary completed</w:t>
            </w:r>
          </w:p>
        </w:tc>
        <w:tc>
          <w:tcPr>
            <w:tcW w:type="dxa" w:w="2000"/>
            <w:tcMar>
              <w:top w:type="dxa" w:w="40"/>
              <w:left w:type="dxa" w:w="80"/>
              <w:bottom w:type="dxa" w:w="40"/>
              <w:right w:type="dxa" w:w="80"/>
            </w:tcMar>
          </w:tcPr>
          <w:p>
            <w:r>
              <w:rPr>
                <w:b w:val="false"/>
                <w:bCs w:val="false"/>
                <w:sz w:val="20"/>
                <w:szCs w:val="20"/>
              </w:rPr>
              <w:t xml:space="preserve">0.52</w:t>
            </w:r>
          </w:p>
        </w:tc>
      </w:tr>
      <w:tr>
        <w:trPr>
          <w:tblHeader w:val="off"/>
        </w:trPr>
        <w:tc>
          <w:tcPr>
            <w:tcW w:type="dxa" w:w="2400"/>
            <w:tcMar>
              <w:top w:type="dxa" w:w="40"/>
              <w:left w:type="dxa" w:w="80"/>
              <w:bottom w:type="dxa" w:w="40"/>
              <w:right w:type="dxa" w:w="80"/>
            </w:tcMar>
          </w:tcPr>
          <w:p>
            <w:r>
              <w:rPr>
                <w:b w:val="false"/>
                <w:bCs w:val="false"/>
                <w:sz w:val="20"/>
                <w:szCs w:val="20"/>
              </w:rPr>
              <w:t xml:space="preserve">HGC_LEVEL_3</w:t>
            </w:r>
          </w:p>
        </w:tc>
        <w:tc>
          <w:tcPr>
            <w:tcW w:type="dxa" w:w="4626"/>
            <w:tcMar>
              <w:top w:type="dxa" w:w="40"/>
              <w:left w:type="dxa" w:w="80"/>
              <w:bottom w:type="dxa" w:w="40"/>
              <w:right w:type="dxa" w:w="80"/>
            </w:tcMar>
          </w:tcPr>
          <w:p>
            <w:r>
              <w:rPr>
                <w:b w:val="false"/>
                <w:bCs w:val="false"/>
                <w:sz w:val="20"/>
                <w:szCs w:val="20"/>
              </w:rPr>
              <w:t xml:space="preserve">Next level up [DATA MISSING: label]</w:t>
            </w:r>
          </w:p>
        </w:tc>
        <w:tc>
          <w:tcPr>
            <w:tcW w:type="dxa" w:w="2000"/>
            <w:tcMar>
              <w:top w:type="dxa" w:w="40"/>
              <w:left w:type="dxa" w:w="80"/>
              <w:bottom w:type="dxa" w:w="40"/>
              <w:right w:type="dxa" w:w="80"/>
            </w:tcMar>
          </w:tcPr>
          <w:p>
            <w:r>
              <w:rPr>
                <w:b w:val="false"/>
                <w:bCs w:val="false"/>
                <w:sz w:val="20"/>
                <w:szCs w:val="20"/>
              </w:rPr>
              <w:t xml:space="preserve">0.59</w:t>
            </w:r>
          </w:p>
        </w:tc>
      </w:tr>
      <w:tr>
        <w:trPr>
          <w:tblHeader w:val="off"/>
        </w:trPr>
        <w:tc>
          <w:tcPr>
            <w:tcW w:type="dxa" w:w="2400"/>
            <w:tcMar>
              <w:top w:type="dxa" w:w="40"/>
              <w:left w:type="dxa" w:w="80"/>
              <w:bottom w:type="dxa" w:w="40"/>
              <w:right w:type="dxa" w:w="80"/>
            </w:tcMar>
          </w:tcPr>
          <w:p>
            <w:r>
              <w:rPr>
                <w:b w:val="false"/>
                <w:bCs w:val="false"/>
                <w:sz w:val="20"/>
                <w:szCs w:val="20"/>
              </w:rPr>
              <w:t xml:space="preserve">INTERNET_1</w:t>
            </w:r>
          </w:p>
        </w:tc>
        <w:tc>
          <w:tcPr>
            <w:tcW w:type="dxa" w:w="4626"/>
            <w:tcMar>
              <w:top w:type="dxa" w:w="40"/>
              <w:left w:type="dxa" w:w="80"/>
              <w:bottom w:type="dxa" w:w="40"/>
              <w:right w:type="dxa" w:w="80"/>
            </w:tcMar>
          </w:tcPr>
          <w:p>
            <w:r>
              <w:rPr>
                <w:b w:val="false"/>
                <w:bCs w:val="false"/>
                <w:sz w:val="20"/>
                <w:szCs w:val="20"/>
              </w:rPr>
              <w:t xml:space="preserve">Used internet, past 3 months</w:t>
            </w:r>
          </w:p>
        </w:tc>
        <w:tc>
          <w:tcPr>
            <w:tcW w:type="dxa" w:w="2000"/>
            <w:tcMar>
              <w:top w:type="dxa" w:w="40"/>
              <w:left w:type="dxa" w:w="80"/>
              <w:bottom w:type="dxa" w:w="40"/>
              <w:right w:type="dxa" w:w="80"/>
            </w:tcMar>
          </w:tcPr>
          <w:p>
            <w:r>
              <w:rPr>
                <w:b w:val="false"/>
                <w:bCs w:val="false"/>
                <w:sz w:val="20"/>
                <w:szCs w:val="20"/>
              </w:rPr>
              <w:t xml:space="preserve">0.90</w:t>
            </w:r>
          </w:p>
        </w:tc>
      </w:tr>
      <w:tr>
        <w:trPr>
          <w:tblHeader w:val="off"/>
        </w:trPr>
        <w:tc>
          <w:tcPr>
            <w:tcW w:type="dxa" w:w="2400"/>
            <w:tcMar>
              <w:top w:type="dxa" w:w="40"/>
              <w:left w:type="dxa" w:w="80"/>
              <w:bottom w:type="dxa" w:w="40"/>
              <w:right w:type="dxa" w:w="80"/>
            </w:tcMar>
          </w:tcPr>
          <w:p>
            <w:r>
              <w:rPr>
                <w:b w:val="false"/>
                <w:bCs w:val="false"/>
                <w:sz w:val="20"/>
                <w:szCs w:val="20"/>
              </w:rPr>
              <w:t xml:space="preserve">DSKILL_INFO2_1</w:t>
            </w:r>
          </w:p>
        </w:tc>
        <w:tc>
          <w:tcPr>
            <w:tcW w:type="dxa" w:w="4626"/>
            <w:tcMar>
              <w:top w:type="dxa" w:w="40"/>
              <w:left w:type="dxa" w:w="80"/>
              <w:bottom w:type="dxa" w:w="40"/>
              <w:right w:type="dxa" w:w="80"/>
            </w:tcMar>
          </w:tcPr>
          <w:p>
            <w:r>
              <w:rPr>
                <w:b w:val="false"/>
                <w:bCs w:val="false"/>
                <w:sz w:val="20"/>
                <w:szCs w:val="20"/>
              </w:rPr>
              <w:t xml:space="preserve">Information and data literacy skill</w:t>
            </w:r>
          </w:p>
        </w:tc>
        <w:tc>
          <w:tcPr>
            <w:tcW w:type="dxa" w:w="2000"/>
            <w:tcMar>
              <w:top w:type="dxa" w:w="40"/>
              <w:left w:type="dxa" w:w="80"/>
              <w:bottom w:type="dxa" w:w="40"/>
              <w:right w:type="dxa" w:w="80"/>
            </w:tcMar>
          </w:tcPr>
          <w:p>
            <w:r>
              <w:rPr>
                <w:b w:val="false"/>
                <w:bCs w:val="false"/>
                <w:sz w:val="20"/>
                <w:szCs w:val="20"/>
              </w:rPr>
              <w:t xml:space="preserve">0.91</w:t>
            </w:r>
          </w:p>
        </w:tc>
      </w:tr>
      <w:tr>
        <w:trPr>
          <w:tblHeader w:val="off"/>
        </w:trPr>
        <w:tc>
          <w:tcPr>
            <w:tcW w:type="dxa" w:w="2400"/>
            <w:tcMar>
              <w:top w:type="dxa" w:w="40"/>
              <w:left w:type="dxa" w:w="80"/>
              <w:bottom w:type="dxa" w:w="40"/>
              <w:right w:type="dxa" w:w="80"/>
            </w:tcMar>
          </w:tcPr>
          <w:p>
            <w:r>
              <w:rPr>
                <w:b w:val="false"/>
                <w:bCs w:val="false"/>
                <w:sz w:val="20"/>
                <w:szCs w:val="20"/>
              </w:rPr>
              <w:t xml:space="preserve">DSKILL_PROB6_1</w:t>
            </w:r>
          </w:p>
        </w:tc>
        <w:tc>
          <w:tcPr>
            <w:tcW w:type="dxa" w:w="4626"/>
            <w:tcMar>
              <w:top w:type="dxa" w:w="40"/>
              <w:left w:type="dxa" w:w="80"/>
              <w:bottom w:type="dxa" w:w="40"/>
              <w:right w:type="dxa" w:w="80"/>
            </w:tcMar>
          </w:tcPr>
          <w:p>
            <w:r>
              <w:rPr>
                <w:b w:val="false"/>
                <w:bCs w:val="false"/>
                <w:sz w:val="20"/>
                <w:szCs w:val="20"/>
              </w:rPr>
              <w:t xml:space="preserve">Problem-solving skill</w:t>
            </w:r>
          </w:p>
        </w:tc>
        <w:tc>
          <w:tcPr>
            <w:tcW w:type="dxa" w:w="2000"/>
            <w:tcMar>
              <w:top w:type="dxa" w:w="40"/>
              <w:left w:type="dxa" w:w="80"/>
              <w:bottom w:type="dxa" w:w="40"/>
              <w:right w:type="dxa" w:w="80"/>
            </w:tcMar>
          </w:tcPr>
          <w:p>
            <w:r>
              <w:rPr>
                <w:b w:val="false"/>
                <w:bCs w:val="false"/>
                <w:sz w:val="20"/>
                <w:szCs w:val="20"/>
              </w:rPr>
              <w:t xml:space="preserve">0.92</w:t>
            </w:r>
          </w:p>
        </w:tc>
      </w:tr>
      <w:tr>
        <w:trPr>
          <w:tblHeader w:val="off"/>
        </w:trPr>
        <w:tc>
          <w:tcPr>
            <w:tcW w:type="dxa" w:w="2400"/>
            <w:tcMar>
              <w:top w:type="dxa" w:w="40"/>
              <w:left w:type="dxa" w:w="80"/>
              <w:bottom w:type="dxa" w:w="40"/>
              <w:right w:type="dxa" w:w="80"/>
            </w:tcMar>
          </w:tcPr>
          <w:p>
            <w:r>
              <w:rPr>
                <w:b w:val="false"/>
                <w:bCs w:val="false"/>
                <w:sz w:val="20"/>
                <w:szCs w:val="20"/>
              </w:rPr>
              <w:t xml:space="preserve">MM_WORK_1</w:t>
            </w:r>
          </w:p>
        </w:tc>
        <w:tc>
          <w:tcPr>
            <w:tcW w:type="dxa" w:w="4626"/>
            <w:tcMar>
              <w:top w:type="dxa" w:w="40"/>
              <w:left w:type="dxa" w:w="80"/>
              <w:bottom w:type="dxa" w:w="40"/>
              <w:right w:type="dxa" w:w="80"/>
            </w:tcMar>
          </w:tcPr>
          <w:p>
            <w:r>
              <w:rPr>
                <w:b w:val="false"/>
                <w:bCs w:val="false"/>
                <w:sz w:val="20"/>
                <w:szCs w:val="20"/>
              </w:rPr>
              <w:t xml:space="preserve">Never uses media for work or e-mail</w:t>
            </w:r>
          </w:p>
        </w:tc>
        <w:tc>
          <w:tcPr>
            <w:tcW w:type="dxa" w:w="2000"/>
            <w:tcMar>
              <w:top w:type="dxa" w:w="40"/>
              <w:left w:type="dxa" w:w="80"/>
              <w:bottom w:type="dxa" w:w="40"/>
              <w:right w:type="dxa" w:w="80"/>
            </w:tcMar>
          </w:tcPr>
          <w:p>
            <w:r>
              <w:rPr>
                <w:b w:val="false"/>
                <w:bCs w:val="false"/>
                <w:sz w:val="20"/>
                <w:szCs w:val="20"/>
              </w:rPr>
              <w:t xml:space="preserve">1.17</w:t>
            </w:r>
          </w:p>
        </w:tc>
      </w:tr>
    </w:tbl>
    <w:p>
      <w:pPr>
        <w:spacing w:after="200" w:before="60"/>
      </w:pPr>
      <w:r>
        <w:rPr>
          <w:i/>
          <w:iCs/>
          <w:sz w:val="20"/>
          <w:szCs w:val="20"/>
        </w:rPr>
        <w:t xml:space="preserve">Table 3. Selected ALE effects, primary model. Odds ratios below 1 lower the risk. Source: ALE_LEAKAGE_FINDINGS.md.</w:t>
      </w:r>
    </w:p>
    <w:p>
      <w:pPr>
        <w:pStyle w:val="ListParagraph"/>
        <w:numPr>
          <w:ilvl w:val="0"/>
          <w:numId w:val="2"/>
        </w:numPr>
        <w:spacing w:after="60"/>
      </w:pPr>
      <w:r>
        <w:t xml:space="preserve">Schooling dominates: completing elementary or lower secondary roughly halves the odds.</w:t>
      </w:r>
    </w:p>
    <w:p>
      <w:pPr>
        <w:pStyle w:val="ListParagraph"/>
        <w:numPr>
          <w:ilvl w:val="0"/>
          <w:numId w:val="2"/>
        </w:numPr>
        <w:spacing w:after="60"/>
      </w:pPr>
      <w:r>
        <w:t xml:space="preserve">Each digital item lowers the odds by 8 to 10%. The items are correlated, so report them as a block.</w:t>
      </w:r>
    </w:p>
    <w:p>
      <w:pPr>
        <w:pStyle w:val="ListParagraph"/>
        <w:numPr>
          <w:ilvl w:val="0"/>
          <w:numId w:val="2"/>
        </w:numPr>
        <w:spacing w:after="60"/>
      </w:pPr>
      <w:r>
        <w:t xml:space="preserve">Age: low risk in the 20s and 30s, rising after 40 (about +0.22 log-odds at 60).</w:t>
      </w:r>
    </w:p>
    <w:p>
      <w:pPr>
        <w:jc w:val="center"/>
      </w:pPr>
      <w:r>
        <w:drawing>
          <wp:inline distT="0" distB="0" distL="0" distR="0">
            <wp:extent cx="5715000" cy="22002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00275"/>
                    </a:xfrm>
                    <a:prstGeom prst="rect">
                      <a:avLst/>
                    </a:prstGeom>
                  </pic:spPr>
                </pic:pic>
              </a:graphicData>
            </a:graphic>
          </wp:inline>
        </w:drawing>
      </w:r>
    </w:p>
    <w:p>
      <w:pPr>
        <w:spacing w:after="200" w:before="60"/>
      </w:pPr>
      <w:r>
        <w:rPr>
          <w:i/>
          <w:iCs/>
          <w:sz w:val="20"/>
          <w:szCs w:val="20"/>
        </w:rPr>
        <w:t xml:space="preserve">Figure 1. ALE curves for the primary model.</w:t>
      </w:r>
    </w:p>
    <w:p>
      <w:pPr>
        <w:pStyle w:val="Heading2"/>
      </w:pPr>
      <w:r>
        <w:t xml:space="preserve">5.3 Province rates</w:t>
      </w:r>
    </w:p>
    <w:p>
      <w:pPr>
        <w:spacing w:after="120"/>
      </w:pPr>
      <w:r>
        <w:t xml:space="preserve">Observed and predicted province rates correlate at 0.77, so the characteristics of residents explain most of the provincial pattern. Residuals range from -17.8 to +17.4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800"/>
        <w:gridCol w:w="1800"/>
        <w:gridCol w:w="2000"/>
      </w:tblGrid>
      <w:tr>
        <w:trPr>
          <w:tblHeader/>
        </w:trPr>
        <w:tc>
          <w:tcPr>
            <w:tcW w:type="dxa" w:w="3426"/>
            <w:shd w:fill="E7E6E6" w:color="auto" w:val="clear"/>
            <w:tcMar>
              <w:top w:type="dxa" w:w="40"/>
              <w:left w:type="dxa" w:w="80"/>
              <w:bottom w:type="dxa" w:w="40"/>
              <w:right w:type="dxa" w:w="80"/>
            </w:tcMar>
          </w:tcPr>
          <w:p>
            <w:r>
              <w:rPr>
                <w:b/>
                <w:bCs/>
                <w:sz w:val="20"/>
                <w:szCs w:val="20"/>
              </w:rPr>
              <w:t xml:space="preserve">Unit</w:t>
            </w:r>
          </w:p>
        </w:tc>
        <w:tc>
          <w:tcPr>
            <w:tcW w:type="dxa" w:w="1800"/>
            <w:shd w:fill="E7E6E6" w:color="auto" w:val="clear"/>
            <w:tcMar>
              <w:top w:type="dxa" w:w="40"/>
              <w:left w:type="dxa" w:w="80"/>
              <w:bottom w:type="dxa" w:w="40"/>
              <w:right w:type="dxa" w:w="80"/>
            </w:tcMar>
          </w:tcPr>
          <w:p>
            <w:r>
              <w:rPr>
                <w:b/>
                <w:bCs/>
                <w:sz w:val="20"/>
                <w:szCs w:val="20"/>
              </w:rPr>
              <w:t xml:space="preserve">Observed</w:t>
            </w:r>
          </w:p>
        </w:tc>
        <w:tc>
          <w:tcPr>
            <w:tcW w:type="dxa" w:w="1800"/>
            <w:shd w:fill="E7E6E6" w:color="auto" w:val="clear"/>
            <w:tcMar>
              <w:top w:type="dxa" w:w="40"/>
              <w:left w:type="dxa" w:w="80"/>
              <w:bottom w:type="dxa" w:w="40"/>
              <w:right w:type="dxa" w:w="80"/>
            </w:tcMar>
          </w:tcPr>
          <w:p>
            <w:r>
              <w:rPr>
                <w:b/>
                <w:bCs/>
                <w:sz w:val="20"/>
                <w:szCs w:val="20"/>
              </w:rPr>
              <w:t xml:space="preserve">Predicted</w:t>
            </w:r>
          </w:p>
        </w:tc>
        <w:tc>
          <w:tcPr>
            <w:tcW w:type="dxa" w:w="2000"/>
            <w:shd w:fill="E7E6E6" w:color="auto" w:val="clear"/>
            <w:tcMar>
              <w:top w:type="dxa" w:w="40"/>
              <w:left w:type="dxa" w:w="80"/>
              <w:bottom w:type="dxa" w:w="40"/>
              <w:right w:type="dxa" w:w="80"/>
            </w:tcMar>
          </w:tcPr>
          <w:p>
            <w:r>
              <w:rPr>
                <w:b/>
                <w:bCs/>
                <w:sz w:val="20"/>
                <w:szCs w:val="20"/>
              </w:rPr>
              <w:t xml:space="preserve">Residual (pp)</w:t>
            </w:r>
          </w:p>
        </w:tc>
      </w:tr>
      <w:tr>
        <w:trPr>
          <w:tblHeader w:val="off"/>
        </w:trPr>
        <w:tc>
          <w:tcPr>
            <w:tcW w:type="dxa" w:w="3426"/>
            <w:tcMar>
              <w:top w:type="dxa" w:w="40"/>
              <w:left w:type="dxa" w:w="80"/>
              <w:bottom w:type="dxa" w:w="40"/>
              <w:right w:type="dxa" w:w="80"/>
            </w:tcMar>
          </w:tcPr>
          <w:p>
            <w:r>
              <w:rPr>
                <w:b w:val="false"/>
                <w:bCs w:val="false"/>
                <w:sz w:val="20"/>
                <w:szCs w:val="20"/>
              </w:rPr>
              <w:t xml:space="preserve">Tawi-Tawi</w:t>
            </w:r>
          </w:p>
        </w:tc>
        <w:tc>
          <w:tcPr>
            <w:tcW w:type="dxa" w:w="1800"/>
            <w:tcMar>
              <w:top w:type="dxa" w:w="40"/>
              <w:left w:type="dxa" w:w="80"/>
              <w:bottom w:type="dxa" w:w="40"/>
              <w:right w:type="dxa" w:w="80"/>
            </w:tcMar>
          </w:tcPr>
          <w:p>
            <w:r>
              <w:rPr>
                <w:b w:val="false"/>
                <w:bCs w:val="false"/>
                <w:sz w:val="20"/>
                <w:szCs w:val="20"/>
              </w:rPr>
              <w:t xml:space="preserve">66.4%</w:t>
            </w:r>
          </w:p>
        </w:tc>
        <w:tc>
          <w:tcPr>
            <w:tcW w:type="dxa" w:w="1800"/>
            <w:tcMar>
              <w:top w:type="dxa" w:w="40"/>
              <w:left w:type="dxa" w:w="80"/>
              <w:bottom w:type="dxa" w:w="40"/>
              <w:right w:type="dxa" w:w="80"/>
            </w:tcMar>
          </w:tcPr>
          <w:p>
            <w:r>
              <w:rPr>
                <w:b w:val="false"/>
                <w:bCs w:val="false"/>
                <w:sz w:val="20"/>
                <w:szCs w:val="20"/>
              </w:rPr>
              <w:t xml:space="preserve">49.0%</w:t>
            </w:r>
          </w:p>
        </w:tc>
        <w:tc>
          <w:tcPr>
            <w:tcW w:type="dxa" w:w="2000"/>
            <w:tcMar>
              <w:top w:type="dxa" w:w="40"/>
              <w:left w:type="dxa" w:w="80"/>
              <w:bottom w:type="dxa" w:w="40"/>
              <w:right w:type="dxa" w:w="80"/>
            </w:tcMar>
          </w:tcPr>
          <w:p>
            <w:r>
              <w:rPr>
                <w:b w:val="false"/>
                <w:bCs w:val="false"/>
                <w:sz w:val="20"/>
                <w:szCs w:val="20"/>
              </w:rPr>
              <w:t xml:space="preserve">+17.4</w:t>
            </w:r>
          </w:p>
        </w:tc>
      </w:tr>
      <w:tr>
        <w:trPr>
          <w:tblHeader w:val="off"/>
        </w:trPr>
        <w:tc>
          <w:tcPr>
            <w:tcW w:type="dxa" w:w="3426"/>
            <w:tcMar>
              <w:top w:type="dxa" w:w="40"/>
              <w:left w:type="dxa" w:w="80"/>
              <w:bottom w:type="dxa" w:w="40"/>
              <w:right w:type="dxa" w:w="80"/>
            </w:tcMar>
          </w:tcPr>
          <w:p>
            <w:r>
              <w:rPr>
                <w:b w:val="false"/>
                <w:bCs w:val="false"/>
                <w:sz w:val="20"/>
                <w:szCs w:val="20"/>
              </w:rPr>
              <w:t xml:space="preserve">Surigao del Norte</w:t>
            </w:r>
          </w:p>
        </w:tc>
        <w:tc>
          <w:tcPr>
            <w:tcW w:type="dxa" w:w="1800"/>
            <w:tcMar>
              <w:top w:type="dxa" w:w="40"/>
              <w:left w:type="dxa" w:w="80"/>
              <w:bottom w:type="dxa" w:w="40"/>
              <w:right w:type="dxa" w:w="80"/>
            </w:tcMar>
          </w:tcPr>
          <w:p>
            <w:r>
              <w:rPr>
                <w:b w:val="false"/>
                <w:bCs w:val="false"/>
                <w:sz w:val="20"/>
                <w:szCs w:val="20"/>
              </w:rPr>
              <w:t xml:space="preserve">42.9%</w:t>
            </w:r>
          </w:p>
        </w:tc>
        <w:tc>
          <w:tcPr>
            <w:tcW w:type="dxa" w:w="1800"/>
            <w:tcMar>
              <w:top w:type="dxa" w:w="40"/>
              <w:left w:type="dxa" w:w="80"/>
              <w:bottom w:type="dxa" w:w="40"/>
              <w:right w:type="dxa" w:w="80"/>
            </w:tcMar>
          </w:tcPr>
          <w:p>
            <w:r>
              <w:rPr>
                <w:b w:val="false"/>
                <w:bCs w:val="false"/>
                <w:sz w:val="20"/>
                <w:szCs w:val="20"/>
              </w:rPr>
              <w:t xml:space="preserve">30.4%</w:t>
            </w:r>
          </w:p>
        </w:tc>
        <w:tc>
          <w:tcPr>
            <w:tcW w:type="dxa" w:w="2000"/>
            <w:tcMar>
              <w:top w:type="dxa" w:w="40"/>
              <w:left w:type="dxa" w:w="80"/>
              <w:bottom w:type="dxa" w:w="40"/>
              <w:right w:type="dxa" w:w="80"/>
            </w:tcMar>
          </w:tcPr>
          <w:p>
            <w:r>
              <w:rPr>
                <w:b w:val="false"/>
                <w:bCs w:val="false"/>
                <w:sz w:val="20"/>
                <w:szCs w:val="20"/>
              </w:rPr>
              <w:t xml:space="preserve">+12.5</w:t>
            </w:r>
          </w:p>
        </w:tc>
      </w:tr>
      <w:tr>
        <w:trPr>
          <w:tblHeader w:val="off"/>
        </w:trPr>
        <w:tc>
          <w:tcPr>
            <w:tcW w:type="dxa" w:w="3426"/>
            <w:tcMar>
              <w:top w:type="dxa" w:w="40"/>
              <w:left w:type="dxa" w:w="80"/>
              <w:bottom w:type="dxa" w:w="40"/>
              <w:right w:type="dxa" w:w="80"/>
            </w:tcMar>
          </w:tcPr>
          <w:p>
            <w:r>
              <w:rPr>
                <w:b w:val="false"/>
                <w:bCs w:val="false"/>
                <w:sz w:val="20"/>
                <w:szCs w:val="20"/>
              </w:rPr>
              <w:t xml:space="preserve">Agusan del Norte</w:t>
            </w:r>
          </w:p>
        </w:tc>
        <w:tc>
          <w:tcPr>
            <w:tcW w:type="dxa" w:w="1800"/>
            <w:tcMar>
              <w:top w:type="dxa" w:w="40"/>
              <w:left w:type="dxa" w:w="80"/>
              <w:bottom w:type="dxa" w:w="40"/>
              <w:right w:type="dxa" w:w="80"/>
            </w:tcMar>
          </w:tcPr>
          <w:p>
            <w:r>
              <w:rPr>
                <w:b w:val="false"/>
                <w:bCs w:val="false"/>
                <w:sz w:val="20"/>
                <w:szCs w:val="20"/>
              </w:rPr>
              <w:t xml:space="preserve">44.3%</w:t>
            </w:r>
          </w:p>
        </w:tc>
        <w:tc>
          <w:tcPr>
            <w:tcW w:type="dxa" w:w="1800"/>
            <w:tcMar>
              <w:top w:type="dxa" w:w="40"/>
              <w:left w:type="dxa" w:w="80"/>
              <w:bottom w:type="dxa" w:w="40"/>
              <w:right w:type="dxa" w:w="80"/>
            </w:tcMar>
          </w:tcPr>
          <w:p>
            <w:r>
              <w:rPr>
                <w:b w:val="false"/>
                <w:bCs w:val="false"/>
                <w:sz w:val="20"/>
                <w:szCs w:val="20"/>
              </w:rPr>
              <w:t xml:space="preserve">32.2%</w:t>
            </w:r>
          </w:p>
        </w:tc>
        <w:tc>
          <w:tcPr>
            <w:tcW w:type="dxa" w:w="2000"/>
            <w:tcMar>
              <w:top w:type="dxa" w:w="40"/>
              <w:left w:type="dxa" w:w="80"/>
              <w:bottom w:type="dxa" w:w="40"/>
              <w:right w:type="dxa" w:w="80"/>
            </w:tcMar>
          </w:tcPr>
          <w:p>
            <w:r>
              <w:rPr>
                <w:b w:val="false"/>
                <w:bCs w:val="false"/>
                <w:sz w:val="20"/>
                <w:szCs w:val="20"/>
              </w:rPr>
              <w:t xml:space="preserve">+12.0</w:t>
            </w:r>
          </w:p>
        </w:tc>
      </w:tr>
      <w:tr>
        <w:trPr>
          <w:tblHeader w:val="off"/>
        </w:trPr>
        <w:tc>
          <w:tcPr>
            <w:tcW w:type="dxa" w:w="3426"/>
            <w:tcMar>
              <w:top w:type="dxa" w:w="40"/>
              <w:left w:type="dxa" w:w="80"/>
              <w:bottom w:type="dxa" w:w="40"/>
              <w:right w:type="dxa" w:w="80"/>
            </w:tcMar>
          </w:tcPr>
          <w:p>
            <w:r>
              <w:rPr>
                <w:b w:val="false"/>
                <w:bCs w:val="false"/>
                <w:sz w:val="20"/>
                <w:szCs w:val="20"/>
              </w:rPr>
              <w:t xml:space="preserve">Zamboanga del Sur</w:t>
            </w:r>
          </w:p>
        </w:tc>
        <w:tc>
          <w:tcPr>
            <w:tcW w:type="dxa" w:w="1800"/>
            <w:tcMar>
              <w:top w:type="dxa" w:w="40"/>
              <w:left w:type="dxa" w:w="80"/>
              <w:bottom w:type="dxa" w:w="40"/>
              <w:right w:type="dxa" w:w="80"/>
            </w:tcMar>
          </w:tcPr>
          <w:p>
            <w:r>
              <w:rPr>
                <w:b w:val="false"/>
                <w:bCs w:val="false"/>
                <w:sz w:val="20"/>
                <w:szCs w:val="20"/>
              </w:rPr>
              <w:t xml:space="preserve">48.9%</w:t>
            </w:r>
          </w:p>
        </w:tc>
        <w:tc>
          <w:tcPr>
            <w:tcW w:type="dxa" w:w="1800"/>
            <w:tcMar>
              <w:top w:type="dxa" w:w="40"/>
              <w:left w:type="dxa" w:w="80"/>
              <w:bottom w:type="dxa" w:w="40"/>
              <w:right w:type="dxa" w:w="80"/>
            </w:tcMar>
          </w:tcPr>
          <w:p>
            <w:r>
              <w:rPr>
                <w:b w:val="false"/>
                <w:bCs w:val="false"/>
                <w:sz w:val="20"/>
                <w:szCs w:val="20"/>
              </w:rPr>
              <w:t xml:space="preserve">37.0%</w:t>
            </w:r>
          </w:p>
        </w:tc>
        <w:tc>
          <w:tcPr>
            <w:tcW w:type="dxa" w:w="2000"/>
            <w:tcMar>
              <w:top w:type="dxa" w:w="40"/>
              <w:left w:type="dxa" w:w="80"/>
              <w:bottom w:type="dxa" w:w="40"/>
              <w:right w:type="dxa" w:w="80"/>
            </w:tcMar>
          </w:tcPr>
          <w:p>
            <w:r>
              <w:rPr>
                <w:b w:val="false"/>
                <w:bCs w:val="false"/>
                <w:sz w:val="20"/>
                <w:szCs w:val="20"/>
              </w:rPr>
              <w:t xml:space="preserve">+12.0</w:t>
            </w:r>
          </w:p>
        </w:tc>
      </w:tr>
      <w:tr>
        <w:trPr>
          <w:tblHeader w:val="off"/>
        </w:trPr>
        <w:tc>
          <w:tcPr>
            <w:tcW w:type="dxa" w:w="3426"/>
            <w:tcMar>
              <w:top w:type="dxa" w:w="40"/>
              <w:left w:type="dxa" w:w="80"/>
              <w:bottom w:type="dxa" w:w="40"/>
              <w:right w:type="dxa" w:w="80"/>
            </w:tcMar>
          </w:tcPr>
          <w:p>
            <w:r>
              <w:rPr>
                <w:b w:val="false"/>
                <w:bCs w:val="false"/>
                <w:sz w:val="20"/>
                <w:szCs w:val="20"/>
              </w:rPr>
              <w:t xml:space="preserve">Samar (Western)</w:t>
            </w:r>
          </w:p>
        </w:tc>
        <w:tc>
          <w:tcPr>
            <w:tcW w:type="dxa" w:w="1800"/>
            <w:tcMar>
              <w:top w:type="dxa" w:w="40"/>
              <w:left w:type="dxa" w:w="80"/>
              <w:bottom w:type="dxa" w:w="40"/>
              <w:right w:type="dxa" w:w="80"/>
            </w:tcMar>
          </w:tcPr>
          <w:p>
            <w:r>
              <w:rPr>
                <w:b w:val="false"/>
                <w:bCs w:val="false"/>
                <w:sz w:val="20"/>
                <w:szCs w:val="20"/>
              </w:rPr>
              <w:t xml:space="preserve">46.1%</w:t>
            </w:r>
          </w:p>
        </w:tc>
        <w:tc>
          <w:tcPr>
            <w:tcW w:type="dxa" w:w="1800"/>
            <w:tcMar>
              <w:top w:type="dxa" w:w="40"/>
              <w:left w:type="dxa" w:w="80"/>
              <w:bottom w:type="dxa" w:w="40"/>
              <w:right w:type="dxa" w:w="80"/>
            </w:tcMar>
          </w:tcPr>
          <w:p>
            <w:r>
              <w:rPr>
                <w:b w:val="false"/>
                <w:bCs w:val="false"/>
                <w:sz w:val="20"/>
                <w:szCs w:val="20"/>
              </w:rPr>
              <w:t xml:space="preserve">34.1%</w:t>
            </w:r>
          </w:p>
        </w:tc>
        <w:tc>
          <w:tcPr>
            <w:tcW w:type="dxa" w:w="2000"/>
            <w:tcMar>
              <w:top w:type="dxa" w:w="40"/>
              <w:left w:type="dxa" w:w="80"/>
              <w:bottom w:type="dxa" w:w="40"/>
              <w:right w:type="dxa" w:w="80"/>
            </w:tcMar>
          </w:tcPr>
          <w:p>
            <w:r>
              <w:rPr>
                <w:b w:val="false"/>
                <w:bCs w:val="false"/>
                <w:sz w:val="20"/>
                <w:szCs w:val="20"/>
              </w:rPr>
              <w:t xml:space="preserve">+11.9</w:t>
            </w:r>
          </w:p>
        </w:tc>
      </w:tr>
      <w:tr>
        <w:trPr>
          <w:tblHeader w:val="off"/>
        </w:trPr>
        <w:tc>
          <w:tcPr>
            <w:tcW w:type="dxa" w:w="3426"/>
            <w:tcMar>
              <w:top w:type="dxa" w:w="40"/>
              <w:left w:type="dxa" w:w="80"/>
              <w:bottom w:type="dxa" w:w="40"/>
              <w:right w:type="dxa" w:w="80"/>
            </w:tcMar>
          </w:tcPr>
          <w:p>
            <w:r>
              <w:rPr>
                <w:b w:val="false"/>
                <w:bCs w:val="false"/>
                <w:sz w:val="20"/>
                <w:szCs w:val="20"/>
              </w:rPr>
              <w:t xml:space="preserve">Apayao</w:t>
            </w:r>
          </w:p>
        </w:tc>
        <w:tc>
          <w:tcPr>
            <w:tcW w:type="dxa" w:w="1800"/>
            <w:tcMar>
              <w:top w:type="dxa" w:w="40"/>
              <w:left w:type="dxa" w:w="80"/>
              <w:bottom w:type="dxa" w:w="40"/>
              <w:right w:type="dxa" w:w="80"/>
            </w:tcMar>
          </w:tcPr>
          <w:p>
            <w:r>
              <w:rPr>
                <w:b w:val="false"/>
                <w:bCs w:val="false"/>
                <w:sz w:val="20"/>
                <w:szCs w:val="20"/>
              </w:rPr>
              <w:t xml:space="preserve">13.2%</w:t>
            </w:r>
          </w:p>
        </w:tc>
        <w:tc>
          <w:tcPr>
            <w:tcW w:type="dxa" w:w="1800"/>
            <w:tcMar>
              <w:top w:type="dxa" w:w="40"/>
              <w:left w:type="dxa" w:w="80"/>
              <w:bottom w:type="dxa" w:w="40"/>
              <w:right w:type="dxa" w:w="80"/>
            </w:tcMar>
          </w:tcPr>
          <w:p>
            <w:r>
              <w:rPr>
                <w:b w:val="false"/>
                <w:bCs w:val="false"/>
                <w:sz w:val="20"/>
                <w:szCs w:val="20"/>
              </w:rPr>
              <w:t xml:space="preserve">30.9%</w:t>
            </w:r>
          </w:p>
        </w:tc>
        <w:tc>
          <w:tcPr>
            <w:tcW w:type="dxa" w:w="2000"/>
            <w:tcMar>
              <w:top w:type="dxa" w:w="40"/>
              <w:left w:type="dxa" w:w="80"/>
              <w:bottom w:type="dxa" w:w="40"/>
              <w:right w:type="dxa" w:w="80"/>
            </w:tcMar>
          </w:tcPr>
          <w:p>
            <w:r>
              <w:rPr>
                <w:b w:val="false"/>
                <w:bCs w:val="false"/>
                <w:sz w:val="20"/>
                <w:szCs w:val="20"/>
              </w:rPr>
              <w:t xml:space="preserve">-17.8</w:t>
            </w:r>
          </w:p>
        </w:tc>
      </w:tr>
      <w:tr>
        <w:trPr>
          <w:tblHeader w:val="off"/>
        </w:trPr>
        <w:tc>
          <w:tcPr>
            <w:tcW w:type="dxa" w:w="3426"/>
            <w:tcMar>
              <w:top w:type="dxa" w:w="40"/>
              <w:left w:type="dxa" w:w="80"/>
              <w:bottom w:type="dxa" w:w="40"/>
              <w:right w:type="dxa" w:w="80"/>
            </w:tcMar>
          </w:tcPr>
          <w:p>
            <w:r>
              <w:rPr>
                <w:b w:val="false"/>
                <w:bCs w:val="false"/>
                <w:sz w:val="20"/>
                <w:szCs w:val="20"/>
              </w:rPr>
              <w:t xml:space="preserve">Benguet</w:t>
            </w:r>
          </w:p>
        </w:tc>
        <w:tc>
          <w:tcPr>
            <w:tcW w:type="dxa" w:w="1800"/>
            <w:tcMar>
              <w:top w:type="dxa" w:w="40"/>
              <w:left w:type="dxa" w:w="80"/>
              <w:bottom w:type="dxa" w:w="40"/>
              <w:right w:type="dxa" w:w="80"/>
            </w:tcMar>
          </w:tcPr>
          <w:p>
            <w:r>
              <w:rPr>
                <w:b w:val="false"/>
                <w:bCs w:val="false"/>
                <w:sz w:val="20"/>
                <w:szCs w:val="20"/>
              </w:rPr>
              <w:t xml:space="preserve">12.1%</w:t>
            </w:r>
          </w:p>
        </w:tc>
        <w:tc>
          <w:tcPr>
            <w:tcW w:type="dxa" w:w="1800"/>
            <w:tcMar>
              <w:top w:type="dxa" w:w="40"/>
              <w:left w:type="dxa" w:w="80"/>
              <w:bottom w:type="dxa" w:w="40"/>
              <w:right w:type="dxa" w:w="80"/>
            </w:tcMar>
          </w:tcPr>
          <w:p>
            <w:r>
              <w:rPr>
                <w:b w:val="false"/>
                <w:bCs w:val="false"/>
                <w:sz w:val="20"/>
                <w:szCs w:val="20"/>
              </w:rPr>
              <w:t xml:space="preserve">27.1%</w:t>
            </w:r>
          </w:p>
        </w:tc>
        <w:tc>
          <w:tcPr>
            <w:tcW w:type="dxa" w:w="2000"/>
            <w:tcMar>
              <w:top w:type="dxa" w:w="40"/>
              <w:left w:type="dxa" w:w="80"/>
              <w:bottom w:type="dxa" w:w="40"/>
              <w:right w:type="dxa" w:w="80"/>
            </w:tcMar>
          </w:tcPr>
          <w:p>
            <w:r>
              <w:rPr>
                <w:b w:val="false"/>
                <w:bCs w:val="false"/>
                <w:sz w:val="20"/>
                <w:szCs w:val="20"/>
              </w:rPr>
              <w:t xml:space="preserve">-15.0</w:t>
            </w:r>
          </w:p>
        </w:tc>
      </w:tr>
      <w:tr>
        <w:trPr>
          <w:tblHeader w:val="off"/>
        </w:trPr>
        <w:tc>
          <w:tcPr>
            <w:tcW w:type="dxa" w:w="3426"/>
            <w:tcMar>
              <w:top w:type="dxa" w:w="40"/>
              <w:left w:type="dxa" w:w="80"/>
              <w:bottom w:type="dxa" w:w="40"/>
              <w:right w:type="dxa" w:w="80"/>
            </w:tcMar>
          </w:tcPr>
          <w:p>
            <w:r>
              <w:rPr>
                <w:b w:val="false"/>
                <w:bCs w:val="false"/>
                <w:sz w:val="20"/>
                <w:szCs w:val="20"/>
              </w:rPr>
              <w:t xml:space="preserve">San Juan</w:t>
            </w:r>
          </w:p>
        </w:tc>
        <w:tc>
          <w:tcPr>
            <w:tcW w:type="dxa" w:w="1800"/>
            <w:tcMar>
              <w:top w:type="dxa" w:w="40"/>
              <w:left w:type="dxa" w:w="80"/>
              <w:bottom w:type="dxa" w:w="40"/>
              <w:right w:type="dxa" w:w="80"/>
            </w:tcMar>
          </w:tcPr>
          <w:p>
            <w:r>
              <w:rPr>
                <w:b w:val="false"/>
                <w:bCs w:val="false"/>
                <w:sz w:val="20"/>
                <w:szCs w:val="20"/>
              </w:rPr>
              <w:t xml:space="preserve">5.5%</w:t>
            </w:r>
          </w:p>
        </w:tc>
        <w:tc>
          <w:tcPr>
            <w:tcW w:type="dxa" w:w="1800"/>
            <w:tcMar>
              <w:top w:type="dxa" w:w="40"/>
              <w:left w:type="dxa" w:w="80"/>
              <w:bottom w:type="dxa" w:w="40"/>
              <w:right w:type="dxa" w:w="80"/>
            </w:tcMar>
          </w:tcPr>
          <w:p>
            <w:r>
              <w:rPr>
                <w:b w:val="false"/>
                <w:bCs w:val="false"/>
                <w:sz w:val="20"/>
                <w:szCs w:val="20"/>
              </w:rPr>
              <w:t xml:space="preserve">20.2%</w:t>
            </w:r>
          </w:p>
        </w:tc>
        <w:tc>
          <w:tcPr>
            <w:tcW w:type="dxa" w:w="2000"/>
            <w:tcMar>
              <w:top w:type="dxa" w:w="40"/>
              <w:left w:type="dxa" w:w="80"/>
              <w:bottom w:type="dxa" w:w="40"/>
              <w:right w:type="dxa" w:w="80"/>
            </w:tcMar>
          </w:tcPr>
          <w:p>
            <w:r>
              <w:rPr>
                <w:b w:val="false"/>
                <w:bCs w:val="false"/>
                <w:sz w:val="20"/>
                <w:szCs w:val="20"/>
              </w:rPr>
              <w:t xml:space="preserve">-14.8</w:t>
            </w:r>
          </w:p>
        </w:tc>
      </w:tr>
      <w:tr>
        <w:trPr>
          <w:tblHeader w:val="off"/>
        </w:trPr>
        <w:tc>
          <w:tcPr>
            <w:tcW w:type="dxa" w:w="3426"/>
            <w:tcMar>
              <w:top w:type="dxa" w:w="40"/>
              <w:left w:type="dxa" w:w="80"/>
              <w:bottom w:type="dxa" w:w="40"/>
              <w:right w:type="dxa" w:w="80"/>
            </w:tcMar>
          </w:tcPr>
          <w:p>
            <w:r>
              <w:rPr>
                <w:b w:val="false"/>
                <w:bCs w:val="false"/>
                <w:sz w:val="20"/>
                <w:szCs w:val="20"/>
              </w:rPr>
              <w:t xml:space="preserve">Sulu</w:t>
            </w:r>
          </w:p>
        </w:tc>
        <w:tc>
          <w:tcPr>
            <w:tcW w:type="dxa" w:w="1800"/>
            <w:tcMar>
              <w:top w:type="dxa" w:w="40"/>
              <w:left w:type="dxa" w:w="80"/>
              <w:bottom w:type="dxa" w:w="40"/>
              <w:right w:type="dxa" w:w="80"/>
            </w:tcMar>
          </w:tcPr>
          <w:p>
            <w:r>
              <w:rPr>
                <w:b w:val="false"/>
                <w:bCs w:val="false"/>
                <w:sz w:val="20"/>
                <w:szCs w:val="20"/>
              </w:rPr>
              <w:t xml:space="preserve">22.8%</w:t>
            </w:r>
          </w:p>
        </w:tc>
        <w:tc>
          <w:tcPr>
            <w:tcW w:type="dxa" w:w="1800"/>
            <w:tcMar>
              <w:top w:type="dxa" w:w="40"/>
              <w:left w:type="dxa" w:w="80"/>
              <w:bottom w:type="dxa" w:w="40"/>
              <w:right w:type="dxa" w:w="80"/>
            </w:tcMar>
          </w:tcPr>
          <w:p>
            <w:r>
              <w:rPr>
                <w:b w:val="false"/>
                <w:bCs w:val="false"/>
                <w:sz w:val="20"/>
                <w:szCs w:val="20"/>
              </w:rPr>
              <w:t xml:space="preserve">36.2%</w:t>
            </w:r>
          </w:p>
        </w:tc>
        <w:tc>
          <w:tcPr>
            <w:tcW w:type="dxa" w:w="2000"/>
            <w:tcMar>
              <w:top w:type="dxa" w:w="40"/>
              <w:left w:type="dxa" w:w="80"/>
              <w:bottom w:type="dxa" w:w="40"/>
              <w:right w:type="dxa" w:w="80"/>
            </w:tcMar>
          </w:tcPr>
          <w:p>
            <w:r>
              <w:rPr>
                <w:b w:val="false"/>
                <w:bCs w:val="false"/>
                <w:sz w:val="20"/>
                <w:szCs w:val="20"/>
              </w:rPr>
              <w:t xml:space="preserve">-13.4</w:t>
            </w:r>
          </w:p>
        </w:tc>
      </w:tr>
      <w:tr>
        <w:trPr>
          <w:tblHeader w:val="off"/>
        </w:trPr>
        <w:tc>
          <w:tcPr>
            <w:tcW w:type="dxa" w:w="3426"/>
            <w:tcMar>
              <w:top w:type="dxa" w:w="40"/>
              <w:left w:type="dxa" w:w="80"/>
              <w:bottom w:type="dxa" w:w="40"/>
              <w:right w:type="dxa" w:w="80"/>
            </w:tcMar>
          </w:tcPr>
          <w:p>
            <w:r>
              <w:rPr>
                <w:b w:val="false"/>
                <w:bCs w:val="false"/>
                <w:sz w:val="20"/>
                <w:szCs w:val="20"/>
              </w:rPr>
              <w:t xml:space="preserve">Isabela City</w:t>
            </w:r>
          </w:p>
        </w:tc>
        <w:tc>
          <w:tcPr>
            <w:tcW w:type="dxa" w:w="1800"/>
            <w:tcMar>
              <w:top w:type="dxa" w:w="40"/>
              <w:left w:type="dxa" w:w="80"/>
              <w:bottom w:type="dxa" w:w="40"/>
              <w:right w:type="dxa" w:w="80"/>
            </w:tcMar>
          </w:tcPr>
          <w:p>
            <w:r>
              <w:rPr>
                <w:b w:val="false"/>
                <w:bCs w:val="false"/>
                <w:sz w:val="20"/>
                <w:szCs w:val="20"/>
              </w:rPr>
              <w:t xml:space="preserve">21.9%</w:t>
            </w:r>
          </w:p>
        </w:tc>
        <w:tc>
          <w:tcPr>
            <w:tcW w:type="dxa" w:w="1800"/>
            <w:tcMar>
              <w:top w:type="dxa" w:w="40"/>
              <w:left w:type="dxa" w:w="80"/>
              <w:bottom w:type="dxa" w:w="40"/>
              <w:right w:type="dxa" w:w="80"/>
            </w:tcMar>
          </w:tcPr>
          <w:p>
            <w:r>
              <w:rPr>
                <w:b w:val="false"/>
                <w:bCs w:val="false"/>
                <w:sz w:val="20"/>
                <w:szCs w:val="20"/>
              </w:rPr>
              <w:t xml:space="preserve">35.1%</w:t>
            </w:r>
          </w:p>
        </w:tc>
        <w:tc>
          <w:tcPr>
            <w:tcW w:type="dxa" w:w="2000"/>
            <w:tcMar>
              <w:top w:type="dxa" w:w="40"/>
              <w:left w:type="dxa" w:w="80"/>
              <w:bottom w:type="dxa" w:w="40"/>
              <w:right w:type="dxa" w:w="80"/>
            </w:tcMar>
          </w:tcPr>
          <w:p>
            <w:r>
              <w:rPr>
                <w:b w:val="false"/>
                <w:bCs w:val="false"/>
                <w:sz w:val="20"/>
                <w:szCs w:val="20"/>
              </w:rPr>
              <w:t xml:space="preserve">-13.2</w:t>
            </w:r>
          </w:p>
        </w:tc>
      </w:tr>
    </w:tbl>
    <w:p>
      <w:pPr>
        <w:spacing w:after="200" w:before="60"/>
      </w:pPr>
      <w:r>
        <w:rPr>
          <w:i/>
          <w:iCs/>
          <w:sz w:val="20"/>
          <w:szCs w:val="20"/>
        </w:rPr>
        <w:t xml:space="preserve">Table 4. Largest residuals (observed minus predicted). Source: province_rates_observed_predicted.csv.</w:t>
      </w:r>
    </w:p>
    <w:p>
      <w:pPr>
        <w:jc w:val="center"/>
      </w:pPr>
      <w:r>
        <w:drawing>
          <wp:inline distT="0" distB="0" distL="0" distR="0">
            <wp:extent cx="5715000" cy="28575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200" w:before="60"/>
      </w:pPr>
      <w:r>
        <w:rPr>
          <w:i/>
          <w:iCs/>
          <w:sz w:val="20"/>
          <w:szCs w:val="20"/>
        </w:rPr>
        <w:t xml:space="preserve">Figure 2. Observed and predicted functional illiteracy rates by province and HUC.</w:t>
      </w:r>
    </w:p>
    <w:p>
      <w:pPr>
        <w:pStyle w:val="Heading2"/>
      </w:pPr>
      <w:r>
        <w:t xml:space="preserve">5.4 Spatial clustering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50"/>
        <w:gridCol w:w="1550"/>
        <w:gridCol w:w="1550"/>
        <w:gridCol w:w="1550"/>
      </w:tblGrid>
      <w:tr>
        <w:trPr>
          <w:tblHeader/>
        </w:trPr>
        <w:tc>
          <w:tcPr>
            <w:tcW w:type="dxa" w:w="2826"/>
            <w:shd w:fill="E7E6E6" w:color="auto" w:val="clear"/>
            <w:tcMar>
              <w:top w:type="dxa" w:w="40"/>
              <w:left w:type="dxa" w:w="80"/>
              <w:bottom w:type="dxa" w:w="40"/>
              <w:right w:type="dxa" w:w="80"/>
            </w:tcMar>
          </w:tcPr>
          <w:p>
            <w:r>
              <w:rPr>
                <w:b/>
                <w:bCs/>
                <w:sz w:val="20"/>
                <w:szCs w:val="20"/>
              </w:rPr>
              <w:t xml:space="preserve">Variable</w:t>
            </w:r>
          </w:p>
        </w:tc>
        <w:tc>
          <w:tcPr>
            <w:tcW w:type="dxa" w:w="1550"/>
            <w:shd w:fill="E7E6E6" w:color="auto" w:val="clear"/>
            <w:tcMar>
              <w:top w:type="dxa" w:w="40"/>
              <w:left w:type="dxa" w:w="80"/>
              <w:bottom w:type="dxa" w:w="40"/>
              <w:right w:type="dxa" w:w="80"/>
            </w:tcMar>
          </w:tcPr>
          <w:p>
            <w:r>
              <w:rPr>
                <w:b/>
                <w:bCs/>
                <w:sz w:val="20"/>
                <w:szCs w:val="20"/>
              </w:rPr>
              <w:t xml:space="preserve">Queen I</w:t>
            </w:r>
          </w:p>
        </w:tc>
        <w:tc>
          <w:tcPr>
            <w:tcW w:type="dxa" w:w="1550"/>
            <w:shd w:fill="E7E6E6" w:color="auto" w:val="clear"/>
            <w:tcMar>
              <w:top w:type="dxa" w:w="40"/>
              <w:left w:type="dxa" w:w="80"/>
              <w:bottom w:type="dxa" w:w="40"/>
              <w:right w:type="dxa" w:w="80"/>
            </w:tcMar>
          </w:tcPr>
          <w:p>
            <w:r>
              <w:rPr>
                <w:b/>
                <w:bCs/>
                <w:sz w:val="20"/>
                <w:szCs w:val="20"/>
              </w:rPr>
              <w:t xml:space="preserve">p</w:t>
            </w:r>
          </w:p>
        </w:tc>
        <w:tc>
          <w:tcPr>
            <w:tcW w:type="dxa" w:w="1550"/>
            <w:shd w:fill="E7E6E6" w:color="auto" w:val="clear"/>
            <w:tcMar>
              <w:top w:type="dxa" w:w="40"/>
              <w:left w:type="dxa" w:w="80"/>
              <w:bottom w:type="dxa" w:w="40"/>
              <w:right w:type="dxa" w:w="80"/>
            </w:tcMar>
          </w:tcPr>
          <w:p>
            <w:r>
              <w:rPr>
                <w:b/>
                <w:bCs/>
                <w:sz w:val="20"/>
                <w:szCs w:val="20"/>
              </w:rPr>
              <w:t xml:space="preserve">KNN-6 I</w:t>
            </w:r>
          </w:p>
        </w:tc>
        <w:tc>
          <w:tcPr>
            <w:tcW w:type="dxa" w:w="1550"/>
            <w:shd w:fill="E7E6E6" w:color="auto" w:val="clear"/>
            <w:tcMar>
              <w:top w:type="dxa" w:w="40"/>
              <w:left w:type="dxa" w:w="80"/>
              <w:bottom w:type="dxa" w:w="40"/>
              <w:right w:type="dxa" w:w="80"/>
            </w:tcMar>
          </w:tcPr>
          <w:p>
            <w:r>
              <w:rPr>
                <w:b/>
                <w:bCs/>
                <w:sz w:val="20"/>
                <w:szCs w:val="20"/>
              </w:rPr>
              <w:t xml:space="preserve">p</w:t>
            </w:r>
          </w:p>
        </w:tc>
      </w:tr>
      <w:tr>
        <w:trPr>
          <w:tblHeader w:val="off"/>
        </w:trPr>
        <w:tc>
          <w:tcPr>
            <w:tcW w:type="dxa" w:w="2826"/>
            <w:tcMar>
              <w:top w:type="dxa" w:w="40"/>
              <w:left w:type="dxa" w:w="80"/>
              <w:bottom w:type="dxa" w:w="40"/>
              <w:right w:type="dxa" w:w="80"/>
            </w:tcMar>
          </w:tcPr>
          <w:p>
            <w:r>
              <w:rPr>
                <w:b w:val="false"/>
                <w:bCs w:val="false"/>
                <w:sz w:val="20"/>
                <w:szCs w:val="20"/>
              </w:rPr>
              <w:t xml:space="preserve">Observed rate</w:t>
            </w:r>
          </w:p>
        </w:tc>
        <w:tc>
          <w:tcPr>
            <w:tcW w:type="dxa" w:w="1550"/>
            <w:tcMar>
              <w:top w:type="dxa" w:w="40"/>
              <w:left w:type="dxa" w:w="80"/>
              <w:bottom w:type="dxa" w:w="40"/>
              <w:right w:type="dxa" w:w="80"/>
            </w:tcMar>
          </w:tcPr>
          <w:p>
            <w:r>
              <w:rPr>
                <w:b w:val="false"/>
                <w:bCs w:val="false"/>
                <w:sz w:val="20"/>
                <w:szCs w:val="20"/>
              </w:rPr>
              <w:t xml:space="preserve">0.340</w:t>
            </w:r>
          </w:p>
        </w:tc>
        <w:tc>
          <w:tcPr>
            <w:tcW w:type="dxa" w:w="1550"/>
            <w:tcMar>
              <w:top w:type="dxa" w:w="40"/>
              <w:left w:type="dxa" w:w="80"/>
              <w:bottom w:type="dxa" w:w="40"/>
              <w:right w:type="dxa" w:w="80"/>
            </w:tcMar>
          </w:tcPr>
          <w:p>
            <w:r>
              <w:rPr>
                <w:b w:val="false"/>
                <w:bCs w:val="false"/>
                <w:sz w:val="20"/>
                <w:szCs w:val="20"/>
              </w:rPr>
              <w:t xml:space="preserve">0.0001</w:t>
            </w:r>
          </w:p>
        </w:tc>
        <w:tc>
          <w:tcPr>
            <w:tcW w:type="dxa" w:w="1550"/>
            <w:tcMar>
              <w:top w:type="dxa" w:w="40"/>
              <w:left w:type="dxa" w:w="80"/>
              <w:bottom w:type="dxa" w:w="40"/>
              <w:right w:type="dxa" w:w="80"/>
            </w:tcMar>
          </w:tcPr>
          <w:p>
            <w:r>
              <w:rPr>
                <w:b w:val="false"/>
                <w:bCs w:val="false"/>
                <w:sz w:val="20"/>
                <w:szCs w:val="20"/>
              </w:rPr>
              <w:t xml:space="preserve">0.375</w:t>
            </w:r>
          </w:p>
        </w:tc>
        <w:tc>
          <w:tcPr>
            <w:tcW w:type="dxa" w:w="1550"/>
            <w:tcMar>
              <w:top w:type="dxa" w:w="40"/>
              <w:left w:type="dxa" w:w="80"/>
              <w:bottom w:type="dxa" w:w="40"/>
              <w:right w:type="dxa" w:w="80"/>
            </w:tcMar>
          </w:tcPr>
          <w:p>
            <w:r>
              <w:rPr>
                <w:b w:val="false"/>
                <w:bCs w:val="false"/>
                <w:sz w:val="20"/>
                <w:szCs w:val="20"/>
              </w:rPr>
              <w:t xml:space="preserve">0.0001</w:t>
            </w:r>
          </w:p>
        </w:tc>
      </w:tr>
      <w:tr>
        <w:trPr>
          <w:tblHeader w:val="off"/>
        </w:trPr>
        <w:tc>
          <w:tcPr>
            <w:tcW w:type="dxa" w:w="2826"/>
            <w:tcMar>
              <w:top w:type="dxa" w:w="40"/>
              <w:left w:type="dxa" w:w="80"/>
              <w:bottom w:type="dxa" w:w="40"/>
              <w:right w:type="dxa" w:w="80"/>
            </w:tcMar>
          </w:tcPr>
          <w:p>
            <w:r>
              <w:rPr>
                <w:b w:val="false"/>
                <w:bCs w:val="false"/>
                <w:sz w:val="20"/>
                <w:szCs w:val="20"/>
              </w:rPr>
              <w:t xml:space="preserve">Predicted rate</w:t>
            </w:r>
          </w:p>
        </w:tc>
        <w:tc>
          <w:tcPr>
            <w:tcW w:type="dxa" w:w="1550"/>
            <w:tcMar>
              <w:top w:type="dxa" w:w="40"/>
              <w:left w:type="dxa" w:w="80"/>
              <w:bottom w:type="dxa" w:w="40"/>
              <w:right w:type="dxa" w:w="80"/>
            </w:tcMar>
          </w:tcPr>
          <w:p>
            <w:r>
              <w:rPr>
                <w:b w:val="false"/>
                <w:bCs w:val="false"/>
                <w:sz w:val="20"/>
                <w:szCs w:val="20"/>
              </w:rPr>
              <w:t xml:space="preserve">0.649</w:t>
            </w:r>
          </w:p>
        </w:tc>
        <w:tc>
          <w:tcPr>
            <w:tcW w:type="dxa" w:w="1550"/>
            <w:tcMar>
              <w:top w:type="dxa" w:w="40"/>
              <w:left w:type="dxa" w:w="80"/>
              <w:bottom w:type="dxa" w:w="40"/>
              <w:right w:type="dxa" w:w="80"/>
            </w:tcMar>
          </w:tcPr>
          <w:p>
            <w:r>
              <w:rPr>
                <w:b w:val="false"/>
                <w:bCs w:val="false"/>
                <w:sz w:val="20"/>
                <w:szCs w:val="20"/>
              </w:rPr>
              <w:t xml:space="preserve">0.0001</w:t>
            </w:r>
          </w:p>
        </w:tc>
        <w:tc>
          <w:tcPr>
            <w:tcW w:type="dxa" w:w="1550"/>
            <w:tcMar>
              <w:top w:type="dxa" w:w="40"/>
              <w:left w:type="dxa" w:w="80"/>
              <w:bottom w:type="dxa" w:w="40"/>
              <w:right w:type="dxa" w:w="80"/>
            </w:tcMar>
          </w:tcPr>
          <w:p>
            <w:r>
              <w:rPr>
                <w:b w:val="false"/>
                <w:bCs w:val="false"/>
                <w:sz w:val="20"/>
                <w:szCs w:val="20"/>
              </w:rPr>
              <w:t xml:space="preserve">0.608</w:t>
            </w:r>
          </w:p>
        </w:tc>
        <w:tc>
          <w:tcPr>
            <w:tcW w:type="dxa" w:w="1550"/>
            <w:tcMar>
              <w:top w:type="dxa" w:w="40"/>
              <w:left w:type="dxa" w:w="80"/>
              <w:bottom w:type="dxa" w:w="40"/>
              <w:right w:type="dxa" w:w="80"/>
            </w:tcMar>
          </w:tcPr>
          <w:p>
            <w:r>
              <w:rPr>
                <w:b w:val="false"/>
                <w:bCs w:val="false"/>
                <w:sz w:val="20"/>
                <w:szCs w:val="20"/>
              </w:rPr>
              <w:t xml:space="preserve">0.0001</w:t>
            </w:r>
          </w:p>
        </w:tc>
      </w:tr>
      <w:tr>
        <w:trPr>
          <w:tblHeader w:val="off"/>
        </w:trPr>
        <w:tc>
          <w:tcPr>
            <w:tcW w:type="dxa" w:w="2826"/>
            <w:tcMar>
              <w:top w:type="dxa" w:w="40"/>
              <w:left w:type="dxa" w:w="80"/>
              <w:bottom w:type="dxa" w:w="40"/>
              <w:right w:type="dxa" w:w="80"/>
            </w:tcMar>
          </w:tcPr>
          <w:p>
            <w:r>
              <w:rPr>
                <w:b w:val="false"/>
                <w:bCs w:val="false"/>
                <w:sz w:val="20"/>
                <w:szCs w:val="20"/>
              </w:rPr>
              <w:t xml:space="preserve">Residual</w:t>
            </w:r>
          </w:p>
        </w:tc>
        <w:tc>
          <w:tcPr>
            <w:tcW w:type="dxa" w:w="1550"/>
            <w:tcMar>
              <w:top w:type="dxa" w:w="40"/>
              <w:left w:type="dxa" w:w="80"/>
              <w:bottom w:type="dxa" w:w="40"/>
              <w:right w:type="dxa" w:w="80"/>
            </w:tcMar>
          </w:tcPr>
          <w:p>
            <w:r>
              <w:rPr>
                <w:b w:val="false"/>
                <w:bCs w:val="false"/>
                <w:sz w:val="20"/>
                <w:szCs w:val="20"/>
              </w:rPr>
              <w:t xml:space="preserve">0.114</w:t>
            </w:r>
          </w:p>
        </w:tc>
        <w:tc>
          <w:tcPr>
            <w:tcW w:type="dxa" w:w="1550"/>
            <w:tcMar>
              <w:top w:type="dxa" w:w="40"/>
              <w:left w:type="dxa" w:w="80"/>
              <w:bottom w:type="dxa" w:w="40"/>
              <w:right w:type="dxa" w:w="80"/>
            </w:tcMar>
          </w:tcPr>
          <w:p>
            <w:r>
              <w:rPr>
                <w:b w:val="false"/>
                <w:bCs w:val="false"/>
                <w:sz w:val="20"/>
                <w:szCs w:val="20"/>
              </w:rPr>
              <w:t xml:space="preserve">0.063</w:t>
            </w:r>
          </w:p>
        </w:tc>
        <w:tc>
          <w:tcPr>
            <w:tcW w:type="dxa" w:w="1550"/>
            <w:tcMar>
              <w:top w:type="dxa" w:w="40"/>
              <w:left w:type="dxa" w:w="80"/>
              <w:bottom w:type="dxa" w:w="40"/>
              <w:right w:type="dxa" w:w="80"/>
            </w:tcMar>
          </w:tcPr>
          <w:p>
            <w:r>
              <w:rPr>
                <w:b w:val="false"/>
                <w:bCs w:val="false"/>
                <w:sz w:val="20"/>
                <w:szCs w:val="20"/>
              </w:rPr>
              <w:t xml:space="preserve">0.125</w:t>
            </w:r>
          </w:p>
        </w:tc>
        <w:tc>
          <w:tcPr>
            <w:tcW w:type="dxa" w:w="1550"/>
            <w:tcMar>
              <w:top w:type="dxa" w:w="40"/>
              <w:left w:type="dxa" w:w="80"/>
              <w:bottom w:type="dxa" w:w="40"/>
              <w:right w:type="dxa" w:w="80"/>
            </w:tcMar>
          </w:tcPr>
          <w:p>
            <w:r>
              <w:rPr>
                <w:b w:val="false"/>
                <w:bCs w:val="false"/>
                <w:sz w:val="20"/>
                <w:szCs w:val="20"/>
              </w:rPr>
              <w:t xml:space="preserve">0.006</w:t>
            </w:r>
          </w:p>
        </w:tc>
      </w:tr>
    </w:tbl>
    <w:p>
      <w:pPr>
        <w:spacing w:after="200" w:before="60"/>
      </w:pPr>
      <w:r>
        <w:rPr>
          <w:i/>
          <w:iCs/>
          <w:sz w:val="20"/>
          <w:szCs w:val="20"/>
        </w:rPr>
        <w:t xml:space="preserve">Table 5. Global Moran's I, 9,999 permutations. Source: global_morans_i.csv.</w:t>
      </w:r>
    </w:p>
    <w:p>
      <w:pPr>
        <w:spacing w:after="120"/>
      </w:pPr>
      <w:r>
        <w:t xml:space="preserve">Observed illiteracy clusters in space, and predicted rates cluster almost twice as strongly. Residual clustering is weak, so place-level factors outside the model add only a modest spatial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shd w:fill="E7E6E6" w:color="auto" w:val="clear"/>
            <w:tcMar>
              <w:top w:type="dxa" w:w="40"/>
              <w:left w:type="dxa" w:w="80"/>
              <w:bottom w:type="dxa" w:w="40"/>
              <w:right w:type="dxa" w:w="80"/>
            </w:tcMar>
          </w:tcPr>
          <w:p>
            <w:r>
              <w:rPr>
                <w:b/>
                <w:bCs/>
                <w:sz w:val="20"/>
                <w:szCs w:val="20"/>
              </w:rPr>
              <w:t xml:space="preserve">Variable</w:t>
            </w:r>
          </w:p>
        </w:tc>
        <w:tc>
          <w:tcPr>
            <w:tcW w:type="dxa" w:w="1500"/>
            <w:shd w:fill="E7E6E6" w:color="auto" w:val="clear"/>
            <w:tcMar>
              <w:top w:type="dxa" w:w="40"/>
              <w:left w:type="dxa" w:w="80"/>
              <w:bottom w:type="dxa" w:w="40"/>
              <w:right w:type="dxa" w:w="80"/>
            </w:tcMar>
          </w:tcPr>
          <w:p>
            <w:r>
              <w:rPr>
                <w:b/>
                <w:bCs/>
                <w:sz w:val="20"/>
                <w:szCs w:val="20"/>
              </w:rPr>
              <w:t xml:space="preserve">High-High</w:t>
            </w:r>
          </w:p>
        </w:tc>
        <w:tc>
          <w:tcPr>
            <w:tcW w:type="dxa" w:w="1500"/>
            <w:shd w:fill="E7E6E6" w:color="auto" w:val="clear"/>
            <w:tcMar>
              <w:top w:type="dxa" w:w="40"/>
              <w:left w:type="dxa" w:w="80"/>
              <w:bottom w:type="dxa" w:w="40"/>
              <w:right w:type="dxa" w:w="80"/>
            </w:tcMar>
          </w:tcPr>
          <w:p>
            <w:r>
              <w:rPr>
                <w:b/>
                <w:bCs/>
                <w:sz w:val="20"/>
                <w:szCs w:val="20"/>
              </w:rPr>
              <w:t xml:space="preserve">Low-Low</w:t>
            </w:r>
          </w:p>
        </w:tc>
        <w:tc>
          <w:tcPr>
            <w:tcW w:type="dxa" w:w="1500"/>
            <w:shd w:fill="E7E6E6" w:color="auto" w:val="clear"/>
            <w:tcMar>
              <w:top w:type="dxa" w:w="40"/>
              <w:left w:type="dxa" w:w="80"/>
              <w:bottom w:type="dxa" w:w="40"/>
              <w:right w:type="dxa" w:w="80"/>
            </w:tcMar>
          </w:tcPr>
          <w:p>
            <w:r>
              <w:rPr>
                <w:b/>
                <w:bCs/>
                <w:sz w:val="20"/>
                <w:szCs w:val="20"/>
              </w:rPr>
              <w:t xml:space="preserve">Low-High</w:t>
            </w:r>
          </w:p>
        </w:tc>
        <w:tc>
          <w:tcPr>
            <w:tcW w:type="dxa" w:w="1500"/>
            <w:shd w:fill="E7E6E6" w:color="auto" w:val="clear"/>
            <w:tcMar>
              <w:top w:type="dxa" w:w="40"/>
              <w:left w:type="dxa" w:w="80"/>
              <w:bottom w:type="dxa" w:w="40"/>
              <w:right w:type="dxa" w:w="80"/>
            </w:tcMar>
          </w:tcPr>
          <w:p>
            <w:r>
              <w:rPr>
                <w:b/>
                <w:bCs/>
                <w:sz w:val="20"/>
                <w:szCs w:val="20"/>
              </w:rPr>
              <w:t xml:space="preserve">High-Low</w:t>
            </w:r>
          </w:p>
        </w:tc>
      </w:tr>
      <w:tr>
        <w:trPr>
          <w:tblHeader w:val="off"/>
        </w:trPr>
        <w:tc>
          <w:tcPr>
            <w:tcW w:type="dxa" w:w="3026"/>
            <w:tcMar>
              <w:top w:type="dxa" w:w="40"/>
              <w:left w:type="dxa" w:w="80"/>
              <w:bottom w:type="dxa" w:w="40"/>
              <w:right w:type="dxa" w:w="80"/>
            </w:tcMar>
          </w:tcPr>
          <w:p>
            <w:r>
              <w:rPr>
                <w:b w:val="false"/>
                <w:bCs w:val="false"/>
                <w:sz w:val="20"/>
                <w:szCs w:val="20"/>
              </w:rPr>
              <w:t xml:space="preserve">Observed rate, p &lt; 0.05</w:t>
            </w:r>
          </w:p>
        </w:tc>
        <w:tc>
          <w:tcPr>
            <w:tcW w:type="dxa" w:w="1500"/>
            <w:tcMar>
              <w:top w:type="dxa" w:w="40"/>
              <w:left w:type="dxa" w:w="80"/>
              <w:bottom w:type="dxa" w:w="40"/>
              <w:right w:type="dxa" w:w="80"/>
            </w:tcMar>
          </w:tcPr>
          <w:p>
            <w:r>
              <w:rPr>
                <w:b w:val="false"/>
                <w:bCs w:val="false"/>
                <w:sz w:val="20"/>
                <w:szCs w:val="20"/>
              </w:rPr>
              <w:t xml:space="preserve">11</w:t>
            </w:r>
          </w:p>
        </w:tc>
        <w:tc>
          <w:tcPr>
            <w:tcW w:type="dxa" w:w="1500"/>
            <w:tcMar>
              <w:top w:type="dxa" w:w="40"/>
              <w:left w:type="dxa" w:w="80"/>
              <w:bottom w:type="dxa" w:w="40"/>
              <w:right w:type="dxa" w:w="80"/>
            </w:tcMar>
          </w:tcPr>
          <w:p>
            <w:r>
              <w:rPr>
                <w:b w:val="false"/>
                <w:bCs w:val="false"/>
                <w:sz w:val="20"/>
                <w:szCs w:val="20"/>
              </w:rPr>
              <w:t xml:space="preserve">17</w:t>
            </w:r>
          </w:p>
        </w:tc>
        <w:tc>
          <w:tcPr>
            <w:tcW w:type="dxa" w:w="1500"/>
            <w:tcMar>
              <w:top w:type="dxa" w:w="40"/>
              <w:left w:type="dxa" w:w="80"/>
              <w:bottom w:type="dxa" w:w="40"/>
              <w:right w:type="dxa" w:w="80"/>
            </w:tcMar>
          </w:tcPr>
          <w:p>
            <w:r>
              <w:rPr>
                <w:b w:val="false"/>
                <w:bCs w:val="false"/>
                <w:sz w:val="20"/>
                <w:szCs w:val="20"/>
              </w:rPr>
              <w:t xml:space="preserve">4</w:t>
            </w:r>
          </w:p>
        </w:tc>
        <w:tc>
          <w:tcPr>
            <w:tcW w:type="dxa" w:w="1500"/>
            <w:tcMar>
              <w:top w:type="dxa" w:w="40"/>
              <w:left w:type="dxa" w:w="80"/>
              <w:bottom w:type="dxa" w:w="40"/>
              <w:right w:type="dxa" w:w="80"/>
            </w:tcMar>
          </w:tcPr>
          <w:p>
            <w:r>
              <w:rPr>
                <w:b w:val="false"/>
                <w:bCs w:val="false"/>
                <w:sz w:val="20"/>
                <w:szCs w:val="20"/>
              </w:rPr>
              <w:t xml:space="preserve">0</w:t>
            </w:r>
          </w:p>
        </w:tc>
      </w:tr>
      <w:tr>
        <w:trPr>
          <w:tblHeader w:val="off"/>
        </w:trPr>
        <w:tc>
          <w:tcPr>
            <w:tcW w:type="dxa" w:w="3026"/>
            <w:tcMar>
              <w:top w:type="dxa" w:w="40"/>
              <w:left w:type="dxa" w:w="80"/>
              <w:bottom w:type="dxa" w:w="40"/>
              <w:right w:type="dxa" w:w="80"/>
            </w:tcMar>
          </w:tcPr>
          <w:p>
            <w:r>
              <w:rPr>
                <w:b w:val="false"/>
                <w:bCs w:val="false"/>
                <w:sz w:val="20"/>
                <w:szCs w:val="20"/>
              </w:rPr>
              <w:t xml:space="preserve">Observed rate, BH-FDR</w:t>
            </w:r>
          </w:p>
        </w:tc>
        <w:tc>
          <w:tcPr>
            <w:tcW w:type="dxa" w:w="1500"/>
            <w:tcMar>
              <w:top w:type="dxa" w:w="40"/>
              <w:left w:type="dxa" w:w="80"/>
              <w:bottom w:type="dxa" w:w="40"/>
              <w:right w:type="dxa" w:w="80"/>
            </w:tcMar>
          </w:tcPr>
          <w:p>
            <w:r>
              <w:rPr>
                <w:b w:val="false"/>
                <w:bCs w:val="false"/>
                <w:sz w:val="20"/>
                <w:szCs w:val="20"/>
              </w:rPr>
              <w:t xml:space="preserve">0</w:t>
            </w:r>
          </w:p>
        </w:tc>
        <w:tc>
          <w:tcPr>
            <w:tcW w:type="dxa" w:w="1500"/>
            <w:tcMar>
              <w:top w:type="dxa" w:w="40"/>
              <w:left w:type="dxa" w:w="80"/>
              <w:bottom w:type="dxa" w:w="40"/>
              <w:right w:type="dxa" w:w="80"/>
            </w:tcMar>
          </w:tcPr>
          <w:p>
            <w:r>
              <w:rPr>
                <w:b w:val="false"/>
                <w:bCs w:val="false"/>
                <w:sz w:val="20"/>
                <w:szCs w:val="20"/>
              </w:rPr>
              <w:t xml:space="preserve">8</w:t>
            </w:r>
          </w:p>
        </w:tc>
        <w:tc>
          <w:tcPr>
            <w:tcW w:type="dxa" w:w="1500"/>
            <w:tcMar>
              <w:top w:type="dxa" w:w="40"/>
              <w:left w:type="dxa" w:w="80"/>
              <w:bottom w:type="dxa" w:w="40"/>
              <w:right w:type="dxa" w:w="80"/>
            </w:tcMar>
          </w:tcPr>
          <w:p>
            <w:r>
              <w:rPr>
                <w:b w:val="false"/>
                <w:bCs w:val="false"/>
                <w:sz w:val="20"/>
                <w:szCs w:val="20"/>
              </w:rPr>
              <w:t xml:space="preserve">1</w:t>
            </w:r>
          </w:p>
        </w:tc>
        <w:tc>
          <w:tcPr>
            <w:tcW w:type="dxa" w:w="1500"/>
            <w:tcMar>
              <w:top w:type="dxa" w:w="40"/>
              <w:left w:type="dxa" w:w="80"/>
              <w:bottom w:type="dxa" w:w="40"/>
              <w:right w:type="dxa" w:w="80"/>
            </w:tcMar>
          </w:tcPr>
          <w:p>
            <w:r>
              <w:rPr>
                <w:b w:val="false"/>
                <w:bCs w:val="false"/>
                <w:sz w:val="20"/>
                <w:szCs w:val="20"/>
              </w:rPr>
              <w:t xml:space="preserve">0</w:t>
            </w:r>
          </w:p>
        </w:tc>
      </w:tr>
      <w:tr>
        <w:trPr>
          <w:tblHeader w:val="off"/>
        </w:trPr>
        <w:tc>
          <w:tcPr>
            <w:tcW w:type="dxa" w:w="3026"/>
            <w:tcMar>
              <w:top w:type="dxa" w:w="40"/>
              <w:left w:type="dxa" w:w="80"/>
              <w:bottom w:type="dxa" w:w="40"/>
              <w:right w:type="dxa" w:w="80"/>
            </w:tcMar>
          </w:tcPr>
          <w:p>
            <w:r>
              <w:rPr>
                <w:b w:val="false"/>
                <w:bCs w:val="false"/>
                <w:sz w:val="20"/>
                <w:szCs w:val="20"/>
              </w:rPr>
              <w:t xml:space="preserve">Predicted rate, p &lt; 0.05</w:t>
            </w:r>
          </w:p>
        </w:tc>
        <w:tc>
          <w:tcPr>
            <w:tcW w:type="dxa" w:w="1500"/>
            <w:tcMar>
              <w:top w:type="dxa" w:w="40"/>
              <w:left w:type="dxa" w:w="80"/>
              <w:bottom w:type="dxa" w:w="40"/>
              <w:right w:type="dxa" w:w="80"/>
            </w:tcMar>
          </w:tcPr>
          <w:p>
            <w:r>
              <w:rPr>
                <w:b w:val="false"/>
                <w:bCs w:val="false"/>
                <w:sz w:val="20"/>
                <w:szCs w:val="20"/>
              </w:rPr>
              <w:t xml:space="preserve">16</w:t>
            </w:r>
          </w:p>
        </w:tc>
        <w:tc>
          <w:tcPr>
            <w:tcW w:type="dxa" w:w="1500"/>
            <w:tcMar>
              <w:top w:type="dxa" w:w="40"/>
              <w:left w:type="dxa" w:w="80"/>
              <w:bottom w:type="dxa" w:w="40"/>
              <w:right w:type="dxa" w:w="80"/>
            </w:tcMar>
          </w:tcPr>
          <w:p>
            <w:r>
              <w:rPr>
                <w:b w:val="false"/>
                <w:bCs w:val="false"/>
                <w:sz w:val="20"/>
                <w:szCs w:val="20"/>
              </w:rPr>
              <w:t xml:space="preserve">21</w:t>
            </w:r>
          </w:p>
        </w:tc>
        <w:tc>
          <w:tcPr>
            <w:tcW w:type="dxa" w:w="1500"/>
            <w:tcMar>
              <w:top w:type="dxa" w:w="40"/>
              <w:left w:type="dxa" w:w="80"/>
              <w:bottom w:type="dxa" w:w="40"/>
              <w:right w:type="dxa" w:w="80"/>
            </w:tcMar>
          </w:tcPr>
          <w:p>
            <w:r>
              <w:rPr>
                <w:b w:val="false"/>
                <w:bCs w:val="false"/>
                <w:sz w:val="20"/>
                <w:szCs w:val="20"/>
              </w:rPr>
              <w:t xml:space="preserve">0</w:t>
            </w:r>
          </w:p>
        </w:tc>
        <w:tc>
          <w:tcPr>
            <w:tcW w:type="dxa" w:w="1500"/>
            <w:tcMar>
              <w:top w:type="dxa" w:w="40"/>
              <w:left w:type="dxa" w:w="80"/>
              <w:bottom w:type="dxa" w:w="40"/>
              <w:right w:type="dxa" w:w="80"/>
            </w:tcMar>
          </w:tcPr>
          <w:p>
            <w:r>
              <w:rPr>
                <w:b w:val="false"/>
                <w:bCs w:val="false"/>
                <w:sz w:val="20"/>
                <w:szCs w:val="20"/>
              </w:rPr>
              <w:t xml:space="preserve">0</w:t>
            </w:r>
          </w:p>
        </w:tc>
      </w:tr>
      <w:tr>
        <w:trPr>
          <w:tblHeader w:val="off"/>
        </w:trPr>
        <w:tc>
          <w:tcPr>
            <w:tcW w:type="dxa" w:w="3026"/>
            <w:tcMar>
              <w:top w:type="dxa" w:w="40"/>
              <w:left w:type="dxa" w:w="80"/>
              <w:bottom w:type="dxa" w:w="40"/>
              <w:right w:type="dxa" w:w="80"/>
            </w:tcMar>
          </w:tcPr>
          <w:p>
            <w:r>
              <w:rPr>
                <w:b w:val="false"/>
                <w:bCs w:val="false"/>
                <w:sz w:val="20"/>
                <w:szCs w:val="20"/>
              </w:rPr>
              <w:t xml:space="preserve">Residual, p &lt; 0.05</w:t>
            </w:r>
          </w:p>
        </w:tc>
        <w:tc>
          <w:tcPr>
            <w:tcW w:type="dxa" w:w="1500"/>
            <w:tcMar>
              <w:top w:type="dxa" w:w="40"/>
              <w:left w:type="dxa" w:w="80"/>
              <w:bottom w:type="dxa" w:w="40"/>
              <w:right w:type="dxa" w:w="80"/>
            </w:tcMar>
          </w:tcPr>
          <w:p>
            <w:r>
              <w:rPr>
                <w:b w:val="false"/>
                <w:bCs w:val="false"/>
                <w:sz w:val="20"/>
                <w:szCs w:val="20"/>
              </w:rPr>
              <w:t xml:space="preserve">7</w:t>
            </w:r>
          </w:p>
        </w:tc>
        <w:tc>
          <w:tcPr>
            <w:tcW w:type="dxa" w:w="1500"/>
            <w:tcMar>
              <w:top w:type="dxa" w:w="40"/>
              <w:left w:type="dxa" w:w="80"/>
              <w:bottom w:type="dxa" w:w="40"/>
              <w:right w:type="dxa" w:w="80"/>
            </w:tcMar>
          </w:tcPr>
          <w:p>
            <w:r>
              <w:rPr>
                <w:b w:val="false"/>
                <w:bCs w:val="false"/>
                <w:sz w:val="20"/>
                <w:szCs w:val="20"/>
              </w:rPr>
              <w:t xml:space="preserve">6</w:t>
            </w:r>
          </w:p>
        </w:tc>
        <w:tc>
          <w:tcPr>
            <w:tcW w:type="dxa" w:w="1500"/>
            <w:tcMar>
              <w:top w:type="dxa" w:w="40"/>
              <w:left w:type="dxa" w:w="80"/>
              <w:bottom w:type="dxa" w:w="40"/>
              <w:right w:type="dxa" w:w="80"/>
            </w:tcMar>
          </w:tcPr>
          <w:p>
            <w:r>
              <w:rPr>
                <w:b w:val="false"/>
                <w:bCs w:val="false"/>
                <w:sz w:val="20"/>
                <w:szCs w:val="20"/>
              </w:rPr>
              <w:t xml:space="preserve">5</w:t>
            </w:r>
          </w:p>
        </w:tc>
        <w:tc>
          <w:tcPr>
            <w:tcW w:type="dxa" w:w="1500"/>
            <w:tcMar>
              <w:top w:type="dxa" w:w="40"/>
              <w:left w:type="dxa" w:w="80"/>
              <w:bottom w:type="dxa" w:w="40"/>
              <w:right w:type="dxa" w:w="80"/>
            </w:tcMar>
          </w:tcPr>
          <w:p>
            <w:r>
              <w:rPr>
                <w:b w:val="false"/>
                <w:bCs w:val="false"/>
                <w:sz w:val="20"/>
                <w:szCs w:val="20"/>
              </w:rPr>
              <w:t xml:space="preserve">3</w:t>
            </w:r>
          </w:p>
        </w:tc>
      </w:tr>
      <w:tr>
        <w:trPr>
          <w:tblHeader w:val="off"/>
        </w:trPr>
        <w:tc>
          <w:tcPr>
            <w:tcW w:type="dxa" w:w="3026"/>
            <w:tcMar>
              <w:top w:type="dxa" w:w="40"/>
              <w:left w:type="dxa" w:w="80"/>
              <w:bottom w:type="dxa" w:w="40"/>
              <w:right w:type="dxa" w:w="80"/>
            </w:tcMar>
          </w:tcPr>
          <w:p>
            <w:r>
              <w:rPr>
                <w:b w:val="false"/>
                <w:bCs w:val="false"/>
                <w:sz w:val="20"/>
                <w:szCs w:val="20"/>
              </w:rPr>
              <w:t xml:space="preserve">Residual, BH-FDR</w:t>
            </w:r>
          </w:p>
        </w:tc>
        <w:tc>
          <w:tcPr>
            <w:tcW w:type="dxa" w:w="1500"/>
            <w:tcMar>
              <w:top w:type="dxa" w:w="40"/>
              <w:left w:type="dxa" w:w="80"/>
              <w:bottom w:type="dxa" w:w="40"/>
              <w:right w:type="dxa" w:w="80"/>
            </w:tcMar>
          </w:tcPr>
          <w:p>
            <w:r>
              <w:rPr>
                <w:b w:val="false"/>
                <w:bCs w:val="false"/>
                <w:sz w:val="20"/>
                <w:szCs w:val="20"/>
              </w:rPr>
              <w:t xml:space="preserve">0</w:t>
            </w:r>
          </w:p>
        </w:tc>
        <w:tc>
          <w:tcPr>
            <w:tcW w:type="dxa" w:w="1500"/>
            <w:tcMar>
              <w:top w:type="dxa" w:w="40"/>
              <w:left w:type="dxa" w:w="80"/>
              <w:bottom w:type="dxa" w:w="40"/>
              <w:right w:type="dxa" w:w="80"/>
            </w:tcMar>
          </w:tcPr>
          <w:p>
            <w:r>
              <w:rPr>
                <w:b w:val="false"/>
                <w:bCs w:val="false"/>
                <w:sz w:val="20"/>
                <w:szCs w:val="20"/>
              </w:rPr>
              <w:t xml:space="preserve">0</w:t>
            </w:r>
          </w:p>
        </w:tc>
        <w:tc>
          <w:tcPr>
            <w:tcW w:type="dxa" w:w="1500"/>
            <w:tcMar>
              <w:top w:type="dxa" w:w="40"/>
              <w:left w:type="dxa" w:w="80"/>
              <w:bottom w:type="dxa" w:w="40"/>
              <w:right w:type="dxa" w:w="80"/>
            </w:tcMar>
          </w:tcPr>
          <w:p>
            <w:r>
              <w:rPr>
                <w:b w:val="false"/>
                <w:bCs w:val="false"/>
                <w:sz w:val="20"/>
                <w:szCs w:val="20"/>
              </w:rPr>
              <w:t xml:space="preserve">0</w:t>
            </w:r>
          </w:p>
        </w:tc>
        <w:tc>
          <w:tcPr>
            <w:tcW w:type="dxa" w:w="1500"/>
            <w:tcMar>
              <w:top w:type="dxa" w:w="40"/>
              <w:left w:type="dxa" w:w="80"/>
              <w:bottom w:type="dxa" w:w="40"/>
              <w:right w:type="dxa" w:w="80"/>
            </w:tcMar>
          </w:tcPr>
          <w:p>
            <w:r>
              <w:rPr>
                <w:b w:val="false"/>
                <w:bCs w:val="false"/>
                <w:sz w:val="20"/>
                <w:szCs w:val="20"/>
              </w:rPr>
              <w:t xml:space="preserve">0</w:t>
            </w:r>
          </w:p>
        </w:tc>
      </w:tr>
    </w:tbl>
    <w:p>
      <w:pPr>
        <w:spacing w:after="200" w:before="60"/>
      </w:pPr>
      <w:r>
        <w:rPr>
          <w:i/>
          <w:iCs/>
          <w:sz w:val="20"/>
          <w:szCs w:val="20"/>
        </w:rPr>
        <w:t xml:space="preserve">Table 6. LISA cluster counts, queen weights, 117 units. Source: lisa_clusters.csv.</w:t>
      </w:r>
    </w:p>
    <w:p>
      <w:pPr>
        <w:pStyle w:val="ListParagraph"/>
        <w:numPr>
          <w:ilvl w:val="0"/>
          <w:numId w:val="2"/>
        </w:numPr>
        <w:spacing w:after="60"/>
      </w:pPr>
      <w:r>
        <w:rPr>
          <w:b/>
          <w:bCs/>
        </w:rPr>
        <w:t xml:space="preserve">High-High, observed (11):</w:t>
      </w:r>
      <w:r>
        <w:t xml:space="preserve"> Eastern Samar, Northern Samar, Samar (Western), Leyte; Zamboanga del Norte, Zamboanga del Sur, Zamboanga Sibugay; Davao del Sur, Davao Occidental; Sarangani; Surigao del Norte.</w:t>
      </w:r>
    </w:p>
    <w:p>
      <w:pPr>
        <w:pStyle w:val="ListParagraph"/>
        <w:numPr>
          <w:ilvl w:val="0"/>
          <w:numId w:val="2"/>
        </w:numPr>
        <w:spacing w:after="60"/>
      </w:pPr>
      <w:r>
        <w:rPr>
          <w:b/>
          <w:bCs/>
        </w:rPr>
        <w:t xml:space="preserve">Low-Low, observed (17):</w:t>
      </w:r>
      <w:r>
        <w:t xml:space="preserve"> 13 Metro Manila cities, plus Bulacan, Cavite, Rizal and Baguio City.</w:t>
      </w:r>
    </w:p>
    <w:p>
      <w:pPr>
        <w:pStyle w:val="ListParagraph"/>
        <w:numPr>
          <w:ilvl w:val="0"/>
          <w:numId w:val="2"/>
        </w:numPr>
        <w:spacing w:after="60"/>
      </w:pPr>
      <w:r>
        <w:rPr>
          <w:b/>
          <w:bCs/>
        </w:rPr>
        <w:t xml:space="preserve">High-High, predicted (16):</w:t>
      </w:r>
      <w:r>
        <w:t xml:space="preserve"> shifts toward BARMM and central Mindanao (Lanao del Norte and del Sur, Maguindanao del Norte, Basilan, Sulu, North Cotabato, Sultan Kudarat), plus the Zamboanga and southern Davao units.</w:t>
      </w:r>
    </w:p>
    <w:p>
      <w:pPr>
        <w:pStyle w:val="ListParagraph"/>
        <w:numPr>
          <w:ilvl w:val="0"/>
          <w:numId w:val="2"/>
        </w:numPr>
        <w:spacing w:after="60"/>
      </w:pPr>
      <w:r>
        <w:rPr>
          <w:b/>
          <w:bCs/>
        </w:rPr>
        <w:t xml:space="preserve">Residual High-High (7):</w:t>
      </w:r>
      <w:r>
        <w:t xml:space="preserve"> Eastern, Northern and Western Samar, Biliran, Surigao del Norte, Zamboanga Sibugay, Dinagat Islands.</w:t>
      </w:r>
    </w:p>
    <w:p>
      <w:pPr>
        <w:spacing w:after="120"/>
      </w:pPr>
      <w:r>
        <w:t xml:space="preserve">None of the observed High-High clusters survives FDR correction, while most of the Metro Manila Low-Low cluster does. We therefore report the high-risk clusters as suggestive.</w:t>
      </w:r>
    </w:p>
    <w:p>
      <w:pPr>
        <w:jc w:val="center"/>
      </w:pPr>
      <w:r>
        <w:drawing>
          <wp:inline distT="0" distB="0" distL="0" distR="0">
            <wp:extent cx="5715000" cy="28575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200" w:before="60"/>
      </w:pPr>
      <w:r>
        <w:rPr>
          <w:i/>
          <w:iCs/>
          <w:sz w:val="20"/>
          <w:szCs w:val="20"/>
        </w:rPr>
        <w:t xml:space="preserve">Figure 3. LISA cluster maps, p &lt; 0.05.</w:t>
      </w:r>
    </w:p>
    <w:p>
      <w:pPr>
        <w:pStyle w:val="Heading2"/>
      </w:pPr>
      <w:r>
        <w:t xml:space="preserve">5.5 Scenario simulation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200"/>
        <w:gridCol w:w="2000"/>
        <w:gridCol w:w="2000"/>
      </w:tblGrid>
      <w:tr>
        <w:trPr>
          <w:tblHeader/>
        </w:trPr>
        <w:tc>
          <w:tcPr>
            <w:tcW w:type="dxa" w:w="2826"/>
            <w:shd w:fill="E7E6E6" w:color="auto" w:val="clear"/>
            <w:tcMar>
              <w:top w:type="dxa" w:w="40"/>
              <w:left w:type="dxa" w:w="80"/>
              <w:bottom w:type="dxa" w:w="40"/>
              <w:right w:type="dxa" w:w="80"/>
            </w:tcMar>
          </w:tcPr>
          <w:p>
            <w:r>
              <w:rPr>
                <w:b/>
                <w:bCs/>
                <w:sz w:val="20"/>
                <w:szCs w:val="20"/>
              </w:rPr>
              <w:t xml:space="preserve">Scenario</w:t>
            </w:r>
          </w:p>
        </w:tc>
        <w:tc>
          <w:tcPr>
            <w:tcW w:type="dxa" w:w="2200"/>
            <w:shd w:fill="E7E6E6" w:color="auto" w:val="clear"/>
            <w:tcMar>
              <w:top w:type="dxa" w:w="40"/>
              <w:left w:type="dxa" w:w="80"/>
              <w:bottom w:type="dxa" w:w="40"/>
              <w:right w:type="dxa" w:w="80"/>
            </w:tcMar>
          </w:tcPr>
          <w:p>
            <w:r>
              <w:rPr>
                <w:b/>
                <w:bCs/>
                <w:sz w:val="20"/>
                <w:szCs w:val="20"/>
              </w:rPr>
              <w:t xml:space="preserve">Effect in target units (pp)</w:t>
            </w:r>
          </w:p>
        </w:tc>
        <w:tc>
          <w:tcPr>
            <w:tcW w:type="dxa" w:w="2000"/>
            <w:shd w:fill="E7E6E6" w:color="auto" w:val="clear"/>
            <w:tcMar>
              <w:top w:type="dxa" w:w="40"/>
              <w:left w:type="dxa" w:w="80"/>
              <w:bottom w:type="dxa" w:w="40"/>
              <w:right w:type="dxa" w:w="80"/>
            </w:tcMar>
          </w:tcPr>
          <w:p>
            <w:r>
              <w:rPr>
                <w:b/>
                <w:bCs/>
                <w:sz w:val="20"/>
                <w:szCs w:val="20"/>
              </w:rPr>
              <w:t xml:space="preserve">MC interval (pp)</w:t>
            </w:r>
          </w:p>
        </w:tc>
        <w:tc>
          <w:tcPr>
            <w:tcW w:type="dxa" w:w="2000"/>
            <w:shd w:fill="E7E6E6" w:color="auto" w:val="clear"/>
            <w:tcMar>
              <w:top w:type="dxa" w:w="40"/>
              <w:left w:type="dxa" w:w="80"/>
              <w:bottom w:type="dxa" w:w="40"/>
              <w:right w:type="dxa" w:w="80"/>
            </w:tcMar>
          </w:tcPr>
          <w:p>
            <w:r>
              <w:rPr>
                <w:b/>
                <w:bCs/>
                <w:sz w:val="20"/>
                <w:szCs w:val="20"/>
              </w:rPr>
              <w:t xml:space="preserve">National effect (pp)</w:t>
            </w:r>
          </w:p>
        </w:tc>
      </w:tr>
      <w:tr>
        <w:trPr>
          <w:tblHeader w:val="off"/>
        </w:trPr>
        <w:tc>
          <w:tcPr>
            <w:tcW w:type="dxa" w:w="2826"/>
            <w:tcMar>
              <w:top w:type="dxa" w:w="40"/>
              <w:left w:type="dxa" w:w="80"/>
              <w:bottom w:type="dxa" w:w="40"/>
              <w:right w:type="dxa" w:w="80"/>
            </w:tcMar>
          </w:tcPr>
          <w:p>
            <w:r>
              <w:rPr>
                <w:b w:val="false"/>
                <w:bCs w:val="false"/>
                <w:sz w:val="20"/>
                <w:szCs w:val="20"/>
              </w:rPr>
              <w:t xml:space="preserve">Internet use</w:t>
            </w:r>
          </w:p>
        </w:tc>
        <w:tc>
          <w:tcPr>
            <w:tcW w:type="dxa" w:w="2200"/>
            <w:tcMar>
              <w:top w:type="dxa" w:w="40"/>
              <w:left w:type="dxa" w:w="80"/>
              <w:bottom w:type="dxa" w:w="40"/>
              <w:right w:type="dxa" w:w="80"/>
            </w:tcMar>
          </w:tcPr>
          <w:p>
            <w:r>
              <w:rPr>
                <w:b w:val="false"/>
                <w:bCs w:val="false"/>
                <w:sz w:val="20"/>
                <w:szCs w:val="20"/>
              </w:rPr>
              <w:t xml:space="preserve">-0.33</w:t>
            </w:r>
          </w:p>
        </w:tc>
        <w:tc>
          <w:tcPr>
            <w:tcW w:type="dxa" w:w="2000"/>
            <w:tcMar>
              <w:top w:type="dxa" w:w="40"/>
              <w:left w:type="dxa" w:w="80"/>
              <w:bottom w:type="dxa" w:w="40"/>
              <w:right w:type="dxa" w:w="80"/>
            </w:tcMar>
          </w:tcPr>
          <w:p>
            <w:r>
              <w:rPr>
                <w:b w:val="false"/>
                <w:bCs w:val="false"/>
                <w:sz w:val="20"/>
                <w:szCs w:val="20"/>
              </w:rPr>
              <w:t xml:space="preserve">-0.34 to -0.32</w:t>
            </w:r>
          </w:p>
        </w:tc>
        <w:tc>
          <w:tcPr>
            <w:tcW w:type="dxa" w:w="2000"/>
            <w:tcMar>
              <w:top w:type="dxa" w:w="40"/>
              <w:left w:type="dxa" w:w="80"/>
              <w:bottom w:type="dxa" w:w="40"/>
              <w:right w:type="dxa" w:w="80"/>
            </w:tcMar>
          </w:tcPr>
          <w:p>
            <w:r>
              <w:rPr>
                <w:b w:val="false"/>
                <w:bCs w:val="false"/>
                <w:sz w:val="20"/>
                <w:szCs w:val="20"/>
              </w:rPr>
              <w:t xml:space="preserve">-0.03</w:t>
            </w:r>
          </w:p>
        </w:tc>
      </w:tr>
      <w:tr>
        <w:trPr>
          <w:tblHeader w:val="off"/>
        </w:trPr>
        <w:tc>
          <w:tcPr>
            <w:tcW w:type="dxa" w:w="2826"/>
            <w:tcMar>
              <w:top w:type="dxa" w:w="40"/>
              <w:left w:type="dxa" w:w="80"/>
              <w:bottom w:type="dxa" w:w="40"/>
              <w:right w:type="dxa" w:w="80"/>
            </w:tcMar>
          </w:tcPr>
          <w:p>
            <w:r>
              <w:rPr>
                <w:b w:val="false"/>
                <w:bCs w:val="false"/>
                <w:sz w:val="20"/>
                <w:szCs w:val="20"/>
              </w:rPr>
              <w:t xml:space="preserve">Digital skills (7 items)</w:t>
            </w:r>
          </w:p>
        </w:tc>
        <w:tc>
          <w:tcPr>
            <w:tcW w:type="dxa" w:w="2200"/>
            <w:tcMar>
              <w:top w:type="dxa" w:w="40"/>
              <w:left w:type="dxa" w:w="80"/>
              <w:bottom w:type="dxa" w:w="40"/>
              <w:right w:type="dxa" w:w="80"/>
            </w:tcMar>
          </w:tcPr>
          <w:p>
            <w:r>
              <w:rPr>
                <w:b w:val="false"/>
                <w:bCs w:val="false"/>
                <w:sz w:val="20"/>
                <w:szCs w:val="20"/>
              </w:rPr>
              <w:t xml:space="preserve">-0.93</w:t>
            </w:r>
          </w:p>
        </w:tc>
        <w:tc>
          <w:tcPr>
            <w:tcW w:type="dxa" w:w="2000"/>
            <w:tcMar>
              <w:top w:type="dxa" w:w="40"/>
              <w:left w:type="dxa" w:w="80"/>
              <w:bottom w:type="dxa" w:w="40"/>
              <w:right w:type="dxa" w:w="80"/>
            </w:tcMar>
          </w:tcPr>
          <w:p>
            <w:r>
              <w:rPr>
                <w:b w:val="false"/>
                <w:bCs w:val="false"/>
                <w:sz w:val="20"/>
                <w:szCs w:val="20"/>
              </w:rPr>
              <w:t xml:space="preserve">-0.94 to -0.91</w:t>
            </w:r>
          </w:p>
        </w:tc>
        <w:tc>
          <w:tcPr>
            <w:tcW w:type="dxa" w:w="2000"/>
            <w:tcMar>
              <w:top w:type="dxa" w:w="40"/>
              <w:left w:type="dxa" w:w="80"/>
              <w:bottom w:type="dxa" w:w="40"/>
              <w:right w:type="dxa" w:w="80"/>
            </w:tcMar>
          </w:tcPr>
          <w:p>
            <w:r>
              <w:rPr>
                <w:b w:val="false"/>
                <w:bCs w:val="false"/>
                <w:sz w:val="20"/>
                <w:szCs w:val="20"/>
              </w:rPr>
              <w:t xml:space="preserve">-0.07</w:t>
            </w:r>
          </w:p>
        </w:tc>
      </w:tr>
      <w:tr>
        <w:trPr>
          <w:tblHeader w:val="off"/>
        </w:trPr>
        <w:tc>
          <w:tcPr>
            <w:tcW w:type="dxa" w:w="2826"/>
            <w:tcMar>
              <w:top w:type="dxa" w:w="40"/>
              <w:left w:type="dxa" w:w="80"/>
              <w:bottom w:type="dxa" w:w="40"/>
              <w:right w:type="dxa" w:w="80"/>
            </w:tcMar>
          </w:tcPr>
          <w:p>
            <w:r>
              <w:rPr>
                <w:b w:val="false"/>
                <w:bCs w:val="false"/>
                <w:sz w:val="20"/>
                <w:szCs w:val="20"/>
              </w:rPr>
              <w:t xml:space="preserve">Internet plus skills</w:t>
            </w:r>
          </w:p>
        </w:tc>
        <w:tc>
          <w:tcPr>
            <w:tcW w:type="dxa" w:w="2200"/>
            <w:tcMar>
              <w:top w:type="dxa" w:w="40"/>
              <w:left w:type="dxa" w:w="80"/>
              <w:bottom w:type="dxa" w:w="40"/>
              <w:right w:type="dxa" w:w="80"/>
            </w:tcMar>
          </w:tcPr>
          <w:p>
            <w:r>
              <w:rPr>
                <w:b w:val="false"/>
                <w:bCs w:val="false"/>
                <w:sz w:val="20"/>
                <w:szCs w:val="20"/>
              </w:rPr>
              <w:t xml:space="preserve">-1.11</w:t>
            </w:r>
          </w:p>
        </w:tc>
        <w:tc>
          <w:tcPr>
            <w:tcW w:type="dxa" w:w="2000"/>
            <w:tcMar>
              <w:top w:type="dxa" w:w="40"/>
              <w:left w:type="dxa" w:w="80"/>
              <w:bottom w:type="dxa" w:w="40"/>
              <w:right w:type="dxa" w:w="80"/>
            </w:tcMar>
          </w:tcPr>
          <w:p>
            <w:r>
              <w:rPr>
                <w:b w:val="false"/>
                <w:bCs w:val="false"/>
                <w:sz w:val="20"/>
                <w:szCs w:val="20"/>
              </w:rPr>
              <w:t xml:space="preserve">-1.14 to -1.09</w:t>
            </w:r>
          </w:p>
        </w:tc>
        <w:tc>
          <w:tcPr>
            <w:tcW w:type="dxa" w:w="2000"/>
            <w:tcMar>
              <w:top w:type="dxa" w:w="40"/>
              <w:left w:type="dxa" w:w="80"/>
              <w:bottom w:type="dxa" w:w="40"/>
              <w:right w:type="dxa" w:w="80"/>
            </w:tcMar>
          </w:tcPr>
          <w:p>
            <w:r>
              <w:rPr>
                <w:b w:val="false"/>
                <w:bCs w:val="false"/>
                <w:sz w:val="20"/>
                <w:szCs w:val="20"/>
              </w:rPr>
              <w:t xml:space="preserve">-0.09</w:t>
            </w:r>
          </w:p>
        </w:tc>
      </w:tr>
    </w:tbl>
    <w:p>
      <w:pPr>
        <w:spacing w:after="200" w:before="60"/>
      </w:pPr>
      <w:r>
        <w:rPr>
          <w:i/>
          <w:iCs/>
          <w:sz w:val="20"/>
          <w:szCs w:val="20"/>
        </w:rPr>
        <w:t xml:space="preserve">Table 7. Effect of a 10-point rise in uptake in the 11 High-High units (7.8% of the weighted population). Source: simulation_summary.csv.</w:t>
      </w:r>
    </w:p>
    <w:p>
      <w:pPr>
        <w:spacing w:after="120"/>
      </w:pPr>
      <w:r>
        <w:t xml:space="preserve">Effects are small. Digital skills move predictions about three times as much as internet use alone. The intervals cover only who takes up the change, not model refitting.</w:t>
      </w:r>
    </w:p>
    <w:p>
      <w:pPr>
        <w:jc w:val="center"/>
      </w:pPr>
      <w:r>
        <w:drawing>
          <wp:inline distT="0" distB="0" distL="0" distR="0">
            <wp:extent cx="5715000" cy="41814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81475"/>
                    </a:xfrm>
                    <a:prstGeom prst="rect">
                      <a:avLst/>
                    </a:prstGeom>
                  </pic:spPr>
                </pic:pic>
              </a:graphicData>
            </a:graphic>
          </wp:inline>
        </w:drawing>
      </w:r>
    </w:p>
    <w:p>
      <w:pPr>
        <w:spacing w:after="200" w:before="60"/>
      </w:pPr>
      <w:r>
        <w:rPr>
          <w:i/>
          <w:iCs/>
          <w:sz w:val="20"/>
          <w:szCs w:val="20"/>
        </w:rPr>
        <w:t xml:space="preserve">Figure 4. Scenario effects by target province.</w:t>
      </w:r>
    </w:p>
    <w:p>
      <w:pPr>
        <w:pStyle w:val="Heading1"/>
      </w:pPr>
      <w:r>
        <w:t xml:space="preserve">6. Discussion</w:t>
      </w:r>
    </w:p>
    <w:p>
      <w:pPr>
        <w:spacing w:after="120"/>
      </w:pPr>
      <w:r>
        <w:t xml:space="preserve">Most of the geography of functional illiteracy follows from who lives where. Predicted rates, which use only individual and household characteristics, cluster more strongly than observed rates, and the predicted high-risk zone covers the provinces with the lowest schooling.</w:t>
      </w:r>
    </w:p>
    <w:p>
      <w:pPr>
        <w:pStyle w:val="ListParagraph"/>
        <w:numPr>
          <w:ilvl w:val="0"/>
          <w:numId w:val="2"/>
        </w:numPr>
        <w:spacing w:after="60"/>
      </w:pPr>
      <w:r>
        <w:t xml:space="preserve">Composition versus place: residual clusters are weak overall, but the Samar island group is high on both observed rate and residual. This is the clearest case for a place-level factor [DATA MISSING: candidate explanations, e.g. school supply, typhoon exposure].</w:t>
      </w:r>
    </w:p>
    <w:p>
      <w:pPr>
        <w:pStyle w:val="ListParagraph"/>
        <w:numPr>
          <w:ilvl w:val="0"/>
          <w:numId w:val="2"/>
        </w:numPr>
        <w:spacing w:after="60"/>
      </w:pPr>
      <w:r>
        <w:t xml:space="preserve">BARMM: predicted risk is high, yet Sulu, Basilan and Isabela City do better than predicted. Check whether this reflects measurement, language of testing or real performance.</w:t>
      </w:r>
    </w:p>
    <w:p>
      <w:pPr>
        <w:pStyle w:val="ListParagraph"/>
        <w:numPr>
          <w:ilvl w:val="0"/>
          <w:numId w:val="2"/>
        </w:numPr>
        <w:spacing w:after="60"/>
      </w:pPr>
      <w:r>
        <w:t xml:space="preserve">Policy reading: digital interventions alone move risk by about 1 point. Schooling completion carries larger effects, so digital programmes should complement, not replace, schooling.</w:t>
      </w:r>
    </w:p>
    <w:p>
      <w:pPr>
        <w:pStyle w:val="ListParagraph"/>
        <w:numPr>
          <w:ilvl w:val="0"/>
          <w:numId w:val="2"/>
        </w:numPr>
        <w:spacing w:after="60"/>
      </w:pPr>
      <w:r>
        <w:t xml:space="preserve">Robustness: the high-risk clusters rest on unadjusted p-values. Use them to prioritise further study, not as final targets.</w:t>
      </w:r>
    </w:p>
    <w:p>
      <w:pPr>
        <w:pStyle w:val="Heading1"/>
      </w:pPr>
      <w:r>
        <w:t xml:space="preserve">7. Limitations</w:t>
      </w:r>
    </w:p>
    <w:p>
      <w:pPr>
        <w:pStyle w:val="ListParagraph"/>
        <w:numPr>
          <w:ilvl w:val="0"/>
          <w:numId w:val="2"/>
        </w:numPr>
        <w:spacing w:after="60"/>
      </w:pPr>
      <w:r>
        <w:t xml:space="preserve">Cross-sectional data: associations, not causal effects.</w:t>
      </w:r>
    </w:p>
    <w:p>
      <w:pPr>
        <w:pStyle w:val="ListParagraph"/>
        <w:numPr>
          <w:ilvl w:val="0"/>
          <w:numId w:val="2"/>
        </w:numPr>
        <w:spacing w:after="60"/>
      </w:pPr>
      <w:r>
        <w:t xml:space="preserve">No income variable; household proxies only.</w:t>
      </w:r>
    </w:p>
    <w:p>
      <w:pPr>
        <w:pStyle w:val="ListParagraph"/>
        <w:numPr>
          <w:ilvl w:val="0"/>
          <w:numId w:val="2"/>
        </w:numPr>
        <w:spacing w:after="60"/>
      </w:pPr>
      <w:r>
        <w:t xml:space="preserve">Persons without a Form 2 record (5.7%) are excluded and differ slightly in age and sex.</w:t>
      </w:r>
    </w:p>
    <w:p>
      <w:pPr>
        <w:pStyle w:val="ListParagraph"/>
        <w:numPr>
          <w:ilvl w:val="0"/>
          <w:numId w:val="2"/>
        </w:numPr>
        <w:spacing w:after="60"/>
      </w:pPr>
      <w:r>
        <w:t xml:space="preserve">Multiple testing: High-High clusters do not survive FDR.</w:t>
      </w:r>
    </w:p>
    <w:p>
      <w:pPr>
        <w:pStyle w:val="ListParagraph"/>
        <w:numPr>
          <w:ilvl w:val="0"/>
          <w:numId w:val="2"/>
        </w:numPr>
        <w:spacing w:after="60"/>
      </w:pPr>
      <w:r>
        <w:t xml:space="preserve">Cotabato City has no PRV code in the data; its polygon is merged into Maguindanao del Norte.</w:t>
      </w:r>
    </w:p>
    <w:p>
      <w:pPr>
        <w:pStyle w:val="ListParagraph"/>
        <w:numPr>
          <w:ilvl w:val="0"/>
          <w:numId w:val="2"/>
        </w:numPr>
        <w:spacing w:after="60"/>
      </w:pPr>
      <w:r>
        <w:t xml:space="preserve">Form 3 questionnaire not in the repo, so the simulation universe is inferred from the data.</w:t>
      </w:r>
    </w:p>
    <w:p>
      <w:pPr>
        <w:pStyle w:val="ListParagraph"/>
        <w:numPr>
          <w:ilvl w:val="0"/>
          <w:numId w:val="2"/>
        </w:numPr>
        <w:spacing w:after="60"/>
      </w:pPr>
      <w:r>
        <w:t xml:space="preserve">Untuned hyperparameters; intervals exclude refitting uncertainty.</w:t>
      </w:r>
    </w:p>
    <w:p>
      <w:pPr>
        <w:pStyle w:val="Heading1"/>
      </w:pPr>
      <w:r>
        <w:t xml:space="preserve">8. Conclusion</w:t>
      </w:r>
    </w:p>
    <w:p>
      <w:pPr>
        <w:spacing w:after="120"/>
      </w:pPr>
      <w:r>
        <w:t xml:space="preserve">We combine a survey-weighted XGBoost model with spatial statistics to map functional illiteracy risk across 117 Philippine provinces and HUCs. Schooling is the dominant predictor, and composition explains most of the spatial pattern. Eastern Visayas, the Zamboanga Peninsula and southern Davao form the highest-risk area, and the Samar island group stands out as worse than its population profile predicts.</w:t>
      </w:r>
    </w:p>
    <w:p>
      <w:pPr>
        <w:pStyle w:val="Heading2"/>
      </w:pPr>
      <w:r>
        <w:t xml:space="preserve">To-do before the final draft</w:t>
      </w:r>
    </w:p>
    <w:p>
      <w:pPr>
        <w:pStyle w:val="ListParagraph"/>
        <w:numPr>
          <w:ilvl w:val="0"/>
          <w:numId w:val="4"/>
        </w:numPr>
        <w:spacing w:after="60"/>
      </w:pPr>
      <w:r>
        <w:t xml:space="preserve">Re-run SHAP on the audited model, or remove SHAP from Methods and the abstract.</w:t>
      </w:r>
    </w:p>
    <w:p>
      <w:pPr>
        <w:pStyle w:val="ListParagraph"/>
        <w:numPr>
          <w:ilvl w:val="0"/>
          <w:numId w:val="4"/>
        </w:numPr>
        <w:spacing w:after="60"/>
      </w:pPr>
      <w:r>
        <w:t xml:space="preserve">Run Friedman's H and two-dimensional ALE for the top pairs, or drop them from the proposal promises.</w:t>
      </w:r>
    </w:p>
    <w:p>
      <w:pPr>
        <w:pStyle w:val="ListParagraph"/>
        <w:numPr>
          <w:ilvl w:val="0"/>
          <w:numId w:val="4"/>
        </w:numPr>
        <w:spacing w:after="60"/>
      </w:pPr>
      <w:r>
        <w:t xml:space="preserve">Fill the HGC_LEVEL_3 label from the PSA dictionary.</w:t>
      </w:r>
    </w:p>
    <w:p>
      <w:pPr>
        <w:pStyle w:val="ListParagraph"/>
        <w:numPr>
          <w:ilvl w:val="0"/>
          <w:numId w:val="4"/>
        </w:numPr>
        <w:spacing w:after="60"/>
      </w:pPr>
      <w:r>
        <w:t xml:space="preserve">Add out-of-fold recall and precision to Table 2.</w:t>
      </w:r>
    </w:p>
    <w:p>
      <w:pPr>
        <w:pStyle w:val="ListParagraph"/>
        <w:numPr>
          <w:ilvl w:val="0"/>
          <w:numId w:val="4"/>
        </w:numPr>
        <w:spacing w:after="60"/>
      </w:pPr>
      <w:r>
        <w:t xml:space="preserve">Confirm where Cotabato City respondents are coded.</w:t>
      </w:r>
    </w:p>
    <w:p>
      <w:pPr>
        <w:pStyle w:val="ListParagraph"/>
        <w:numPr>
          <w:ilvl w:val="0"/>
          <w:numId w:val="4"/>
        </w:numPr>
        <w:spacing w:after="60"/>
      </w:pPr>
      <w:r>
        <w:t xml:space="preserve">Check the Anselin (1995) reference: the proposal lists volume 7 and pages 97-115; verify against the journal.</w:t>
      </w:r>
    </w:p>
    <w:p>
      <w:pPr>
        <w:pStyle w:val="ListParagraph"/>
        <w:numPr>
          <w:ilvl w:val="0"/>
          <w:numId w:val="4"/>
        </w:numPr>
        <w:spacing w:after="60"/>
      </w:pPr>
      <w:r>
        <w:t xml:space="preserve">Add citations for ALE, XGBoost and the boundary dataset.</w:t>
      </w:r>
    </w:p>
    <w:p>
      <w:pPr>
        <w:pStyle w:val="ListParagraph"/>
        <w:numPr>
          <w:ilvl w:val="0"/>
          <w:numId w:val="4"/>
        </w:numPr>
        <w:spacing w:after="60"/>
      </w:pPr>
      <w:r>
        <w:t xml:space="preserve">Merge prose from 01_introduction_revised.md and 04_methodology_model_revised.md.</w:t>
      </w:r>
    </w:p>
    <w:p>
      <w:pPr>
        <w:pStyle w:val="Heading1"/>
      </w:pPr>
      <w:r>
        <w:t xml:space="preserve">References</w:t>
      </w:r>
    </w:p>
    <w:p>
      <w:pPr>
        <w:pBdr>
          <w:left w:val="single" w:color="BBBBBB" w:sz="12" w:space="6"/>
        </w:pBdr>
        <w:spacing w:after="120"/>
        <w:ind w:left="200"/>
      </w:pPr>
      <w:r>
        <w:rPr>
          <w:i/>
          <w:iCs/>
          <w:color w:val="666666"/>
          <w:sz w:val="20"/>
          <w:szCs w:val="20"/>
        </w:rPr>
        <w:t xml:space="preserve">Note: Carried over from the proposal. Not yet checked for format or completeness.</w:t>
      </w:r>
    </w:p>
    <w:p>
      <w:pPr>
        <w:spacing w:after="120"/>
      </w:pPr>
      <w:r>
        <w:t xml:space="preserve">Anselin, L. (1995). Local indicators of spatial association: LISA. Geographical Analysis, 7(2), 97-115. </w:t>
      </w:r>
      <w:r>
        <w:rPr>
          <w:b/>
          <w:bCs/>
          <w:highlight w:val="yellow"/>
        </w:rPr>
        <w:t xml:space="preserve">[VERIFY VOLUME AND PAGES]</w:t>
      </w:r>
    </w:p>
    <w:p>
      <w:pPr>
        <w:spacing w:after="120"/>
      </w:pPr>
      <w:r>
        <w:t xml:space="preserve">Biñas, H. L., Jr., &amp; Garvida, L. M. G. (2023). Through the kaleidoscopic features of lifelong learning: A multi-faceted exploration of functional illiterate parents' experiences in modular distance learning. European Journal of Education Studies, 10(6).</w:t>
      </w:r>
    </w:p>
    <w:p>
      <w:pPr>
        <w:spacing w:after="120"/>
      </w:pPr>
      <w:r>
        <w:t xml:space="preserve">Chung, J. Y., &amp; Lee, S. (2019). Dropout early warning systems for high school students using machine learning. Children and Youth Services Review, 99.</w:t>
      </w:r>
    </w:p>
    <w:p>
      <w:pPr>
        <w:spacing w:after="120"/>
      </w:pPr>
      <w:r>
        <w:t xml:space="preserve">Filmer, D., &amp; Pritchett, L. H. (2001). Estimating wealth effects without expenditure data or tears: An index using asset indicators.</w:t>
      </w:r>
    </w:p>
    <w:p>
      <w:pPr>
        <w:spacing w:after="120"/>
      </w:pPr>
      <w:r>
        <w:t xml:space="preserve">Molnar, C. (2022). Interpretable machine learning: A guide for making black box models explainable.</w:t>
      </w:r>
    </w:p>
    <w:p>
      <w:pPr>
        <w:spacing w:after="120"/>
      </w:pPr>
      <w:r>
        <w:t xml:space="preserve">Philippine Statistics Authority. (2024). Conduct of the 2024 Functional Literacy, Education and Mass Media Survey (FLEMMS).</w:t>
      </w:r>
    </w:p>
    <w:p>
      <w:pPr>
        <w:spacing w:after="120"/>
      </w:pPr>
      <w:r>
        <w:t xml:space="preserve">Sabarwal, S., &amp; Noonan, P. J. (2025). Digital skills development: Why, what, and how? World Bank Education Working Paper Series, No. 14.</w:t>
      </w:r>
    </w:p>
    <w:p>
      <w:pPr>
        <w:spacing w:after="120"/>
      </w:pPr>
      <w:r>
        <w:t xml:space="preserve">UNESCO. (2020). Glossary. UNESCO Institute for Statistics.</w:t>
      </w:r>
    </w:p>
    <w:p>
      <w:pPr>
        <w:spacing w:after="120"/>
      </w:pPr>
      <w:r>
        <w:t xml:space="preserve">World Bank. (2021). Learning poverty is a combined measure of schooling and learning.</w:t>
      </w:r>
    </w:p>
    <w:p>
      <w:pPr>
        <w:spacing w:after="120"/>
      </w:pPr>
      <w:r>
        <w:t xml:space="preserve">Xiang, L., &amp; Stillwell, J. (2023). Rural-urban educational inequalities and their spatial variations in China. Applied Spatial Analysis and Policy.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DRAFT, not for circulation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f8b761a899047775aa65c904601cc92f39fb51f.png"/><Relationship Id="rId10" Type="http://schemas.openxmlformats.org/officeDocument/2006/relationships/image" Target="media/ce90664094fc6c61fa0fde3190760e7ba39bd96b.png"/><Relationship Id="rId11" Type="http://schemas.openxmlformats.org/officeDocument/2006/relationships/image" Target="media/c606926d50a523ed4213e31769c5ec9f9f5d2684.png"/><Relationship Id="rId12" Type="http://schemas.openxmlformats.org/officeDocument/2006/relationships/image" Target="media/148677ddeabab3f6a0ddae130dabc705194ef7c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2026-10-28T16:11:40.014Z</dcterms:created>
  <dcterms:modified xsi:type="dcterms:W3CDTF">2026-10-28T16:11:40.014Z</dcterms:modified>
</cp:coreProperties>
</file>

<file path=docProps/custom.xml><?xml version="1.0" encoding="utf-8"?>
<Properties xmlns="http://schemas.openxmlformats.org/officeDocument/2006/custom-properties" xmlns:vt="http://schemas.openxmlformats.org/officeDocument/2006/docPropsVTypes"/>
</file>