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40"/>
          <w:lang w:val="fr-FR" w:eastAsia="fr-FR"/>
        </w:rPr>
        <w:t>Version détaillée du mémoire pour relecture</w:t>
      </w:r>
    </w:p>
    <w:p>
      <w:pPr>
        <w:ind w:left="397" w:right="397"/>
      </w:pPr>
      <w:r>
        <w:rPr>
          <w:rFonts w:ascii="Times New Roman" w:hAnsi="Times New Roman" w:eastAsia="Times New Roman"/>
          <w:b/>
          <w:i/>
          <w:sz w:val="22"/>
          <w:lang w:val="fr-FR" w:eastAsia="fr-FR"/>
        </w:rPr>
        <w:t>Statut :</w:t>
      </w:r>
      <w:r>
        <w:rPr>
          <w:rFonts w:ascii="Times New Roman" w:hAnsi="Times New Roman" w:eastAsia="Times New Roman"/>
          <w:i/>
          <w:sz w:val="22"/>
          <w:lang w:val="fr-FR" w:eastAsia="fr-FR"/>
        </w:rPr>
        <w:t xml:space="preserve"> document détaillé de relecture du contenu, fondé sur la voie C v0.31. Il réunit les résultats validés et les réponses méthodologiques complètes afin de recueillir des commentaires sur le fond. Il ne s'agit pas de la mise en page UNIL définitive et il n'autorise aucune conclusion causale, prédiction d'effet incrémental, estimation de rentabilité ou classification.</w:t>
      </w:r>
    </w:p>
    <w:p>
      <w:pPr>
        <w:pStyle w:val="Heading1"/>
      </w:pPr>
      <w:r>
        <w:rPr>
          <w:rFonts w:ascii="Times New Roman" w:hAnsi="Times New Roman" w:eastAsia="Times New Roman"/>
          <w:sz w:val="22"/>
          <w:lang w:val="fr-FR" w:eastAsia="fr-FR"/>
        </w:rPr>
        <w:t>Guide de relecture</w:t>
      </w:r>
    </w:p>
    <w:p>
      <w:pPr>
        <w:widowControl/>
      </w:pPr>
      <w:r>
        <w:rPr>
          <w:rFonts w:ascii="Times New Roman" w:hAnsi="Times New Roman" w:eastAsia="Times New Roman"/>
          <w:sz w:val="22"/>
          <w:lang w:val="fr-FR" w:eastAsia="fr-FR"/>
        </w:rPr>
        <w:t xml:space="preserve">Ce document est volontairement plus détaillé que </w:t>
      </w:r>
      <w:r>
        <w:rPr>
          <w:rFonts w:ascii="Courier New" w:hAnsi="Courier New" w:eastAsia="Courier New"/>
          <w:sz w:val="19"/>
          <w:lang w:val="fr-FR" w:eastAsia="fr-FR"/>
        </w:rPr>
        <w:t>reports/50_THESIS_READING_DRAFT.md</w:t>
      </w:r>
      <w:r>
        <w:rPr>
          <w:rFonts w:ascii="Times New Roman" w:hAnsi="Times New Roman" w:eastAsia="Times New Roman"/>
          <w:sz w:val="22"/>
          <w:lang w:val="fr-FR" w:eastAsia="fr-FR"/>
        </w:rPr>
        <w:t xml:space="preserve">. Le manuscrit plus court reste la version de lecture synthétique ; la présente version développe les 18 questions de la mission, relie chaque réponse aux éléments probants et prévoit des espaces explicites pour les commentaires. Les remarques peuvent être saisies directement après chaque libellé </w:t>
      </w:r>
      <w:r>
        <w:rPr>
          <w:rFonts w:ascii="Times New Roman" w:hAnsi="Times New Roman" w:eastAsia="Times New Roman"/>
          <w:b/>
          <w:sz w:val="22"/>
          <w:lang w:val="fr-FR" w:eastAsia="fr-FR"/>
        </w:rPr>
        <w:t>Votre commentaire :</w:t>
      </w:r>
      <w:r>
        <w:rPr>
          <w:rFonts w:ascii="Times New Roman" w:hAnsi="Times New Roman" w:eastAsia="Times New Roman"/>
          <w:sz w:val="22"/>
          <w:lang w:val="fr-FR" w:eastAsia="fr-FR"/>
        </w:rPr>
        <w:t xml:space="preserve"> ou regroupées dans la fiche de relecture finale.</w:t>
      </w:r>
    </w:p>
    <w:p>
      <w:pPr>
        <w:widowControl/>
      </w:pPr>
      <w:r>
        <w:rPr>
          <w:rFonts w:ascii="Times New Roman" w:hAnsi="Times New Roman" w:eastAsia="Times New Roman"/>
          <w:sz w:val="22"/>
          <w:lang w:val="fr-FR" w:eastAsia="fr-FR"/>
        </w:rPr>
        <w:t>Les principaux points sur lesquels l'avis du lecteur est attendu sont les suivants :</w:t>
      </w:r>
    </w:p>
    <w:p>
      <w:pPr>
        <w:ind w:left="397" w:hanging="255"/>
      </w:pPr>
      <w:r>
        <w:rPr>
          <w:rFonts w:ascii="Times New Roman" w:hAnsi="Times New Roman" w:eastAsia="Times New Roman"/>
          <w:sz w:val="22"/>
          <w:lang w:val="fr-FR" w:eastAsia="fr-FR"/>
        </w:rPr>
        <w:t xml:space="preserve">1.  </w:t>
      </w:r>
      <w:r>
        <w:rPr>
          <w:rFonts w:ascii="Times New Roman" w:hAnsi="Times New Roman" w:eastAsia="Times New Roman"/>
          <w:sz w:val="22"/>
          <w:lang w:val="fr-FR" w:eastAsia="fr-FR"/>
        </w:rPr>
        <w:t>les distinctions entre entités et dénominateurs sont-elles compréhensibles ?</w:t>
      </w:r>
    </w:p>
    <w:p>
      <w:pPr>
        <w:ind w:left="397" w:hanging="255"/>
      </w:pPr>
      <w:r>
        <w:rPr>
          <w:rFonts w:ascii="Times New Roman" w:hAnsi="Times New Roman" w:eastAsia="Times New Roman"/>
          <w:sz w:val="22"/>
          <w:lang w:val="fr-FR" w:eastAsia="fr-FR"/>
        </w:rPr>
        <w:t xml:space="preserve">2.  </w:t>
      </w:r>
      <w:r>
        <w:rPr>
          <w:rFonts w:ascii="Times New Roman" w:hAnsi="Times New Roman" w:eastAsia="Times New Roman"/>
          <w:sz w:val="22"/>
          <w:lang w:val="fr-FR" w:eastAsia="fr-FR"/>
        </w:rPr>
        <w:t>le rejet des modélisations causales et prédictives est-il convaincant ?</w:t>
      </w:r>
    </w:p>
    <w:p>
      <w:pPr>
        <w:ind w:left="397" w:hanging="255"/>
      </w:pPr>
      <w:r>
        <w:rPr>
          <w:rFonts w:ascii="Times New Roman" w:hAnsi="Times New Roman" w:eastAsia="Times New Roman"/>
          <w:sz w:val="22"/>
          <w:lang w:val="fr-FR" w:eastAsia="fr-FR"/>
        </w:rPr>
        <w:t xml:space="preserve">3.  </w:t>
      </w:r>
      <w:r>
        <w:rPr>
          <w:rFonts w:ascii="Times New Roman" w:hAnsi="Times New Roman" w:eastAsia="Times New Roman"/>
          <w:sz w:val="22"/>
          <w:lang w:val="fr-FR" w:eastAsia="fr-FR"/>
        </w:rPr>
        <w:t>la voie C est-elle présentée comme une contribution analytique défendable ?</w:t>
      </w:r>
    </w:p>
    <w:p>
      <w:pPr>
        <w:ind w:left="397" w:hanging="255"/>
      </w:pPr>
      <w:r>
        <w:rPr>
          <w:rFonts w:ascii="Times New Roman" w:hAnsi="Times New Roman" w:eastAsia="Times New Roman"/>
          <w:sz w:val="22"/>
          <w:lang w:val="fr-FR" w:eastAsia="fr-FR"/>
        </w:rPr>
        <w:t xml:space="preserve">4.  </w:t>
      </w:r>
      <w:r>
        <w:rPr>
          <w:rFonts w:ascii="Times New Roman" w:hAnsi="Times New Roman" w:eastAsia="Times New Roman"/>
          <w:sz w:val="22"/>
          <w:lang w:val="fr-FR" w:eastAsia="fr-FR"/>
        </w:rPr>
        <w:t>l'équilibre entre détail technique et lisibilité est-il approprié ?</w:t>
      </w:r>
    </w:p>
    <w:p>
      <w:pPr>
        <w:ind w:left="397" w:hanging="255"/>
      </w:pPr>
      <w:r>
        <w:rPr>
          <w:rFonts w:ascii="Times New Roman" w:hAnsi="Times New Roman" w:eastAsia="Times New Roman"/>
          <w:sz w:val="22"/>
          <w:lang w:val="fr-FR" w:eastAsia="fr-FR"/>
        </w:rPr>
        <w:t xml:space="preserve">5.  </w:t>
      </w:r>
      <w:r>
        <w:rPr>
          <w:rFonts w:ascii="Times New Roman" w:hAnsi="Times New Roman" w:eastAsia="Times New Roman"/>
          <w:sz w:val="22"/>
          <w:lang w:val="fr-FR" w:eastAsia="fr-FR"/>
        </w:rPr>
        <w:t>quels résultats et quelles figures devraient recevoir davantage d'attention dans le manuscrit final ?</w:t>
      </w:r>
    </w:p>
    <w:p>
      <w:pPr>
        <w:pStyle w:val="Heading1"/>
      </w:pPr>
      <w:r>
        <w:rPr>
          <w:rFonts w:ascii="Times New Roman" w:hAnsi="Times New Roman" w:eastAsia="Times New Roman"/>
          <w:sz w:val="22"/>
          <w:lang w:val="fr-FR" w:eastAsia="fr-FR"/>
        </w:rPr>
        <w:t>Résumé</w:t>
      </w:r>
    </w:p>
    <w:p>
      <w:pPr>
        <w:widowControl/>
      </w:pPr>
      <w:r>
        <w:rPr>
          <w:rFonts w:ascii="Times New Roman" w:hAnsi="Times New Roman" w:eastAsia="Times New Roman"/>
          <w:sz w:val="22"/>
          <w:lang w:val="fr-FR" w:eastAsia="fr-FR"/>
        </w:rPr>
        <w:t>Ce mémoire examine si les données suisses relatives aux stations de ski, à la demande hôtelière, au Magic Pass, à la neige, au climat et à l'accessibilité permettent une évaluation causale et peuvent soutenir les décisions liées à une éventuelle extension du pass. Un pipeline reproductible audite 271 fiches du répertoire, 242 clusters de remontées mécaniques conservés, 186 communes hôtelières et 14 unités de destination Magic Pass examinées manuellement. Bien que sept unités disposent des 24 mois avant et après nécessaires au diagnostic, aucun traitement ni aucun témoin ne franchit l'ensemble des critères d'identification. Les différences-en-différences causales, les modèles d'effets hétérogènes et les réseaux de neurones sont donc écartés. La solution de repli retenue est un tableau de bord exploratoire à sept dimensions couvrant 104 candidats apparents. Il sépare la similarité structurelle, le contexte fourni par les analogues, la vulnérabilité à la neige, le contexte touristique, l'accessibilité, le contexte concurrentiel et de réseau, ainsi que les lacunes de données. Le système ne produit ni effet incrémental prédit, ni score composite, ni classement d'admission. Sa contribution réside dans une architecture transparente de Business Analytics qui montre ce que les données permettent d'étayer, les points de fragilité et les informations supplémentaires nécessaires pour formuler des conclusions causales ou managériales plus fortes.</w:t>
      </w:r>
    </w:p>
    <w:p>
      <w:pPr>
        <w:pStyle w:val="Heading1"/>
      </w:pPr>
      <w:r>
        <w:rPr>
          <w:rFonts w:ascii="Times New Roman" w:hAnsi="Times New Roman" w:eastAsia="Times New Roman"/>
          <w:sz w:val="22"/>
          <w:lang w:val="fr-FR" w:eastAsia="fr-FR"/>
        </w:rPr>
        <w:t>Comment lire cette version</w:t>
      </w:r>
    </w:p>
    <w:p>
      <w:pPr>
        <w:ind w:left="397" w:hanging="255"/>
      </w:pPr>
      <w:r>
        <w:rPr>
          <w:rFonts w:ascii="Times New Roman" w:hAnsi="Times New Roman" w:eastAsia="Times New Roman"/>
          <w:sz w:val="22"/>
          <w:lang w:val="fr-FR" w:eastAsia="fr-FR"/>
        </w:rPr>
        <w:t xml:space="preserve">1.  </w:t>
      </w:r>
      <w:r>
        <w:rPr>
          <w:rFonts w:ascii="Times New Roman" w:hAnsi="Times New Roman" w:eastAsia="Times New Roman"/>
          <w:sz w:val="22"/>
          <w:lang w:val="fr-FR" w:eastAsia="fr-FR"/>
        </w:rPr>
        <w:t>Le résumé exécutif expose la décision de recherche en termes simples.</w:t>
      </w:r>
    </w:p>
    <w:p>
      <w:pPr>
        <w:ind w:left="397" w:hanging="255"/>
      </w:pPr>
      <w:r>
        <w:rPr>
          <w:rFonts w:ascii="Times New Roman" w:hAnsi="Times New Roman" w:eastAsia="Times New Roman"/>
          <w:sz w:val="22"/>
          <w:lang w:val="fr-FR" w:eastAsia="fr-FR"/>
        </w:rPr>
        <w:t xml:space="preserve">2.  </w:t>
      </w:r>
      <w:r>
        <w:rPr>
          <w:rFonts w:ascii="Times New Roman" w:hAnsi="Times New Roman" w:eastAsia="Times New Roman"/>
          <w:sz w:val="22"/>
          <w:lang w:val="fr-FR" w:eastAsia="fr-FR"/>
        </w:rPr>
        <w:t>Les méthodes, les résultats et la discussion reposent sur les mêmes synthèses validées que les tests.</w:t>
      </w:r>
    </w:p>
    <w:p>
      <w:pPr>
        <w:ind w:left="397" w:hanging="255"/>
      </w:pPr>
      <w:r>
        <w:rPr>
          <w:rFonts w:ascii="Times New Roman" w:hAnsi="Times New Roman" w:eastAsia="Times New Roman"/>
          <w:sz w:val="22"/>
          <w:lang w:val="fr-FR" w:eastAsia="fr-FR"/>
        </w:rPr>
        <w:t xml:space="preserve">3.  </w:t>
      </w:r>
      <w:r>
        <w:rPr>
          <w:rFonts w:ascii="Times New Roman" w:hAnsi="Times New Roman" w:eastAsia="Times New Roman"/>
          <w:sz w:val="22"/>
          <w:lang w:val="fr-FR" w:eastAsia="fr-FR"/>
        </w:rPr>
        <w:t>La section 5 répond intégralement aux 18 questions de la mission initiale, avec une piste d'audit et une question de relecture.</w:t>
      </w:r>
    </w:p>
    <w:p>
      <w:pPr>
        <w:ind w:left="397" w:hanging="255"/>
      </w:pPr>
      <w:r>
        <w:rPr>
          <w:rFonts w:ascii="Times New Roman" w:hAnsi="Times New Roman" w:eastAsia="Times New Roman"/>
          <w:sz w:val="22"/>
          <w:lang w:val="fr-FR" w:eastAsia="fr-FR"/>
        </w:rPr>
        <w:t xml:space="preserve">4.  </w:t>
      </w:r>
      <w:r>
        <w:rPr>
          <w:rFonts w:ascii="Times New Roman" w:hAnsi="Times New Roman" w:eastAsia="Times New Roman"/>
          <w:sz w:val="22"/>
          <w:lang w:val="fr-FR" w:eastAsia="fr-FR"/>
        </w:rPr>
        <w:t>Les exemples de candidats illustrent uniquement des catégories d'incertitude. Leur ordre ne constitue pas un classement.</w:t>
      </w:r>
    </w:p>
    <w:p>
      <w:pPr>
        <w:ind w:left="397" w:hanging="255"/>
      </w:pPr>
      <w:r>
        <w:rPr>
          <w:rFonts w:ascii="Times New Roman" w:hAnsi="Times New Roman" w:eastAsia="Times New Roman"/>
          <w:sz w:val="22"/>
          <w:lang w:val="fr-FR" w:eastAsia="fr-FR"/>
        </w:rPr>
        <w:t xml:space="preserve">5.  </w:t>
      </w:r>
      <w:r>
        <w:rPr>
          <w:rFonts w:ascii="Times New Roman" w:hAnsi="Times New Roman" w:eastAsia="Times New Roman"/>
          <w:sz w:val="22"/>
          <w:lang w:val="fr-FR" w:eastAsia="fr-FR"/>
        </w:rPr>
        <w:t xml:space="preserve">Les clés temporaires </w:t>
      </w:r>
      <w:r>
        <w:rPr>
          <w:rFonts w:ascii="Courier New" w:hAnsi="Courier New" w:eastAsia="Courier New"/>
          <w:sz w:val="19"/>
          <w:lang w:val="fr-FR" w:eastAsia="fr-FR"/>
        </w:rPr>
        <w:t>source_id</w:t>
      </w:r>
      <w:r>
        <w:rPr>
          <w:rFonts w:ascii="Times New Roman" w:hAnsi="Times New Roman" w:eastAsia="Times New Roman"/>
          <w:sz w:val="22"/>
          <w:lang w:val="fr-FR" w:eastAsia="fr-FR"/>
        </w:rPr>
        <w:t xml:space="preserve"> et la liste de travail bibliographique restent séparées jusqu'au choix du style de citation final.</w:t>
      </w:r>
    </w:p>
    <w:p>
      <w:pPr>
        <w:pStyle w:val="Heading1"/>
      </w:pPr>
      <w:r>
        <w:rPr>
          <w:rFonts w:ascii="Times New Roman" w:hAnsi="Times New Roman" w:eastAsia="Times New Roman"/>
          <w:sz w:val="22"/>
          <w:lang w:val="fr-FR" w:eastAsia="fr-FR"/>
        </w:rPr>
        <w:t>1 Résumé exécutif</w:t>
      </w:r>
    </w:p>
    <w:p>
      <w:pPr>
        <w:pStyle w:val="Heading2"/>
      </w:pPr>
      <w:r>
        <w:rPr>
          <w:rFonts w:ascii="Times New Roman" w:hAnsi="Times New Roman" w:eastAsia="Times New Roman"/>
          <w:sz w:val="22"/>
          <w:lang w:val="fr-FR" w:eastAsia="fr-FR"/>
        </w:rPr>
        <w:t>Décision de recherche</w:t>
      </w:r>
    </w:p>
    <w:p>
      <w:pPr>
        <w:widowControl/>
      </w:pPr>
      <w:r>
        <w:rPr>
          <w:rFonts w:ascii="Times New Roman" w:hAnsi="Times New Roman" w:eastAsia="Times New Roman"/>
          <w:sz w:val="22"/>
          <w:lang w:val="fr-FR" w:eastAsia="fr-FR"/>
        </w:rPr>
        <w:t xml:space="preserve">Ce mémoire évalue si les données disponibles sur les stations de ski suisses, la demande hôtelière, le Magic Pass, la neige, le climat et l'accessibilité permettent d'estimer un effet causal et de soutenir une décision stratégique. La conclusion centrale est volontairement plus limitée que l'ambition initiale : les données </w:t>
      </w:r>
      <w:r>
        <w:rPr>
          <w:rFonts w:ascii="Times New Roman" w:hAnsi="Times New Roman" w:eastAsia="Times New Roman"/>
          <w:b/>
          <w:sz w:val="22"/>
          <w:lang w:val="fr-FR" w:eastAsia="fr-FR"/>
        </w:rPr>
        <w:t>ne permettent pas</w:t>
      </w:r>
      <w:r>
        <w:rPr>
          <w:rFonts w:ascii="Times New Roman" w:hAnsi="Times New Roman" w:eastAsia="Times New Roman"/>
          <w:sz w:val="22"/>
          <w:lang w:val="fr-FR" w:eastAsia="fr-FR"/>
        </w:rPr>
        <w:t xml:space="preserve"> d'établir une estimation causale crédible de l'adhésion au Magic Pass, de modéliser des effets de traitement hétérogènes ni de recommander un classement pour l'admission. Elles permettent toutefois de construire un cadre exploratoire reproductible qui rend visibles la comparabilité structurelle, les éléments contextuels et l'incertitude, sans les agréger dans un score trompeur.</w:t>
      </w:r>
    </w:p>
    <w:p>
      <w:pPr>
        <w:pStyle w:val="Heading2"/>
      </w:pPr>
      <w:r>
        <w:rPr>
          <w:rFonts w:ascii="Times New Roman" w:hAnsi="Times New Roman" w:eastAsia="Times New Roman"/>
          <w:sz w:val="22"/>
          <w:lang w:val="fr-FR" w:eastAsia="fr-FR"/>
        </w:rPr>
        <w:t>Base empirique</w:t>
      </w:r>
    </w:p>
    <w:p>
      <w:pPr>
        <w:widowControl/>
      </w:pPr>
      <w:r>
        <w:rPr>
          <w:rFonts w:ascii="Times New Roman" w:hAnsi="Times New Roman" w:eastAsia="Times New Roman"/>
          <w:sz w:val="22"/>
          <w:lang w:val="fr-FR" w:eastAsia="fr-FR"/>
        </w:rPr>
        <w:t xml:space="preserve">L'univers fourni comprend </w:t>
      </w:r>
      <w:r>
        <w:rPr>
          <w:rFonts w:ascii="Times New Roman" w:hAnsi="Times New Roman" w:eastAsia="Times New Roman"/>
          <w:b/>
          <w:sz w:val="22"/>
          <w:lang w:val="fr-FR" w:eastAsia="fr-FR"/>
        </w:rPr>
        <w:t>271 fiches de répertoire</w:t>
      </w:r>
      <w:r>
        <w:rPr>
          <w:rFonts w:ascii="Times New Roman" w:hAnsi="Times New Roman" w:eastAsia="Times New Roman"/>
          <w:sz w:val="22"/>
          <w:lang w:val="fr-FR" w:eastAsia="fr-FR"/>
        </w:rPr>
        <w:t xml:space="preserve">, </w:t>
      </w:r>
      <w:r>
        <w:rPr>
          <w:rFonts w:ascii="Times New Roman" w:hAnsi="Times New Roman" w:eastAsia="Times New Roman"/>
          <w:b/>
          <w:sz w:val="22"/>
          <w:lang w:val="fr-FR" w:eastAsia="fr-FR"/>
        </w:rPr>
        <w:t>242 clusters de remontées mécaniques conservés</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162 clusters reliés à au moins une fiche</w:t>
      </w:r>
      <w:r>
        <w:rPr>
          <w:rFonts w:ascii="Times New Roman" w:hAnsi="Times New Roman" w:eastAsia="Times New Roman"/>
          <w:sz w:val="22"/>
          <w:lang w:val="fr-FR" w:eastAsia="fr-FR"/>
        </w:rPr>
        <w:t>. Ces entités ne constituent pas une liste certifiée de stations commerciales indépendantes. Le panel hôtelier contient 31 248 observations commune-mois pour 186 communes, de janvier 2013 à mars 2026. Quatorze unités de destination Magic Pass ont fait l'objet d'un examen manuel ; 11 disposent d'un périmètre explicite pour le résultat hôtelier et sept possèdent les 24 mois avant et après requis pour le diagnostic sur fenêtres adjacentes.</w:t>
      </w:r>
    </w:p>
    <w:p>
      <w:pPr>
        <w:pStyle w:val="Heading2"/>
      </w:pPr>
      <w:r>
        <w:rPr>
          <w:rFonts w:ascii="Times New Roman" w:hAnsi="Times New Roman" w:eastAsia="Times New Roman"/>
          <w:sz w:val="22"/>
          <w:lang w:val="fr-FR" w:eastAsia="fr-FR"/>
        </w:rPr>
        <w:t>Pourquoi les modélisations causales et prédictives ont été écartées</w:t>
      </w:r>
    </w:p>
    <w:p>
      <w:pPr>
        <w:widowControl/>
      </w:pPr>
      <w:r>
        <w:rPr>
          <w:rFonts w:ascii="Times New Roman" w:hAnsi="Times New Roman" w:eastAsia="Times New Roman"/>
          <w:sz w:val="22"/>
          <w:lang w:val="fr-FR" w:eastAsia="fr-FR"/>
        </w:rPr>
        <w:t>La sélection des témoins potentiels a examiné 315 paires descriptives traitement-témoin et en a retenu 35 pour un examen approfondi. Vingt-huit de ces paires se trouvaient à 50 km ou moins d'un autre point Magic Pass résolu ; chacune des sept paires plus éloignées présentait un choc local contemporain documenté de manière indépendante. Aucun traitement causal et aucun témoin n'ont été approuvés. Avec au maximum 14 destinations traitées examinées, seulement sept franchissant le seuil de couverture 24/24 et aucune cible causale identifiée, les forêts causales, les méta-apprenants, les modèles classiques d'effet incrémental et les réseaux de neurones ne sont pas statistiquement défendables.</w:t>
      </w:r>
    </w:p>
    <w:p>
      <w:pPr>
        <w:pStyle w:val="Heading2"/>
      </w:pPr>
      <w:r>
        <w:rPr>
          <w:rFonts w:ascii="Times New Roman" w:hAnsi="Times New Roman" w:eastAsia="Times New Roman"/>
          <w:sz w:val="22"/>
          <w:lang w:val="fr-FR" w:eastAsia="fr-FR"/>
        </w:rPr>
        <w:t>Architecture analytique finale</w:t>
      </w:r>
    </w:p>
    <w:p>
      <w:pPr>
        <w:widowControl/>
      </w:pPr>
      <w:r>
        <w:rPr>
          <w:rFonts w:ascii="Times New Roman" w:hAnsi="Times New Roman" w:eastAsia="Times New Roman"/>
          <w:sz w:val="22"/>
          <w:lang w:val="fr-FR" w:eastAsia="fr-FR"/>
        </w:rPr>
        <w:t xml:space="preserve">Le point de contrôle 6 retient un </w:t>
      </w:r>
      <w:r>
        <w:rPr>
          <w:rFonts w:ascii="Times New Roman" w:hAnsi="Times New Roman" w:eastAsia="Times New Roman"/>
          <w:b/>
          <w:sz w:val="22"/>
          <w:lang w:val="fr-FR" w:eastAsia="fr-FR"/>
        </w:rPr>
        <w:t>tableau de bord à sept dimensions séparées</w:t>
      </w:r>
      <w:r>
        <w:rPr>
          <w:rFonts w:ascii="Times New Roman" w:hAnsi="Times New Roman" w:eastAsia="Times New Roman"/>
          <w:sz w:val="22"/>
          <w:lang w:val="fr-FR" w:eastAsia="fr-FR"/>
        </w:rPr>
        <w:t xml:space="preserve"> pour 104 candidats apparents. Les 19 groupes de données couvrent la similarité structurelle, les analogues, la vulnérabilité à la neige, le contexte touristique, l'accessibilité, le contexte concurrentiel et de réseau, ainsi que les lacunes de données. Treize groupes couvrent tous les candidats, deux les couvrent partiellement et quatre ne disposent d'aucune variable au niveau des candidats. La couverture ne vaut pas autorisation d'utilisation : seule la similarité structurelle est approuvée pour l'appariement exploratoire, tandis qu'aucun groupe n'est approuvé comme prédicteur antérieur au traitement, covariable causale, entrée d'une recommandation ou composante d'un score composite.</w:t>
      </w:r>
    </w:p>
    <w:p>
      <w:pPr>
        <w:widowControl/>
      </w:pPr>
      <w:r>
        <w:rPr>
          <w:rFonts w:ascii="Times New Roman" w:hAnsi="Times New Roman" w:eastAsia="Times New Roman"/>
          <w:sz w:val="22"/>
          <w:lang w:val="fr-FR" w:eastAsia="fr-FR"/>
        </w:rPr>
        <w:t>La solution structurelle utilise l'altitude supérieure, les kilomètres de domaine skiable et le nombre de remontées. Parmi 156 clusters complets, k=2 atteint une silhouette de 0,514 et un ARI médian de 0,987 sur les sous-échantillons. Pourtant, seuls 11 des 104 candidats conservent tous les critères enregistrés de segment, d'analogue et de support selon les agrégations minimale, médiane et maximale au sein du cluster. Vingt-cinq candidats constituent de fortes extrapolations par rapport aux huit références traitées examinées. Ces diagnostics empêchent d'assimiler une ressemblance structurelle à un bénéfice prédit.</w:t>
      </w:r>
    </w:p>
    <w:p>
      <w:pPr>
        <w:pStyle w:val="Heading2"/>
      </w:pPr>
      <w:r>
        <w:rPr>
          <w:rFonts w:ascii="Times New Roman" w:hAnsi="Times New Roman" w:eastAsia="Times New Roman"/>
          <w:sz w:val="22"/>
          <w:lang w:val="fr-FR" w:eastAsia="fr-FR"/>
        </w:rPr>
        <w:t>Interprétation managériale</w:t>
      </w:r>
    </w:p>
    <w:p>
      <w:pPr>
        <w:widowControl/>
      </w:pPr>
      <w:r>
        <w:rPr>
          <w:rFonts w:ascii="Times New Roman" w:hAnsi="Times New Roman" w:eastAsia="Times New Roman"/>
          <w:sz w:val="22"/>
          <w:lang w:val="fr-FR" w:eastAsia="fr-FR"/>
        </w:rPr>
        <w:t>Le cadre sert à organiser une analyse préalable, et non à décider d'une admission. Il peut indiquer si un candidat se situe dans le support structurel observé, où les conditions d'enneigement ou d'accès peuvent être pertinentes et quelles informations sont incomplètes. Il ne permet pas d'estimer les gains attendus de nuitées, la rentabilité financière ni l'effet causal d'une adhésion au Magic Pass. Les quatre exemples fixes de l'annexe sur l'incertitude montrent comment le même système communique la stabilité, la sensibilité à l'agrégation et l'extrapolation sans classer les candidats.</w:t>
      </w:r>
    </w:p>
    <w:p>
      <w:pPr>
        <w:pStyle w:val="Heading2"/>
      </w:pPr>
      <w:r>
        <w:rPr>
          <w:rFonts w:ascii="Times New Roman" w:hAnsi="Times New Roman" w:eastAsia="Times New Roman"/>
          <w:sz w:val="22"/>
          <w:lang w:val="fr-FR" w:eastAsia="fr-FR"/>
        </w:rPr>
        <w:t>Données prioritaires à recueillir</w:t>
      </w:r>
    </w:p>
    <w:p>
      <w:pPr>
        <w:widowControl/>
      </w:pPr>
      <w:r>
        <w:rPr>
          <w:rFonts w:ascii="Times New Roman" w:hAnsi="Times New Roman" w:eastAsia="Times New Roman"/>
          <w:sz w:val="22"/>
          <w:lang w:val="fr-FR" w:eastAsia="fr-FR"/>
        </w:rPr>
        <w:t>Les apports futurs les plus utiles seraient des bassins de destination et des pondérations d'exposition communale validés par une source externe, un calendrier et une intensité exacts du traitement, un ensemble plus vaste de traitements et de témoins non contaminés, ainsi que des historiques antérieurs au traitement pour la capacité hôtelière, l'accès, les investissements dans les remontées et les infrastructures, et l'enneigement artificiel. Les horaires historiques et les détails des pass sont secondaires, sauf s'ils sont nécessaires à une affirmation précise. Des pondérations de décision définies avec les parties prenantes seraient indispensables avant d'envisager un score commercial composite.</w:t>
      </w:r>
    </w:p>
    <w:p>
      <w:pPr>
        <w:pStyle w:val="Heading2"/>
      </w:pPr>
      <w:r>
        <w:rPr>
          <w:rFonts w:ascii="Times New Roman" w:hAnsi="Times New Roman" w:eastAsia="Times New Roman"/>
          <w:sz w:val="22"/>
          <w:lang w:val="fr-FR" w:eastAsia="fr-FR"/>
        </w:rPr>
        <w:t>Classification finale</w:t>
      </w:r>
    </w:p>
    <w:p>
      <w:pPr>
        <w:widowControl/>
      </w:pPr>
      <w:r>
        <w:rPr>
          <w:rFonts w:ascii="Times New Roman" w:hAnsi="Times New Roman" w:eastAsia="Times New Roman"/>
          <w:sz w:val="22"/>
          <w:lang w:val="fr-FR" w:eastAsia="fr-FR"/>
        </w:rPr>
        <w:t xml:space="preserve">Le système achevé est </w:t>
      </w:r>
      <w:r>
        <w:rPr>
          <w:rFonts w:ascii="Times New Roman" w:hAnsi="Times New Roman" w:eastAsia="Times New Roman"/>
          <w:b/>
          <w:sz w:val="22"/>
          <w:lang w:val="fr-FR" w:eastAsia="fr-FR"/>
        </w:rPr>
        <w:t>exploratoire et orienté vers l'aide à la décision</w:t>
      </w:r>
      <w:r>
        <w:rPr>
          <w:rFonts w:ascii="Times New Roman" w:hAnsi="Times New Roman" w:eastAsia="Times New Roman"/>
          <w:sz w:val="22"/>
          <w:lang w:val="fr-FR" w:eastAsia="fr-FR"/>
        </w:rPr>
        <w:t>. Il n'est ni causal, ni prédictif d'un effet incrémental, ni un modèle de rentabilité, ni un classement de candidats. Cette limite constitue le principal résultat méthodologique du mémoire.</w:t>
      </w:r>
    </w:p>
    <w:p>
      <w:pPr>
        <w:pStyle w:val="Heading1"/>
      </w:pPr>
      <w:r>
        <w:rPr>
          <w:rFonts w:ascii="Times New Roman" w:hAnsi="Times New Roman" w:eastAsia="Times New Roman"/>
          <w:sz w:val="22"/>
          <w:lang w:val="fr-FR" w:eastAsia="fr-FR"/>
        </w:rPr>
        <w:t>2 Méthodes</w:t>
      </w:r>
    </w:p>
    <w:p>
      <w:pPr>
        <w:ind w:left="397" w:right="397"/>
      </w:pPr>
      <w:r>
        <w:rPr>
          <w:rFonts w:ascii="Times New Roman" w:hAnsi="Times New Roman" w:eastAsia="Times New Roman"/>
          <w:i/>
          <w:sz w:val="22"/>
          <w:lang w:val="fr-FR" w:eastAsia="fr-FR"/>
        </w:rPr>
        <w:t>Version générée à partir des résultats validés de la voie C v0.31. La numérotation et le style de citation devront être adaptés au modèle final du mémoire. Les effectifs proviennent du pipeline et doivent rester reliés aux résultats du dépôt cités.</w:t>
      </w:r>
    </w:p>
    <w:p>
      <w:pPr>
        <w:pStyle w:val="Heading2"/>
      </w:pPr>
      <w:r>
        <w:rPr>
          <w:rFonts w:ascii="Times New Roman" w:hAnsi="Times New Roman" w:eastAsia="Times New Roman"/>
          <w:sz w:val="22"/>
          <w:lang w:val="fr-FR" w:eastAsia="fr-FR"/>
        </w:rPr>
        <w:t>1 Plan de recherche</w:t>
      </w:r>
    </w:p>
    <w:p>
      <w:pPr>
        <w:widowControl/>
      </w:pPr>
      <w:r>
        <w:rPr>
          <w:rFonts w:ascii="Times New Roman" w:hAnsi="Times New Roman" w:eastAsia="Times New Roman"/>
          <w:sz w:val="22"/>
          <w:lang w:val="fr-FR" w:eastAsia="fr-FR"/>
        </w:rPr>
        <w:t>L'étude suit un plan séquentiel de Business Analytics fondé sur des seuils de faisabilité. L'objectif initial consistait à estimer si la participation au Magic Pass influençait les nuitées hôtelières et, si l'identification s'avérait crédible, à étudier l'hétérogénéité des effets puis à transférer les enseignements aux destinations de ski non membres. Le plan ne supposait pas qu'une méthode causale ou d'apprentissage automatique particulière serait appropriée. Six points de contrôle ont successivement évalué les données existantes, la définition du traitement, la couverture du panel, l'identification causale, la faisabilité de l'apprentissage automatique et l'architecture finale d'aide à la décision.</w:t>
      </w:r>
    </w:p>
    <w:p>
      <w:pPr>
        <w:widowControl/>
      </w:pPr>
      <w:r>
        <w:rPr>
          <w:rFonts w:ascii="Times New Roman" w:hAnsi="Times New Roman" w:eastAsia="Times New Roman"/>
          <w:sz w:val="22"/>
          <w:lang w:val="fr-FR" w:eastAsia="fr-FR"/>
        </w:rPr>
        <w:t>Les points de contrôle 1 à 3 ont construit et audité la base empirique. Les points 4 et 5 ont traité l'inférence causale et la modélisation des effets hétérogènes comme des hypothèses à accepter uniquement si les conditions relatives au traitement, au résultat, aux témoins et au support temporel étaient satisfaites. Comme ces critères ont échoué, le point de contrôle 6 a retenu la voie C : un tableau de bord exploratoire fondé sur la structure et les analogues, dans lequel l'opportunité descriptive, la vulnérabilité, le contexte touristique, l'accessibilité, la concurrence et l'incertitude restent séparés. Cette solution de repli ne peut produire ni prédiction d'effet de traitement, ni score composite, ni classement des candidats.</w:t>
      </w:r>
    </w:p>
    <w:p>
      <w:pPr>
        <w:pStyle w:val="Heading2"/>
      </w:pPr>
      <w:r>
        <w:rPr>
          <w:rFonts w:ascii="Times New Roman" w:hAnsi="Times New Roman" w:eastAsia="Times New Roman"/>
          <w:sz w:val="22"/>
          <w:lang w:val="fr-FR" w:eastAsia="fr-FR"/>
        </w:rPr>
        <w:t>2 Unités d'analyse et résolution des entités</w:t>
      </w:r>
    </w:p>
    <w:p>
      <w:pPr>
        <w:widowControl/>
      </w:pPr>
      <w:r>
        <w:rPr>
          <w:rFonts w:ascii="Times New Roman" w:hAnsi="Times New Roman" w:eastAsia="Times New Roman"/>
          <w:sz w:val="22"/>
          <w:lang w:val="fr-FR" w:eastAsia="fr-FR"/>
        </w:rPr>
        <w:t xml:space="preserve">Le répertoire fourni contient </w:t>
      </w:r>
      <w:r>
        <w:rPr>
          <w:rFonts w:ascii="Times New Roman" w:hAnsi="Times New Roman" w:eastAsia="Times New Roman"/>
          <w:b/>
          <w:sz w:val="22"/>
          <w:lang w:val="fr-FR" w:eastAsia="fr-FR"/>
        </w:rPr>
        <w:t>271 fiches de stations</w:t>
      </w:r>
      <w:r>
        <w:rPr>
          <w:rFonts w:ascii="Times New Roman" w:hAnsi="Times New Roman" w:eastAsia="Times New Roman"/>
          <w:sz w:val="22"/>
          <w:lang w:val="fr-FR" w:eastAsia="fr-FR"/>
        </w:rPr>
        <w:t xml:space="preserve">. Ces fiches n'ont pas été considérées comme des destinations de ski indépendantes, car plusieurs noms peuvent désigner des composantes d'un même domaine et un cluster de remontées conservé peut regrouper plusieurs lignes du répertoire. Le regroupement géographique existant a donc été audité plutôt que reconstruit. Il comprend </w:t>
      </w:r>
      <w:r>
        <w:rPr>
          <w:rFonts w:ascii="Times New Roman" w:hAnsi="Times New Roman" w:eastAsia="Times New Roman"/>
          <w:b/>
          <w:sz w:val="22"/>
          <w:lang w:val="fr-FR" w:eastAsia="fr-FR"/>
        </w:rPr>
        <w:t>242 clusters de remontées</w:t>
      </w:r>
      <w:r>
        <w:rPr>
          <w:rFonts w:ascii="Times New Roman" w:hAnsi="Times New Roman" w:eastAsia="Times New Roman"/>
          <w:sz w:val="22"/>
          <w:lang w:val="fr-FR" w:eastAsia="fr-FR"/>
        </w:rPr>
        <w:t xml:space="preserve">, dont </w:t>
      </w:r>
      <w:r>
        <w:rPr>
          <w:rFonts w:ascii="Times New Roman" w:hAnsi="Times New Roman" w:eastAsia="Times New Roman"/>
          <w:b/>
          <w:sz w:val="22"/>
          <w:lang w:val="fr-FR" w:eastAsia="fr-FR"/>
        </w:rPr>
        <w:t>162</w:t>
      </w:r>
      <w:r>
        <w:rPr>
          <w:rFonts w:ascii="Times New Roman" w:hAnsi="Times New Roman" w:eastAsia="Times New Roman"/>
          <w:sz w:val="22"/>
          <w:lang w:val="fr-FR" w:eastAsia="fr-FR"/>
        </w:rPr>
        <w:t xml:space="preserve"> sont reliés à au moins une fiche fournie. Les identifiants stables </w:t>
      </w:r>
      <w:r>
        <w:rPr>
          <w:rFonts w:ascii="Courier New" w:hAnsi="Courier New" w:eastAsia="Courier New"/>
          <w:sz w:val="19"/>
          <w:lang w:val="fr-FR" w:eastAsia="fr-FR"/>
        </w:rPr>
        <w:t>resort_id</w:t>
      </w:r>
      <w:r>
        <w:rPr>
          <w:rFonts w:ascii="Times New Roman" w:hAnsi="Times New Roman" w:eastAsia="Times New Roman"/>
          <w:sz w:val="22"/>
          <w:lang w:val="fr-FR" w:eastAsia="fr-FR"/>
        </w:rPr>
        <w:t xml:space="preserve">,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w:t>
      </w:r>
      <w:r>
        <w:rPr>
          <w:rFonts w:ascii="Courier New" w:hAnsi="Courier New" w:eastAsia="Courier New"/>
          <w:sz w:val="19"/>
          <w:lang w:val="fr-FR" w:eastAsia="fr-FR"/>
        </w:rPr>
        <w:t>destination_unit_id</w:t>
      </w:r>
      <w:r>
        <w:rPr>
          <w:rFonts w:ascii="Times New Roman" w:hAnsi="Times New Roman" w:eastAsia="Times New Roman"/>
          <w:sz w:val="22"/>
          <w:lang w:val="fr-FR" w:eastAsia="fr-FR"/>
        </w:rPr>
        <w:t xml:space="preserve"> et les identifiants communaux OFS ont été conservés tout au long de l'analyse.</w:t>
      </w:r>
    </w:p>
    <w:p>
      <w:pPr>
        <w:widowControl/>
      </w:pPr>
      <w:r>
        <w:rPr>
          <w:rFonts w:ascii="Times New Roman" w:hAnsi="Times New Roman" w:eastAsia="Times New Roman"/>
          <w:sz w:val="22"/>
          <w:lang w:val="fr-FR" w:eastAsia="fr-FR"/>
        </w:rPr>
        <w:t xml:space="preserve">Les informations relatives au Magic Pass ont été établies à partir de publications officielles datées. Les liens avec les candidats ont été examinés de manière prudente, sans imposer de correspondance univoque aux libellés ambigus. Dix-huit composantes d'entrée reliées à des candidats ont été regroupées en </w:t>
      </w:r>
      <w:r>
        <w:rPr>
          <w:rFonts w:ascii="Times New Roman" w:hAnsi="Times New Roman" w:eastAsia="Times New Roman"/>
          <w:b/>
          <w:sz w:val="22"/>
          <w:lang w:val="fr-FR" w:eastAsia="fr-FR"/>
        </w:rPr>
        <w:t>14 unités de destination examinées</w:t>
      </w:r>
      <w:r>
        <w:rPr>
          <w:rFonts w:ascii="Times New Roman" w:hAnsi="Times New Roman" w:eastAsia="Times New Roman"/>
          <w:sz w:val="22"/>
          <w:lang w:val="fr-FR" w:eastAsia="fr-FR"/>
        </w:rPr>
        <w:t xml:space="preserve">. </w:t>
      </w:r>
      <w:r>
        <w:rPr>
          <w:rFonts w:ascii="Times New Roman" w:hAnsi="Times New Roman" w:eastAsia="Times New Roman"/>
          <w:b/>
          <w:sz w:val="22"/>
          <w:lang w:val="fr-FR" w:eastAsia="fr-FR"/>
        </w:rPr>
        <w:t>11</w:t>
      </w:r>
      <w:r>
        <w:rPr>
          <w:rFonts w:ascii="Times New Roman" w:hAnsi="Times New Roman" w:eastAsia="Times New Roman"/>
          <w:sz w:val="22"/>
          <w:lang w:val="fr-FR" w:eastAsia="fr-FR"/>
        </w:rPr>
        <w:t xml:space="preserve"> disposaient d'un périmètre explicite pour le résultat hôtelier ; trois destinations composites ont été exclues parce que le panel communal disponible ne couvrait qu'une partie de leur géographie. La continuité de l'adhésion et la modalité hiver/été ont été stockées séparément. Les saisons actives sont documentées pour les 14 unités, tandis que la modalité est renseignée pour 58 couples unité-saison actifs.</w:t>
      </w:r>
    </w:p>
    <w:p>
      <w:pPr>
        <w:pStyle w:val="Heading2"/>
      </w:pPr>
      <w:r>
        <w:rPr>
          <w:rFonts w:ascii="Times New Roman" w:hAnsi="Times New Roman" w:eastAsia="Times New Roman"/>
          <w:sz w:val="22"/>
          <w:lang w:val="fr-FR" w:eastAsia="fr-FR"/>
        </w:rPr>
        <w:t>3 Panel des résultats hôteliers et de la capacité</w:t>
      </w:r>
    </w:p>
    <w:p>
      <w:pPr>
        <w:widowControl/>
      </w:pPr>
      <w:r>
        <w:rPr>
          <w:rFonts w:ascii="Times New Roman" w:hAnsi="Times New Roman" w:eastAsia="Times New Roman"/>
          <w:sz w:val="22"/>
          <w:lang w:val="fr-FR" w:eastAsia="fr-FR"/>
        </w:rPr>
        <w:t xml:space="preserve">Le résultat principal correspond aux nuitées hôtelières mensuelles au niveau communal. Le panel traité contient </w:t>
      </w:r>
      <w:r>
        <w:rPr>
          <w:rFonts w:ascii="Times New Roman" w:hAnsi="Times New Roman" w:eastAsia="Times New Roman"/>
          <w:b/>
          <w:sz w:val="22"/>
          <w:lang w:val="fr-FR" w:eastAsia="fr-FR"/>
        </w:rPr>
        <w:t>31 248 observations commune-mois</w:t>
      </w:r>
      <w:r>
        <w:rPr>
          <w:rFonts w:ascii="Times New Roman" w:hAnsi="Times New Roman" w:eastAsia="Times New Roman"/>
          <w:sz w:val="22"/>
          <w:lang w:val="fr-FR" w:eastAsia="fr-FR"/>
        </w:rPr>
        <w:t xml:space="preserve"> pour </w:t>
      </w:r>
      <w:r>
        <w:rPr>
          <w:rFonts w:ascii="Times New Roman" w:hAnsi="Times New Roman" w:eastAsia="Times New Roman"/>
          <w:b/>
          <w:sz w:val="22"/>
          <w:lang w:val="fr-FR" w:eastAsia="fr-FR"/>
        </w:rPr>
        <w:t>186 communes</w:t>
      </w:r>
      <w:r>
        <w:rPr>
          <w:rFonts w:ascii="Times New Roman" w:hAnsi="Times New Roman" w:eastAsia="Times New Roman"/>
          <w:sz w:val="22"/>
          <w:lang w:val="fr-FR" w:eastAsia="fr-FR"/>
        </w:rPr>
        <w:t xml:space="preserve">, dont </w:t>
      </w:r>
      <w:r>
        <w:rPr>
          <w:rFonts w:ascii="Times New Roman" w:hAnsi="Times New Roman" w:eastAsia="Times New Roman"/>
          <w:b/>
          <w:sz w:val="22"/>
          <w:lang w:val="fr-FR" w:eastAsia="fr-FR"/>
        </w:rPr>
        <w:t>28 455 cellules de nuitées observées</w:t>
      </w:r>
      <w:r>
        <w:rPr>
          <w:rFonts w:ascii="Times New Roman" w:hAnsi="Times New Roman" w:eastAsia="Times New Roman"/>
          <w:sz w:val="22"/>
          <w:lang w:val="fr-FR" w:eastAsia="fr-FR"/>
        </w:rPr>
        <w:t xml:space="preserve"> entre janvier 2013 et mars 2026. Les valeurs supprimées dans la source sont restées manquantes et n'ont pas été imputées. Les établissements, chambres et lits ont été conservés comme éléments de contexte de l'offre. Pour les unités de destination couvrant plusieurs communes, les variables de comptage n'ont été additionnées que lorsque toutes les communes du périmètre examiné étaient observées ; les taux d'occupation publiés n'ont pas été moyennés entre communes.</w:t>
      </w:r>
    </w:p>
    <w:p>
      <w:pPr>
        <w:widowControl/>
      </w:pPr>
      <w:r>
        <w:rPr>
          <w:rFonts w:ascii="Times New Roman" w:hAnsi="Times New Roman" w:eastAsia="Times New Roman"/>
          <w:sz w:val="22"/>
          <w:lang w:val="fr-FR" w:eastAsia="fr-FR"/>
        </w:rPr>
        <w:t xml:space="preserve">Le panel des destinations examinées contient </w:t>
      </w:r>
      <w:r>
        <w:rPr>
          <w:rFonts w:ascii="Times New Roman" w:hAnsi="Times New Roman" w:eastAsia="Times New Roman"/>
          <w:b/>
          <w:sz w:val="22"/>
          <w:lang w:val="fr-FR" w:eastAsia="fr-FR"/>
        </w:rPr>
        <w:t>1 848 observations destination-mois</w:t>
      </w:r>
      <w:r>
        <w:rPr>
          <w:rFonts w:ascii="Times New Roman" w:hAnsi="Times New Roman" w:eastAsia="Times New Roman"/>
          <w:sz w:val="22"/>
          <w:lang w:val="fr-FR" w:eastAsia="fr-FR"/>
        </w:rPr>
        <w:t xml:space="preserve">, dont </w:t>
      </w:r>
      <w:r>
        <w:rPr>
          <w:rFonts w:ascii="Times New Roman" w:hAnsi="Times New Roman" w:eastAsia="Times New Roman"/>
          <w:b/>
          <w:sz w:val="22"/>
          <w:lang w:val="fr-FR" w:eastAsia="fr-FR"/>
        </w:rPr>
        <w:t>1 581 résultats observés</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1 637 lignes complètes de capacité</w:t>
      </w:r>
      <w:r>
        <w:rPr>
          <w:rFonts w:ascii="Times New Roman" w:hAnsi="Times New Roman" w:eastAsia="Times New Roman"/>
          <w:sz w:val="22"/>
          <w:lang w:val="fr-FR" w:eastAsia="fr-FR"/>
        </w:rPr>
        <w:t>. Les saisons d'entrée servent de repères diagnostiques plutôt que de dates exactes de traitement. La règle de prolongation de l'adhésion a été explicitement traitée comme une hypothèse de codage diagnostique, et non comme une validation de l'exposition causale.</w:t>
      </w:r>
    </w:p>
    <w:p>
      <w:pPr>
        <w:pStyle w:val="Heading2"/>
      </w:pPr>
      <w:r>
        <w:rPr>
          <w:rFonts w:ascii="Times New Roman" w:hAnsi="Times New Roman" w:eastAsia="Times New Roman"/>
          <w:sz w:val="22"/>
          <w:lang w:val="fr-FR" w:eastAsia="fr-FR"/>
        </w:rPr>
        <w:t>4 Climat neige et contexte temporel</w:t>
      </w:r>
    </w:p>
    <w:p>
      <w:pPr>
        <w:widowControl/>
      </w:pPr>
      <w:r>
        <w:rPr>
          <w:rFonts w:ascii="Times New Roman" w:hAnsi="Times New Roman" w:eastAsia="Times New Roman"/>
          <w:sz w:val="22"/>
          <w:lang w:val="fr-FR" w:eastAsia="fr-FR"/>
        </w:rPr>
        <w:t xml:space="preserve">Les conditions d'enneigement ont d'abord été représentées par la station SLF admissible la plus proche disposant d'une longue série, en conservant la distance, l'écart d'altitude, la couverture hivernale et la qualité du proxy. Un test de sensibilité utilisant la deuxième station la plus proche a été réalisé pour les </w:t>
      </w:r>
      <w:r>
        <w:rPr>
          <w:rFonts w:ascii="Times New Roman" w:hAnsi="Times New Roman" w:eastAsia="Times New Roman"/>
          <w:b/>
          <w:sz w:val="22"/>
          <w:lang w:val="fr-FR" w:eastAsia="fr-FR"/>
        </w:rPr>
        <w:t>15 composantes examinées</w:t>
      </w:r>
      <w:r>
        <w:rPr>
          <w:rFonts w:ascii="Times New Roman" w:hAnsi="Times New Roman" w:eastAsia="Times New Roman"/>
          <w:sz w:val="22"/>
          <w:lang w:val="fr-FR" w:eastAsia="fr-FR"/>
        </w:rPr>
        <w:t xml:space="preserve">. Il a donné 6 comparaisons de qualité élevée, 5 modérée et 4 faible, avec une corrélation médiane de l'épaisseur hivernale de </w:t>
      </w:r>
      <w:r>
        <w:rPr>
          <w:rFonts w:ascii="Times New Roman" w:hAnsi="Times New Roman" w:eastAsia="Times New Roman"/>
          <w:b/>
          <w:sz w:val="22"/>
          <w:lang w:val="fr-FR" w:eastAsia="fr-FR"/>
        </w:rPr>
        <w:t>0,864</w:t>
      </w:r>
      <w:r>
        <w:rPr>
          <w:rFonts w:ascii="Times New Roman" w:hAnsi="Times New Roman" w:eastAsia="Times New Roman"/>
          <w:sz w:val="22"/>
          <w:lang w:val="fr-FR" w:eastAsia="fr-FR"/>
        </w:rPr>
        <w:t xml:space="preserve">. Une seconde analyse de sensibilité a utilisé le produit de neige modélisé SPASS à 1 km aux emplacements des stations de ski et des stations de mesure. Les </w:t>
      </w:r>
      <w:r>
        <w:rPr>
          <w:rFonts w:ascii="Times New Roman" w:hAnsi="Times New Roman" w:eastAsia="Times New Roman"/>
          <w:b/>
          <w:sz w:val="22"/>
          <w:lang w:val="fr-FR" w:eastAsia="fr-FR"/>
        </w:rPr>
        <w:t>150 observations composante-hiver</w:t>
      </w:r>
      <w:r>
        <w:rPr>
          <w:rFonts w:ascii="Times New Roman" w:hAnsi="Times New Roman" w:eastAsia="Times New Roman"/>
          <w:sz w:val="22"/>
          <w:lang w:val="fr-FR" w:eastAsia="fr-FR"/>
        </w:rPr>
        <w:t xml:space="preserve"> étaient complètes, mais les désaccords centrés sur les stations de ski restaient importants.</w:t>
      </w:r>
    </w:p>
    <w:p>
      <w:pPr>
        <w:widowControl/>
      </w:pPr>
      <w:r>
        <w:rPr>
          <w:rFonts w:ascii="Times New Roman" w:hAnsi="Times New Roman" w:eastAsia="Times New Roman"/>
          <w:sz w:val="22"/>
          <w:lang w:val="fr-FR" w:eastAsia="fr-FR"/>
        </w:rPr>
        <w:t xml:space="preserve">Le contexte régional de température et de précipitations repose sur les stations SwissMetNet admissibles et sur des anomalies calculées par mois civil. La comparaison avec la deuxième station la plus proche a produit des corrélations médianes de </w:t>
      </w:r>
      <w:r>
        <w:rPr>
          <w:rFonts w:ascii="Times New Roman" w:hAnsi="Times New Roman" w:eastAsia="Times New Roman"/>
          <w:b/>
          <w:sz w:val="22"/>
          <w:lang w:val="fr-FR" w:eastAsia="fr-FR"/>
        </w:rPr>
        <w:t>0,967</w:t>
      </w:r>
      <w:r>
        <w:rPr>
          <w:rFonts w:ascii="Times New Roman" w:hAnsi="Times New Roman" w:eastAsia="Times New Roman"/>
          <w:sz w:val="22"/>
          <w:lang w:val="fr-FR" w:eastAsia="fr-FR"/>
        </w:rPr>
        <w:t xml:space="preserve"> pour la température et de </w:t>
      </w:r>
      <w:r>
        <w:rPr>
          <w:rFonts w:ascii="Times New Roman" w:hAnsi="Times New Roman" w:eastAsia="Times New Roman"/>
          <w:b/>
          <w:sz w:val="22"/>
          <w:lang w:val="fr-FR" w:eastAsia="fr-FR"/>
        </w:rPr>
        <w:t>0,815</w:t>
      </w:r>
      <w:r>
        <w:rPr>
          <w:rFonts w:ascii="Times New Roman" w:hAnsi="Times New Roman" w:eastAsia="Times New Roman"/>
          <w:sz w:val="22"/>
          <w:lang w:val="fr-FR" w:eastAsia="fr-FR"/>
        </w:rPr>
        <w:t xml:space="preserve"> pour les précipitations. Les grilles officielles TabsM et RhiresM à 1 km ont fourni une analyse de sensibilité spatiale supplémentaire. Ces produits ont été traités comme des proxys régionaux, et non comme des mesures directes des pistes ou des covariables causales automatiquement valides. Des indicateurs déterministes de mois, d'hiver/été, de haute saison, de Pâques et d'une large période de sensibilité au COVID ont été générés pour l'ensemble du panel.</w:t>
      </w:r>
    </w:p>
    <w:p>
      <w:pPr>
        <w:pStyle w:val="Heading2"/>
      </w:pPr>
      <w:r>
        <w:rPr>
          <w:rFonts w:ascii="Times New Roman" w:hAnsi="Times New Roman" w:eastAsia="Times New Roman"/>
          <w:sz w:val="22"/>
          <w:lang w:val="fr-FR" w:eastAsia="fr-FR"/>
        </w:rPr>
        <w:t>5 Accessibilité tourisme et contexte concurrentiel</w:t>
      </w:r>
    </w:p>
    <w:p>
      <w:pPr>
        <w:widowControl/>
      </w:pPr>
      <w:r>
        <w:rPr>
          <w:rFonts w:ascii="Times New Roman" w:hAnsi="Times New Roman" w:eastAsia="Times New Roman"/>
          <w:sz w:val="22"/>
          <w:lang w:val="fr-FR" w:eastAsia="fr-FR"/>
        </w:rPr>
        <w:t xml:space="preserve">L'accessibilité a été mesurée de plusieurs manières non équivalentes : population à vol d'oiseau, grilles de population transfrontalières, temps de trajet modélisé par le NPVM, distance aux arrêts officiels de voyageurs et aux axes routiers nationaux, ainsi que trajets programmés en transports publics. Le calcul GTFS a échantillonné cinq heures de départ entre 8 h et 10 h et sept heures de retour entre 15 h et 18 h, pour un jour de semaine et un samedi d'hiver. Il a produit </w:t>
      </w:r>
      <w:r>
        <w:rPr>
          <w:rFonts w:ascii="Times New Roman" w:hAnsi="Times New Roman" w:eastAsia="Times New Roman"/>
          <w:b/>
          <w:sz w:val="22"/>
          <w:lang w:val="fr-FR" w:eastAsia="fr-FR"/>
        </w:rPr>
        <w:t>49 104 échantillons de trajet</w:t>
      </w:r>
      <w:r>
        <w:rPr>
          <w:rFonts w:ascii="Times New Roman" w:hAnsi="Times New Roman" w:eastAsia="Times New Roman"/>
          <w:sz w:val="22"/>
          <w:lang w:val="fr-FR" w:eastAsia="fr-FR"/>
        </w:rPr>
        <w:t xml:space="preserve"> pour </w:t>
      </w:r>
      <w:r>
        <w:rPr>
          <w:rFonts w:ascii="Times New Roman" w:hAnsi="Times New Roman" w:eastAsia="Times New Roman"/>
          <w:b/>
          <w:sz w:val="22"/>
          <w:lang w:val="fr-FR" w:eastAsia="fr-FR"/>
        </w:rPr>
        <w:t>2 046 paires destination-commune</w:t>
      </w:r>
      <w:r>
        <w:rPr>
          <w:rFonts w:ascii="Times New Roman" w:hAnsi="Times New Roman" w:eastAsia="Times New Roman"/>
          <w:sz w:val="22"/>
          <w:lang w:val="fr-FR" w:eastAsia="fr-FR"/>
        </w:rPr>
        <w:t>. Cette mesure est un instantané des horaires de l'hiver 2026 ; aucune stabilité historique n'a été supposée.</w:t>
      </w:r>
    </w:p>
    <w:p>
      <w:pPr>
        <w:widowControl/>
      </w:pPr>
      <w:r>
        <w:rPr>
          <w:rFonts w:ascii="Times New Roman" w:hAnsi="Times New Roman" w:eastAsia="Times New Roman"/>
          <w:sz w:val="22"/>
          <w:lang w:val="fr-FR" w:eastAsia="fr-FR"/>
        </w:rPr>
        <w:t>La dépendance touristique a été présentée pour les périmètres de résultats examinés et, séparément, pour les communes contenant les points des composantes candidates. Des règles fondées sur des zones tampons communales de 0, 5 et 10 km ont été évaluées par rapport aux périmètres complets de destination examinés indépendamment. Ces règles constituent des analyses de sensibilité et non des définitions d'un bassin de visiteurs.</w:t>
      </w:r>
    </w:p>
    <w:p>
      <w:pPr>
        <w:widowControl/>
      </w:pPr>
      <w:r>
        <w:rPr>
          <w:rFonts w:ascii="Times New Roman" w:hAnsi="Times New Roman" w:eastAsia="Times New Roman"/>
          <w:sz w:val="22"/>
          <w:lang w:val="fr-FR" w:eastAsia="fr-FR"/>
        </w:rPr>
        <w:t xml:space="preserve">Le contexte concurrentiel combine trois listes actuelles de pass multi-domaines avec des preuves datées de présence positive pour Top4, Meilenweiss, Schneepass Zentralschweiz, TopCard et SnowPass Graubünden. Le tableau historique contient </w:t>
      </w:r>
      <w:r>
        <w:rPr>
          <w:rFonts w:ascii="Times New Roman" w:hAnsi="Times New Roman" w:eastAsia="Times New Roman"/>
          <w:b/>
          <w:sz w:val="22"/>
          <w:lang w:val="fr-FR" w:eastAsia="fr-FR"/>
        </w:rPr>
        <w:t>155 observations domaine-saison</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184 liens positifs fiche-saison</w:t>
      </w:r>
      <w:r>
        <w:rPr>
          <w:rFonts w:ascii="Times New Roman" w:hAnsi="Times New Roman" w:eastAsia="Times New Roman"/>
          <w:sz w:val="22"/>
          <w:lang w:val="fr-FR" w:eastAsia="fr-FR"/>
        </w:rPr>
        <w:t>. L'absence d'un lien signifie uniquement qu'aucune preuve positive examinée n'a été trouvée ; elle n'établit pas une absence historique.</w:t>
      </w:r>
    </w:p>
    <w:p>
      <w:pPr>
        <w:pStyle w:val="Heading2"/>
      </w:pPr>
      <w:r>
        <w:rPr>
          <w:rFonts w:ascii="Times New Roman" w:hAnsi="Times New Roman" w:eastAsia="Times New Roman"/>
          <w:sz w:val="22"/>
          <w:lang w:val="fr-FR" w:eastAsia="fr-FR"/>
        </w:rPr>
        <w:t>6 Évaluation de la faisabilité causale</w:t>
      </w:r>
    </w:p>
    <w:p>
      <w:pPr>
        <w:widowControl/>
      </w:pPr>
      <w:r>
        <w:rPr>
          <w:rFonts w:ascii="Times New Roman" w:hAnsi="Times New Roman" w:eastAsia="Times New Roman"/>
          <w:sz w:val="22"/>
          <w:lang w:val="fr-FR" w:eastAsia="fr-FR"/>
        </w:rPr>
        <w:t xml:space="preserve">Le filtre causal exigeait un périmètre explicite de destination, une continuité d'adhésion documentée, un nombre suffisant de résultats avant et après, des témoins historiquement crédibles et non traités, un risque limité d'interférence et l'absence de choc contemporain majeur propre au témoin. Cette exigence va au-delà du simple choix d'un estimateur disponible : les différences-en-différences avec adoption échelonnée nécessitent encore une comparaison crédible fondée sur les tendances parallèles et un traitement attentif de l'hétérogénéité des calendriers et des effets (Callaway et Sant'Anna, 2021 ; Sun et Abraham, 2021), tandis que l'interconnexion des marchés du ski fait de l'interférence une menace substantielle et non une simple note technique (Hudgens et Halloran, 2008). Sept traitements permettaient un examen descriptif sur 36 mois avant le traitement. Parmi </w:t>
      </w:r>
      <w:r>
        <w:rPr>
          <w:rFonts w:ascii="Times New Roman" w:hAnsi="Times New Roman" w:eastAsia="Times New Roman"/>
          <w:b/>
          <w:sz w:val="22"/>
          <w:lang w:val="fr-FR" w:eastAsia="fr-FR"/>
        </w:rPr>
        <w:t>315 paires provisoires</w:t>
      </w:r>
      <w:r>
        <w:rPr>
          <w:rFonts w:ascii="Times New Roman" w:hAnsi="Times New Roman" w:eastAsia="Times New Roman"/>
          <w:sz w:val="22"/>
          <w:lang w:val="fr-FR" w:eastAsia="fr-FR"/>
        </w:rPr>
        <w:t xml:space="preserve">, les cinq meilleures paires par traitement, soit 35, ont été retenues pour un examen manuel. La proximité du réseau a conduit à déprioriser </w:t>
      </w:r>
      <w:r>
        <w:rPr>
          <w:rFonts w:ascii="Times New Roman" w:hAnsi="Times New Roman" w:eastAsia="Times New Roman"/>
          <w:b/>
          <w:sz w:val="22"/>
          <w:lang w:val="fr-FR" w:eastAsia="fr-FR"/>
        </w:rPr>
        <w:t>15 paires à moins de 30 km</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13 paires entre 30 et 50 km</w:t>
      </w:r>
      <w:r>
        <w:rPr>
          <w:rFonts w:ascii="Times New Roman" w:hAnsi="Times New Roman" w:eastAsia="Times New Roman"/>
          <w:sz w:val="22"/>
          <w:lang w:val="fr-FR" w:eastAsia="fr-FR"/>
        </w:rPr>
        <w:t>. Les sept paires situées à plus de 50 km ont toutes été exclues, car des sources officielles documentaient un choc contemporain propre au témoin touchant le tourisme, les prix, l'accès ou les infrastructures. Par conséquent, aucun traitement et aucun témoin n'ont été approuvés pour une estimation causale.</w:t>
      </w:r>
    </w:p>
    <w:p>
      <w:pPr>
        <w:pStyle w:val="Heading2"/>
      </w:pPr>
      <w:r>
        <w:rPr>
          <w:rFonts w:ascii="Times New Roman" w:hAnsi="Times New Roman" w:eastAsia="Times New Roman"/>
          <w:sz w:val="22"/>
          <w:lang w:val="fr-FR" w:eastAsia="fr-FR"/>
        </w:rPr>
        <w:t>7 Segmentation structurelle et analogues de la voie C</w:t>
      </w:r>
    </w:p>
    <w:p>
      <w:pPr>
        <w:widowControl/>
      </w:pPr>
      <w:r>
        <w:rPr>
          <w:rFonts w:ascii="Times New Roman" w:hAnsi="Times New Roman" w:eastAsia="Times New Roman"/>
          <w:sz w:val="22"/>
          <w:lang w:val="fr-FR" w:eastAsia="fr-FR"/>
        </w:rPr>
        <w:t>La voie C utilise uniquement trois variables structurelles du répertoire : la médiane de l'altitude supérieure publiée, la médiane des kilomètres de domaine skiable publiés et la médiane du nombre de remontées publié. Le domaine skiable et le nombre de remontées ont fait l'objet d'une transformation logarithmique avant standardisation. La géographie, l'adhésion, les résultats hôteliers, la dépendance touristique et la vulnérabilité à la neige ont été exclus du modèle de similarité afin que les étiquettes, les résultats et les dimensions stratégiques ne définissent pas la ressemblance structurelle.</w:t>
      </w:r>
    </w:p>
    <w:p>
      <w:pPr>
        <w:widowControl/>
      </w:pPr>
      <w:r>
        <w:rPr>
          <w:rFonts w:ascii="Times New Roman" w:hAnsi="Times New Roman" w:eastAsia="Times New Roman"/>
          <w:sz w:val="22"/>
          <w:lang w:val="fr-FR" w:eastAsia="fr-FR"/>
        </w:rPr>
        <w:t xml:space="preserve">Les solutions k-means déterministes de k=2 à k=8 ont été comparées selon la largeur moyenne de silhouette (Rousseeuw, 1987), la taille minimale des segments et la stabilité de l'indice de Rand ajusté sur des sous-échantillons de 80 %, dont le principe de comparaison de partitions corrigé du hasard suit Hubert et Arabie (1985). La solution retenue, </w:t>
      </w:r>
      <w:r>
        <w:rPr>
          <w:rFonts w:ascii="Times New Roman" w:hAnsi="Times New Roman" w:eastAsia="Times New Roman"/>
          <w:b/>
          <w:sz w:val="22"/>
          <w:lang w:val="fr-FR" w:eastAsia="fr-FR"/>
        </w:rPr>
        <w:t>k=2</w:t>
      </w:r>
      <w:r>
        <w:rPr>
          <w:rFonts w:ascii="Times New Roman" w:hAnsi="Times New Roman" w:eastAsia="Times New Roman"/>
          <w:sz w:val="22"/>
          <w:lang w:val="fr-FR" w:eastAsia="fr-FR"/>
        </w:rPr>
        <w:t xml:space="preserve">, présente une silhouette de </w:t>
      </w:r>
      <w:r>
        <w:rPr>
          <w:rFonts w:ascii="Times New Roman" w:hAnsi="Times New Roman" w:eastAsia="Times New Roman"/>
          <w:b/>
          <w:sz w:val="22"/>
          <w:lang w:val="fr-FR" w:eastAsia="fr-FR"/>
        </w:rPr>
        <w:t>0,514</w:t>
      </w:r>
      <w:r>
        <w:rPr>
          <w:rFonts w:ascii="Times New Roman" w:hAnsi="Times New Roman" w:eastAsia="Times New Roman"/>
          <w:sz w:val="22"/>
          <w:lang w:val="fr-FR" w:eastAsia="fr-FR"/>
        </w:rPr>
        <w:t xml:space="preserve">, un ARI bootstrap médian de </w:t>
      </w:r>
      <w:r>
        <w:rPr>
          <w:rFonts w:ascii="Times New Roman" w:hAnsi="Times New Roman" w:eastAsia="Times New Roman"/>
          <w:b/>
          <w:sz w:val="22"/>
          <w:lang w:val="fr-FR" w:eastAsia="fr-FR"/>
        </w:rPr>
        <w:t>0,987</w:t>
      </w:r>
      <w:r>
        <w:rPr>
          <w:rFonts w:ascii="Times New Roman" w:hAnsi="Times New Roman" w:eastAsia="Times New Roman"/>
          <w:sz w:val="22"/>
          <w:lang w:val="fr-FR" w:eastAsia="fr-FR"/>
        </w:rPr>
        <w:t xml:space="preserve"> et un dixième percentile de </w:t>
      </w:r>
      <w:r>
        <w:rPr>
          <w:rFonts w:ascii="Times New Roman" w:hAnsi="Times New Roman" w:eastAsia="Times New Roman"/>
          <w:b/>
          <w:sz w:val="22"/>
          <w:lang w:val="fr-FR" w:eastAsia="fr-FR"/>
        </w:rPr>
        <w:t>0,924</w:t>
      </w:r>
      <w:r>
        <w:rPr>
          <w:rFonts w:ascii="Times New Roman" w:hAnsi="Times New Roman" w:eastAsia="Times New Roman"/>
          <w:sz w:val="22"/>
          <w:lang w:val="fr-FR" w:eastAsia="fr-FR"/>
        </w:rPr>
        <w:t>. Les candidats apparemment non membres ont été comparés aux clusters Magic Pass actuels structurellement complets et à huit unités de référence traitées et examinées. Le signal des analogues correspond à la médiane du diagnostic non ajusté après-versus-avant des trois références traitées les plus proches ; il ne s'agit pas d'un effet incrémental prédit.</w:t>
      </w:r>
    </w:p>
    <w:p>
      <w:pPr>
        <w:widowControl/>
      </w:pPr>
      <w:r>
        <w:rPr>
          <w:rFonts w:ascii="Times New Roman" w:hAnsi="Times New Roman" w:eastAsia="Times New Roman"/>
          <w:sz w:val="22"/>
          <w:lang w:val="fr-FR" w:eastAsia="fr-FR"/>
        </w:rPr>
        <w:t>Les règles d'agrégation minimale, médiane et maximale au sein des clusters ont ensuite été comparées. Toutes retiennent k=2, mais l'affectation et la stabilité de l'analogue le plus proche varient. Les indicateurs de stabilité au niveau du candidat ont été conservés au lieu de sélectionner l'agrégation la plus favorable.</w:t>
      </w:r>
    </w:p>
    <w:p>
      <w:pPr>
        <w:pStyle w:val="Heading2"/>
      </w:pPr>
      <w:r>
        <w:rPr>
          <w:rFonts w:ascii="Times New Roman" w:hAnsi="Times New Roman" w:eastAsia="Times New Roman"/>
          <w:sz w:val="22"/>
          <w:lang w:val="fr-FR" w:eastAsia="fr-FR"/>
        </w:rPr>
        <w:t>8 Cadre décisionnel et reproductibilité</w:t>
      </w:r>
    </w:p>
    <w:p>
      <w:pPr>
        <w:widowControl/>
      </w:pPr>
      <w:r>
        <w:rPr>
          <w:rFonts w:ascii="Times New Roman" w:hAnsi="Times New Roman" w:eastAsia="Times New Roman"/>
          <w:sz w:val="22"/>
          <w:lang w:val="fr-FR" w:eastAsia="fr-FR"/>
        </w:rPr>
        <w:t xml:space="preserve">Le tableau de bord final affecte </w:t>
      </w:r>
      <w:r>
        <w:rPr>
          <w:rFonts w:ascii="Times New Roman" w:hAnsi="Times New Roman" w:eastAsia="Times New Roman"/>
          <w:b/>
          <w:sz w:val="22"/>
          <w:lang w:val="fr-FR" w:eastAsia="fr-FR"/>
        </w:rPr>
        <w:t>19 groupes de variables</w:t>
      </w:r>
      <w:r>
        <w:rPr>
          <w:rFonts w:ascii="Times New Roman" w:hAnsi="Times New Roman" w:eastAsia="Times New Roman"/>
          <w:sz w:val="22"/>
          <w:lang w:val="fr-FR" w:eastAsia="fr-FR"/>
        </w:rPr>
        <w:t xml:space="preserve"> exactement une fois à sept dimensions de décision. La couverture des candidats et les usages autorisés sont deux champs distincts. Seule la similarité structurelle est autorisée pour l'appariement exploratoire. Aucun groupe n'est approuvé comme prédicteur antérieur au traitement, covariable causale, entrée d'une recommandation ou d'un score composite. Les lignes de candidats restent triées selon l'identifiant stable du cluster.</w:t>
      </w:r>
    </w:p>
    <w:p>
      <w:pPr>
        <w:widowControl/>
      </w:pPr>
      <w:r>
        <w:rPr>
          <w:rFonts w:ascii="Times New Roman" w:hAnsi="Times New Roman" w:eastAsia="Times New Roman"/>
          <w:sz w:val="22"/>
          <w:lang w:val="fr-FR" w:eastAsia="fr-FR"/>
        </w:rPr>
        <w:t>Tous les fichiers sources sont audités par somme de contrôle, les preuves externes sont enregistrées dans la table de provenance et les variables analytiques sont décrites dans le dictionnaire de données. Le pipeline hors ligne régénère depuis la racine du projet les tables traitées, diagnostics, rapports, figures et tests automatisés. Les données brutes ne sont jamais écrasées.</w:t>
      </w:r>
    </w:p>
    <w:p>
      <w:pPr>
        <w:pStyle w:val="Heading1"/>
      </w:pPr>
      <w:r>
        <w:rPr>
          <w:rFonts w:ascii="Times New Roman" w:hAnsi="Times New Roman" w:eastAsia="Times New Roman"/>
          <w:sz w:val="22"/>
          <w:lang w:val="fr-FR" w:eastAsia="fr-FR"/>
        </w:rPr>
        <w:t>3 Résultats</w:t>
      </w:r>
    </w:p>
    <w:p>
      <w:pPr>
        <w:ind w:left="397" w:right="397"/>
      </w:pPr>
      <w:r>
        <w:rPr>
          <w:rFonts w:ascii="Times New Roman" w:hAnsi="Times New Roman" w:eastAsia="Times New Roman"/>
          <w:i/>
          <w:sz w:val="22"/>
          <w:lang w:val="fr-FR" w:eastAsia="fr-FR"/>
        </w:rPr>
        <w:t>Version générée à partir des résultats validés de la voie C v0.31. Ce chapitre présente la faisabilité et les éléments descriptifs ; il ne mesure pas un effet du Magic Pass.</w:t>
      </w:r>
    </w:p>
    <w:p>
      <w:pPr>
        <w:pStyle w:val="Heading2"/>
      </w:pPr>
      <w:r>
        <w:rPr>
          <w:rFonts w:ascii="Times New Roman" w:hAnsi="Times New Roman" w:eastAsia="Times New Roman"/>
          <w:sz w:val="22"/>
          <w:lang w:val="fr-FR" w:eastAsia="fr-FR"/>
        </w:rPr>
        <w:t>1 Base de données et panel de traitement</w:t>
      </w:r>
    </w:p>
    <w:p>
      <w:pPr>
        <w:widowControl/>
      </w:pPr>
      <w:r>
        <w:rPr>
          <w:rFonts w:ascii="Times New Roman" w:hAnsi="Times New Roman" w:eastAsia="Times New Roman"/>
          <w:sz w:val="22"/>
          <w:lang w:val="fr-FR" w:eastAsia="fr-FR"/>
        </w:rPr>
        <w:t xml:space="preserve">L'audit conserve </w:t>
      </w:r>
      <w:r>
        <w:rPr>
          <w:rFonts w:ascii="Times New Roman" w:hAnsi="Times New Roman" w:eastAsia="Times New Roman"/>
          <w:b/>
          <w:sz w:val="22"/>
          <w:lang w:val="fr-FR" w:eastAsia="fr-FR"/>
        </w:rPr>
        <w:t>271 fiches de répertoire</w:t>
      </w:r>
      <w:r>
        <w:rPr>
          <w:rFonts w:ascii="Times New Roman" w:hAnsi="Times New Roman" w:eastAsia="Times New Roman"/>
          <w:sz w:val="22"/>
          <w:lang w:val="fr-FR" w:eastAsia="fr-FR"/>
        </w:rPr>
        <w:t xml:space="preserve">, </w:t>
      </w:r>
      <w:r>
        <w:rPr>
          <w:rFonts w:ascii="Times New Roman" w:hAnsi="Times New Roman" w:eastAsia="Times New Roman"/>
          <w:b/>
          <w:sz w:val="22"/>
          <w:lang w:val="fr-FR" w:eastAsia="fr-FR"/>
        </w:rPr>
        <w:t>242 clusters de remontées préservés</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186 communes hôtelières</w:t>
      </w:r>
      <w:r>
        <w:rPr>
          <w:rFonts w:ascii="Times New Roman" w:hAnsi="Times New Roman" w:eastAsia="Times New Roman"/>
          <w:sz w:val="22"/>
          <w:lang w:val="fr-FR" w:eastAsia="fr-FR"/>
        </w:rPr>
        <w:t>. Parmi les clusters de remontées, 162 sont reliés à au moins une fiche du répertoire et 156 disposent de variables structurelles complètes pour la segmentation. Le panel hôtelier couvre janvier 2013 à mars 2026 et contient 28 455 valeurs mensuelles observées de nuitées.</w:t>
      </w:r>
    </w:p>
    <w:p>
      <w:pPr>
        <w:widowControl/>
      </w:pPr>
      <w:r>
        <w:rPr>
          <w:rFonts w:ascii="Times New Roman" w:hAnsi="Times New Roman" w:eastAsia="Times New Roman"/>
          <w:sz w:val="22"/>
          <w:lang w:val="fr-FR" w:eastAsia="fr-FR"/>
        </w:rPr>
        <w:t xml:space="preserve">Les documents officiels du Magic Pass ont fourni </w:t>
      </w:r>
      <w:r>
        <w:rPr>
          <w:rFonts w:ascii="Times New Roman" w:hAnsi="Times New Roman" w:eastAsia="Times New Roman"/>
          <w:b/>
          <w:sz w:val="22"/>
          <w:lang w:val="fr-FR" w:eastAsia="fr-FR"/>
        </w:rPr>
        <w:t>88 événements documentés d'entrée dans le pass de base</w:t>
      </w:r>
      <w:r>
        <w:rPr>
          <w:rFonts w:ascii="Times New Roman" w:hAnsi="Times New Roman" w:eastAsia="Times New Roman"/>
          <w:sz w:val="22"/>
          <w:lang w:val="fr-FR" w:eastAsia="fr-FR"/>
        </w:rPr>
        <w:t>. Après une résolution prudente des entités et un examen des périmètres de destination, 14 unités de destination ont été retenues et 11 intégrées au panel hôtelier. La continuité des saisons actives est documentée pour toutes les unités examinées, mais seules 7 unités du panel combinent cette preuve avec au moins 24 mois observés avant et 24 mois actifs après l'entrée. Aucune destination n'a été approuvée comme unité de traitement causal.</w:t>
      </w:r>
    </w:p>
    <w:p>
      <w:pPr>
        <w:pStyle w:val="Heading2"/>
      </w:pPr>
      <w:r>
        <w:rPr>
          <w:rFonts w:ascii="Times New Roman" w:hAnsi="Times New Roman" w:eastAsia="Times New Roman"/>
          <w:sz w:val="22"/>
          <w:lang w:val="fr-FR" w:eastAsia="fr-FR"/>
        </w:rPr>
        <w:t>2 Faisabilité causale et de l'apprentissage automatique</w:t>
      </w:r>
    </w:p>
    <w:p>
      <w:pPr>
        <w:widowControl/>
      </w:pPr>
      <w:r>
        <w:rPr>
          <w:rFonts w:ascii="Times New Roman" w:hAnsi="Times New Roman" w:eastAsia="Times New Roman"/>
          <w:sz w:val="22"/>
          <w:lang w:val="fr-FR" w:eastAsia="fr-FR"/>
        </w:rPr>
        <w:t>La sélection des témoins a d'abord examiné 814 combinaisons traitement-commune. Les règles mécaniques de distance et de couverture ont conservé 404 paires avec le seuil de 30 km et 366 avec la sensibilité à 50 km. L'étape descriptive sur les tendances antérieures a classé 315 paires et en a retenu 35 pour un examen manuel.</w:t>
      </w:r>
    </w:p>
    <w:p>
      <w:pPr>
        <w:widowControl/>
      </w:pPr>
      <w:r>
        <w:rPr>
          <w:rFonts w:ascii="Times New Roman" w:hAnsi="Times New Roman" w:eastAsia="Times New Roman"/>
          <w:sz w:val="22"/>
          <w:lang w:val="fr-FR" w:eastAsia="fr-FR"/>
        </w:rPr>
        <w:t xml:space="preserve">L'audit du réseau montre que 28 des 35 paires retenues se trouvent à moins de 50 km d'un autre point Magic Pass résolu. Pour chacune des sept paires plus éloignées, le témoin subissait un choc local contemporain documenté de manière indépendante. Aucun témoin présélectionné n'a donc résisté à l'examen combiné de la proximité et des chocs externes, ce qui laisse </w:t>
      </w:r>
      <w:r>
        <w:rPr>
          <w:rFonts w:ascii="Times New Roman" w:hAnsi="Times New Roman" w:eastAsia="Times New Roman"/>
          <w:b/>
          <w:sz w:val="22"/>
          <w:lang w:val="fr-FR" w:eastAsia="fr-FR"/>
        </w:rPr>
        <w:t>0 paire pour un audit approfondi, 0 témoin approuvé et 0 traitement causal approuvé</w:t>
      </w:r>
      <w:r>
        <w:rPr>
          <w:rFonts w:ascii="Times New Roman" w:hAnsi="Times New Roman" w:eastAsia="Times New Roman"/>
          <w:sz w:val="22"/>
          <w:lang w:val="fr-FR" w:eastAsia="fr-FR"/>
        </w:rPr>
        <w:t>.</w:t>
      </w:r>
    </w:p>
    <w:p>
      <w:pPr>
        <w:widowControl/>
      </w:pPr>
      <w:r>
        <w:rPr>
          <w:rFonts w:ascii="Times New Roman" w:hAnsi="Times New Roman" w:eastAsia="Times New Roman"/>
          <w:sz w:val="22"/>
          <w:lang w:val="fr-FR" w:eastAsia="fr-FR"/>
        </w:rPr>
        <w:t>Le point de contrôle 4 a par conséquent rejeté l'estimation causale. Le point de contrôle 5 a également rejeté les forêts causales, les méta-apprenants et les réseaux de neurones, faute de cible causale défendable et parce que l'échantillon traité effectif comprend au maximum 14 unités examinées, dont seulement sept possèdent la continuité et la couverture 24/24 requises. Aucun CATE, effet incrémental ou effet de traitement prédit n'a été produit.</w:t>
      </w:r>
    </w:p>
    <w:p>
      <w:pPr>
        <w:pStyle w:val="Heading2"/>
      </w:pPr>
      <w:r>
        <w:rPr>
          <w:rFonts w:ascii="Times New Roman" w:hAnsi="Times New Roman" w:eastAsia="Times New Roman"/>
          <w:sz w:val="22"/>
          <w:lang w:val="fr-FR" w:eastAsia="fr-FR"/>
        </w:rPr>
        <w:t>3 Segmentation structurelle et support</w:t>
      </w:r>
    </w:p>
    <w:p>
      <w:pPr>
        <w:widowControl/>
      </w:pPr>
      <w:r>
        <w:rPr>
          <w:rFonts w:ascii="Times New Roman" w:hAnsi="Times New Roman" w:eastAsia="Times New Roman"/>
          <w:sz w:val="22"/>
          <w:lang w:val="fr-FR" w:eastAsia="fr-FR"/>
        </w:rPr>
        <w:t xml:space="preserve">La solution structurelle à deux segments retenue atteint une silhouette de </w:t>
      </w:r>
      <w:r>
        <w:rPr>
          <w:rFonts w:ascii="Times New Roman" w:hAnsi="Times New Roman" w:eastAsia="Times New Roman"/>
          <w:b/>
          <w:sz w:val="22"/>
          <w:lang w:val="fr-FR" w:eastAsia="fr-FR"/>
        </w:rPr>
        <w:t>0,514</w:t>
      </w:r>
      <w:r>
        <w:rPr>
          <w:rFonts w:ascii="Times New Roman" w:hAnsi="Times New Roman" w:eastAsia="Times New Roman"/>
          <w:sz w:val="22"/>
          <w:lang w:val="fr-FR" w:eastAsia="fr-FR"/>
        </w:rPr>
        <w:t xml:space="preserve"> et une forte stabilité sur les sous-échantillons, avec un ARI médian de </w:t>
      </w:r>
      <w:r>
        <w:rPr>
          <w:rFonts w:ascii="Times New Roman" w:hAnsi="Times New Roman" w:eastAsia="Times New Roman"/>
          <w:b/>
          <w:sz w:val="22"/>
          <w:lang w:val="fr-FR" w:eastAsia="fr-FR"/>
        </w:rPr>
        <w:t>0,987</w:t>
      </w:r>
      <w:r>
        <w:rPr>
          <w:rFonts w:ascii="Times New Roman" w:hAnsi="Times New Roman" w:eastAsia="Times New Roman"/>
          <w:sz w:val="22"/>
          <w:lang w:val="fr-FR" w:eastAsia="fr-FR"/>
        </w:rPr>
        <w:t xml:space="preserve"> et un dixième percentile de </w:t>
      </w:r>
      <w:r>
        <w:rPr>
          <w:rFonts w:ascii="Times New Roman" w:hAnsi="Times New Roman" w:eastAsia="Times New Roman"/>
          <w:b/>
          <w:sz w:val="22"/>
          <w:lang w:val="fr-FR" w:eastAsia="fr-FR"/>
        </w:rPr>
        <w:t>0,924</w:t>
      </w:r>
      <w:r>
        <w:rPr>
          <w:rFonts w:ascii="Times New Roman" w:hAnsi="Times New Roman" w:eastAsia="Times New Roman"/>
          <w:sz w:val="22"/>
          <w:lang w:val="fr-FR" w:eastAsia="fr-FR"/>
        </w:rPr>
        <w:t xml:space="preserve">. Parmi les </w:t>
      </w:r>
      <w:r>
        <w:rPr>
          <w:rFonts w:ascii="Times New Roman" w:hAnsi="Times New Roman" w:eastAsia="Times New Roman"/>
          <w:b/>
          <w:sz w:val="22"/>
          <w:lang w:val="fr-FR" w:eastAsia="fr-FR"/>
        </w:rPr>
        <w:t>104 candidats apparents</w:t>
      </w:r>
      <w:r>
        <w:rPr>
          <w:rFonts w:ascii="Times New Roman" w:hAnsi="Times New Roman" w:eastAsia="Times New Roman"/>
          <w:sz w:val="22"/>
          <w:lang w:val="fr-FR" w:eastAsia="fr-FR"/>
        </w:rPr>
        <w:t>, 74 bénéficient d'un bon support par rapport aux références traitées examinées, 5 constituent des extrapolations modérées et 25 de fortes extrapolations.</w:t>
      </w:r>
    </w:p>
    <w:p>
      <w:pPr>
        <w:widowControl/>
      </w:pPr>
      <w:r>
        <w:rPr>
          <w:rFonts w:ascii="Times New Roman" w:hAnsi="Times New Roman" w:eastAsia="Times New Roman"/>
          <w:sz w:val="22"/>
          <w:lang w:val="fr-FR" w:eastAsia="fr-FR"/>
        </w:rPr>
        <w:t xml:space="preserve">La sensibilité à l'agrégation au sein des clusters est importante. Bien que les règles minimale, médiane et maximale retiennent toutes k=2, l'ARI des segments par rapport à la solution médiane tombe à </w:t>
      </w:r>
      <w:r>
        <w:rPr>
          <w:rFonts w:ascii="Times New Roman" w:hAnsi="Times New Roman" w:eastAsia="Times New Roman"/>
          <w:b/>
          <w:sz w:val="22"/>
          <w:lang w:val="fr-FR" w:eastAsia="fr-FR"/>
        </w:rPr>
        <w:t>0,827</w:t>
      </w:r>
      <w:r>
        <w:rPr>
          <w:rFonts w:ascii="Times New Roman" w:hAnsi="Times New Roman" w:eastAsia="Times New Roman"/>
          <w:sz w:val="22"/>
          <w:lang w:val="fr-FR" w:eastAsia="fr-FR"/>
        </w:rPr>
        <w:t xml:space="preserve"> avec l'agrégation minimale et à </w:t>
      </w:r>
      <w:r>
        <w:rPr>
          <w:rFonts w:ascii="Times New Roman" w:hAnsi="Times New Roman" w:eastAsia="Times New Roman"/>
          <w:b/>
          <w:sz w:val="22"/>
          <w:lang w:val="fr-FR" w:eastAsia="fr-FR"/>
        </w:rPr>
        <w:t>0,714</w:t>
      </w:r>
      <w:r>
        <w:rPr>
          <w:rFonts w:ascii="Times New Roman" w:hAnsi="Times New Roman" w:eastAsia="Times New Roman"/>
          <w:sz w:val="22"/>
          <w:lang w:val="fr-FR" w:eastAsia="fr-FR"/>
        </w:rPr>
        <w:t xml:space="preserve"> avec l'agrégation maximale. Seuls </w:t>
      </w:r>
      <w:r>
        <w:rPr>
          <w:rFonts w:ascii="Times New Roman" w:hAnsi="Times New Roman" w:eastAsia="Times New Roman"/>
          <w:b/>
          <w:sz w:val="22"/>
          <w:lang w:val="fr-FR" w:eastAsia="fr-FR"/>
        </w:rPr>
        <w:t>11 des 104 candidats</w:t>
      </w:r>
      <w:r>
        <w:rPr>
          <w:rFonts w:ascii="Times New Roman" w:hAnsi="Times New Roman" w:eastAsia="Times New Roman"/>
          <w:sz w:val="22"/>
          <w:lang w:val="fr-FR" w:eastAsia="fr-FR"/>
        </w:rPr>
        <w:t xml:space="preserve"> conservent tous les critères enregistrés de segment, d'analogue le plus proche et de support traité. Soixante et onze gardent la même référence traitée la plus proche et 60 la même catégorie de support par rapport aux références traitées. Ces résultats justifient la présentation de la stabilité propre à chaque candidat plutôt qu'un classement unique.</w:t>
      </w:r>
    </w:p>
    <w:p>
      <w:pPr>
        <w:pStyle w:val="Heading2"/>
      </w:pPr>
      <w:r>
        <w:rPr>
          <w:rFonts w:ascii="Times New Roman" w:hAnsi="Times New Roman" w:eastAsia="Times New Roman"/>
          <w:sz w:val="22"/>
          <w:lang w:val="fr-FR" w:eastAsia="fr-FR"/>
        </w:rPr>
        <w:t>4 Éléments relatifs au périmètre touristique</w:t>
      </w:r>
    </w:p>
    <w:p>
      <w:pPr>
        <w:widowControl/>
      </w:pPr>
      <w:r>
        <w:rPr>
          <w:rFonts w:ascii="Times New Roman" w:hAnsi="Times New Roman" w:eastAsia="Times New Roman"/>
          <w:sz w:val="22"/>
          <w:lang w:val="fr-FR" w:eastAsia="fr-FR"/>
        </w:rPr>
        <w:t>Les communes contenant les points des composantes reproduisent exactement 10 des 11 ensembles communaux utilisés pour les résultats, mais sept de ces correspondances sont des proxys de commune centrale définis à partir de la même logique de composantes. Parmi les quatre périmètres communaux complets examinés indépendamment, seuls trois concordent exactement et les points des composantes retrouvent quatre communes sur cinq. Meiringen-Hasliberg constitue le principal désaccord : le point de la station se situe à Hasliberg, alors que le périmètre du résultat examiné inclut également Meiringen.</w:t>
      </w:r>
    </w:p>
    <w:p>
      <w:pPr>
        <w:widowControl/>
      </w:pPr>
      <w:r>
        <w:rPr>
          <w:rFonts w:ascii="Times New Roman" w:hAnsi="Times New Roman" w:eastAsia="Times New Roman"/>
          <w:sz w:val="22"/>
          <w:lang w:val="fr-FR" w:eastAsia="fr-FR"/>
        </w:rPr>
        <w:t xml:space="preserve">L'analyse de sensibilité par rayon confirme un arbitrage entre précision et rappel. La commune contenant le point retrouve quatre liens sur cinq sans ajout. La règle de 5 km retrouve les cinq liens, mais ajoute </w:t>
      </w:r>
      <w:r>
        <w:rPr>
          <w:rFonts w:ascii="Times New Roman" w:hAnsi="Times New Roman" w:eastAsia="Times New Roman"/>
          <w:b/>
          <w:sz w:val="22"/>
          <w:lang w:val="fr-FR" w:eastAsia="fr-FR"/>
        </w:rPr>
        <w:t>25 communes</w:t>
      </w:r>
      <w:r>
        <w:rPr>
          <w:rFonts w:ascii="Times New Roman" w:hAnsi="Times New Roman" w:eastAsia="Times New Roman"/>
          <w:sz w:val="22"/>
          <w:lang w:val="fr-FR" w:eastAsia="fr-FR"/>
        </w:rPr>
        <w:t xml:space="preserve">, et celle de 10 km en ajoute </w:t>
      </w:r>
      <w:r>
        <w:rPr>
          <w:rFonts w:ascii="Times New Roman" w:hAnsi="Times New Roman" w:eastAsia="Times New Roman"/>
          <w:b/>
          <w:sz w:val="22"/>
          <w:lang w:val="fr-FR" w:eastAsia="fr-FR"/>
        </w:rPr>
        <w:t>60</w:t>
      </w:r>
      <w:r>
        <w:rPr>
          <w:rFonts w:ascii="Times New Roman" w:hAnsi="Times New Roman" w:eastAsia="Times New Roman"/>
          <w:sz w:val="22"/>
          <w:lang w:val="fr-FR" w:eastAsia="fr-FR"/>
        </w:rPr>
        <w:t>. Bien que 99 candidats obtiennent un ratio HESTA observé avec au moins une règle, seuls 39 disposent d'un contexte hôtelier complet avec l'une des règles et aucun bassin n'est validé.</w:t>
      </w:r>
    </w:p>
    <w:p>
      <w:pPr>
        <w:pStyle w:val="Heading2"/>
      </w:pPr>
      <w:r>
        <w:rPr>
          <w:rFonts w:ascii="Times New Roman" w:hAnsi="Times New Roman" w:eastAsia="Times New Roman"/>
          <w:sz w:val="22"/>
          <w:lang w:val="fr-FR" w:eastAsia="fr-FR"/>
        </w:rPr>
        <w:t>5 Robustesse du climat et de la neige</w:t>
      </w:r>
    </w:p>
    <w:p>
      <w:pPr>
        <w:widowControl/>
      </w:pPr>
      <w:r>
        <w:rPr>
          <w:rFonts w:ascii="Times New Roman" w:hAnsi="Times New Roman" w:eastAsia="Times New Roman"/>
          <w:sz w:val="22"/>
          <w:lang w:val="fr-FR" w:eastAsia="fr-FR"/>
        </w:rPr>
        <w:t xml:space="preserve">Le test avec une autre station SLF classe 11 des 15 comparaisons de composantes comme élevées ou modérées et quatre comme faibles. La corrélation médiane de l'épaisseur hivernale est de </w:t>
      </w:r>
      <w:r>
        <w:rPr>
          <w:rFonts w:ascii="Times New Roman" w:hAnsi="Times New Roman" w:eastAsia="Times New Roman"/>
          <w:b/>
          <w:sz w:val="22"/>
          <w:lang w:val="fr-FR" w:eastAsia="fr-FR"/>
        </w:rPr>
        <w:t>0,864</w:t>
      </w:r>
      <w:r>
        <w:rPr>
          <w:rFonts w:ascii="Times New Roman" w:hAnsi="Times New Roman" w:eastAsia="Times New Roman"/>
          <w:sz w:val="22"/>
          <w:lang w:val="fr-FR" w:eastAsia="fr-FR"/>
        </w:rPr>
        <w:t xml:space="preserve">, tandis que l'écart absolu relatif médian atteint </w:t>
      </w:r>
      <w:r>
        <w:rPr>
          <w:rFonts w:ascii="Times New Roman" w:hAnsi="Times New Roman" w:eastAsia="Times New Roman"/>
          <w:b/>
          <w:sz w:val="22"/>
          <w:lang w:val="fr-FR" w:eastAsia="fr-FR"/>
        </w:rPr>
        <w:t>47,2 %</w:t>
      </w:r>
      <w:r>
        <w:rPr>
          <w:rFonts w:ascii="Times New Roman" w:hAnsi="Times New Roman" w:eastAsia="Times New Roman"/>
          <w:sz w:val="22"/>
          <w:lang w:val="fr-FR" w:eastAsia="fr-FR"/>
        </w:rPr>
        <w:t>. La comparaison SPASS à l'emplacement des stations de mesure est toujours élevée ou modérée, mais la comparaison centrée sur les stations de ski est faible pour 8 composantes sur 15. Ce résultat identifie le décalage de position et d'altitude entre la station de mesure et la station de ski comme la principale limite du proxy de neige.</w:t>
      </w:r>
    </w:p>
    <w:p>
      <w:pPr>
        <w:widowControl/>
      </w:pPr>
      <w:r>
        <w:rPr>
          <w:rFonts w:ascii="Times New Roman" w:hAnsi="Times New Roman" w:eastAsia="Times New Roman"/>
          <w:sz w:val="22"/>
          <w:lang w:val="fr-FR" w:eastAsia="fr-FR"/>
        </w:rPr>
        <w:t xml:space="preserve">Les anomalies météorologiques sont plus robustes au choix de la station. Les 15 comparaisons avec une autre station sont élevées ou modérées ; les corrélations médianes des anomalies de température et de précipitations sont respectivement de </w:t>
      </w:r>
      <w:r>
        <w:rPr>
          <w:rFonts w:ascii="Times New Roman" w:hAnsi="Times New Roman" w:eastAsia="Times New Roman"/>
          <w:b/>
          <w:sz w:val="22"/>
          <w:lang w:val="fr-FR" w:eastAsia="fr-FR"/>
        </w:rPr>
        <w:t>0,967</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0,815</w:t>
      </w:r>
      <w:r>
        <w:rPr>
          <w:rFonts w:ascii="Times New Roman" w:hAnsi="Times New Roman" w:eastAsia="Times New Roman"/>
          <w:sz w:val="22"/>
          <w:lang w:val="fr-FR" w:eastAsia="fr-FR"/>
        </w:rPr>
        <w:t xml:space="preserve">. Les grilles officielles à 1 km donnent des corrélations médianes de </w:t>
      </w:r>
      <w:r>
        <w:rPr>
          <w:rFonts w:ascii="Times New Roman" w:hAnsi="Times New Roman" w:eastAsia="Times New Roman"/>
          <w:b/>
          <w:sz w:val="22"/>
          <w:lang w:val="fr-FR" w:eastAsia="fr-FR"/>
        </w:rPr>
        <w:t>0,983</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0,942</w:t>
      </w:r>
      <w:r>
        <w:rPr>
          <w:rFonts w:ascii="Times New Roman" w:hAnsi="Times New Roman" w:eastAsia="Times New Roman"/>
          <w:sz w:val="22"/>
          <w:lang w:val="fr-FR" w:eastAsia="fr-FR"/>
        </w:rPr>
        <w:t>, même si deux comparaisons de composantes sont faibles. Aucune de ces analyses de sensibilité n'a transformé une variable climatique en covariable causale approuvée.</w:t>
      </w:r>
    </w:p>
    <w:p>
      <w:pPr>
        <w:pStyle w:val="Heading2"/>
      </w:pPr>
      <w:r>
        <w:rPr>
          <w:rFonts w:ascii="Times New Roman" w:hAnsi="Times New Roman" w:eastAsia="Times New Roman"/>
          <w:sz w:val="22"/>
          <w:lang w:val="fr-FR" w:eastAsia="fr-FR"/>
        </w:rPr>
        <w:t>6 Accessibilité et transports</w:t>
      </w:r>
    </w:p>
    <w:p>
      <w:pPr>
        <w:widowControl/>
      </w:pPr>
      <w:r>
        <w:rPr>
          <w:rFonts w:ascii="Times New Roman" w:hAnsi="Times New Roman" w:eastAsia="Times New Roman"/>
          <w:sz w:val="22"/>
          <w:lang w:val="fr-FR" w:eastAsia="fr-FR"/>
        </w:rPr>
        <w:t xml:space="preserve">L'analyse GTFS des horaires a produit </w:t>
      </w:r>
      <w:r>
        <w:rPr>
          <w:rFonts w:ascii="Times New Roman" w:hAnsi="Times New Roman" w:eastAsia="Times New Roman"/>
          <w:b/>
          <w:sz w:val="22"/>
          <w:lang w:val="fr-FR" w:eastAsia="fr-FR"/>
        </w:rPr>
        <w:t>49 104 échantillons</w:t>
      </w:r>
      <w:r>
        <w:rPr>
          <w:rFonts w:ascii="Times New Roman" w:hAnsi="Times New Roman" w:eastAsia="Times New Roman"/>
          <w:sz w:val="22"/>
          <w:lang w:val="fr-FR" w:eastAsia="fr-FR"/>
        </w:rPr>
        <w:t xml:space="preserve">, dont 38 504 sont réalisables dans la limite de six véhicules et de huit heures. Sur 2 046 paires destination-commune, 1 104 sont réalisables à toutes les heures échantillonnées. Les temps généralisés médians à l'aller et au retour sont respectivement de </w:t>
      </w:r>
      <w:r>
        <w:rPr>
          <w:rFonts w:ascii="Times New Roman" w:hAnsi="Times New Roman" w:eastAsia="Times New Roman"/>
          <w:b/>
          <w:sz w:val="22"/>
          <w:lang w:val="fr-FR" w:eastAsia="fr-FR"/>
        </w:rPr>
        <w:t>246,3</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243,1 minutes</w:t>
      </w:r>
      <w:r>
        <w:rPr>
          <w:rFonts w:ascii="Times New Roman" w:hAnsi="Times New Roman" w:eastAsia="Times New Roman"/>
          <w:sz w:val="22"/>
          <w:lang w:val="fr-FR" w:eastAsia="fr-FR"/>
        </w:rPr>
        <w:t>.</w:t>
      </w:r>
    </w:p>
    <w:p>
      <w:pPr>
        <w:widowControl/>
      </w:pPr>
      <w:r>
        <w:rPr>
          <w:rFonts w:ascii="Times New Roman" w:hAnsi="Times New Roman" w:eastAsia="Times New Roman"/>
          <w:sz w:val="22"/>
          <w:lang w:val="fr-FR" w:eastAsia="fr-FR"/>
        </w:rPr>
        <w:t xml:space="preserve">Dix destinations permettent une corrélation bidirectionnelle des rangs de distance et de temps. La corrélation médiane est de </w:t>
      </w:r>
      <w:r>
        <w:rPr>
          <w:rFonts w:ascii="Times New Roman" w:hAnsi="Times New Roman" w:eastAsia="Times New Roman"/>
          <w:b/>
          <w:sz w:val="22"/>
          <w:lang w:val="fr-FR" w:eastAsia="fr-FR"/>
        </w:rPr>
        <w:t>0,743</w:t>
      </w:r>
      <w:r>
        <w:rPr>
          <w:rFonts w:ascii="Times New Roman" w:hAnsi="Times New Roman" w:eastAsia="Times New Roman"/>
          <w:sz w:val="22"/>
          <w:lang w:val="fr-FR" w:eastAsia="fr-FR"/>
        </w:rPr>
        <w:t>, avec une fourchette de 0,607 à 0,869. Au seuil d'écart de rang de 0,25, 225 paires ont un accès en transports publics moins bon que ne le suggère la distance à vol d'oiseau, et 171 un accès meilleur. La distance reste donc informative, mais elle n'est pas interchangeable avec le temps de trajet programmé.</w:t>
      </w:r>
    </w:p>
    <w:p>
      <w:pPr>
        <w:pStyle w:val="Heading2"/>
      </w:pPr>
      <w:r>
        <w:rPr>
          <w:rFonts w:ascii="Times New Roman" w:hAnsi="Times New Roman" w:eastAsia="Times New Roman"/>
          <w:sz w:val="22"/>
          <w:lang w:val="fr-FR" w:eastAsia="fr-FR"/>
        </w:rPr>
        <w:t>7 Concurrence et contexte de réseau</w:t>
      </w:r>
    </w:p>
    <w:p>
      <w:pPr>
        <w:widowControl/>
      </w:pPr>
      <w:r>
        <w:rPr>
          <w:rFonts w:ascii="Times New Roman" w:hAnsi="Times New Roman" w:eastAsia="Times New Roman"/>
          <w:sz w:val="22"/>
          <w:lang w:val="fr-FR" w:eastAsia="fr-FR"/>
        </w:rPr>
        <w:t xml:space="preserve">Le registre historique des pass multi-domaines couvre cinq produits sur 21 couples produit-saison. Il contient </w:t>
      </w:r>
      <w:r>
        <w:rPr>
          <w:rFonts w:ascii="Times New Roman" w:hAnsi="Times New Roman" w:eastAsia="Times New Roman"/>
          <w:b/>
          <w:sz w:val="22"/>
          <w:lang w:val="fr-FR" w:eastAsia="fr-FR"/>
        </w:rPr>
        <w:t>155 observations domaine-saison</w:t>
      </w:r>
      <w:r>
        <w:rPr>
          <w:rFonts w:ascii="Times New Roman" w:hAnsi="Times New Roman" w:eastAsia="Times New Roman"/>
          <w:sz w:val="22"/>
          <w:lang w:val="fr-FR" w:eastAsia="fr-FR"/>
        </w:rPr>
        <w:t xml:space="preserve"> et </w:t>
      </w:r>
      <w:r>
        <w:rPr>
          <w:rFonts w:ascii="Times New Roman" w:hAnsi="Times New Roman" w:eastAsia="Times New Roman"/>
          <w:b/>
          <w:sz w:val="22"/>
          <w:lang w:val="fr-FR" w:eastAsia="fr-FR"/>
        </w:rPr>
        <w:t>184 liens positifs fiche-saison</w:t>
      </w:r>
      <w:r>
        <w:rPr>
          <w:rFonts w:ascii="Times New Roman" w:hAnsi="Times New Roman" w:eastAsia="Times New Roman"/>
          <w:sz w:val="22"/>
          <w:lang w:val="fr-FR" w:eastAsia="fr-FR"/>
        </w:rPr>
        <w:t>, concernant 52 fiches et 37 clusters de remontées. Trente candidats possèdent au moins un lien historique documenté ; pour 19 d'entre eux, toutes les fiches du cluster sont reliées à au moins un produit-saison examiné, tandis que 11 sont des clusters mixtes partiellement reliés. SnowPass reste limité à l'hiver et les déclarations estivales au niveau du produit n'ont pas été étendues aux domaines individuels.</w:t>
      </w:r>
    </w:p>
    <w:p>
      <w:pPr>
        <w:widowControl/>
      </w:pPr>
      <w:r>
        <w:rPr>
          <w:rFonts w:ascii="Times New Roman" w:hAnsi="Times New Roman" w:eastAsia="Times New Roman"/>
          <w:sz w:val="22"/>
          <w:lang w:val="fr-FR" w:eastAsia="fr-FR"/>
        </w:rPr>
        <w:t>Cette reconstruction améliore la couverture des présences positives, mais ne produit pas un panel historique complet du marché. Aucun non-lien n'est validé comme une absence du marché ; la concurrence historique reste donc un contexte descriptif et non un traitement, un prédicteur ou une variable de classement.</w:t>
      </w:r>
    </w:p>
    <w:p>
      <w:pPr>
        <w:pStyle w:val="Heading2"/>
      </w:pPr>
      <w:r>
        <w:rPr>
          <w:rFonts w:ascii="Times New Roman" w:hAnsi="Times New Roman" w:eastAsia="Times New Roman"/>
          <w:sz w:val="22"/>
          <w:lang w:val="fr-FR" w:eastAsia="fr-FR"/>
        </w:rPr>
        <w:t>8 Cadre décisionnel final</w:t>
      </w:r>
    </w:p>
    <w:p>
      <w:pPr>
        <w:widowControl/>
      </w:pPr>
      <w:r>
        <w:rPr>
          <w:rFonts w:ascii="Times New Roman" w:hAnsi="Times New Roman" w:eastAsia="Times New Roman"/>
          <w:sz w:val="22"/>
          <w:lang w:val="fr-FR" w:eastAsia="fr-FR"/>
        </w:rPr>
        <w:t xml:space="preserve">Le point de contrôle 6 affecte 19 groupes de données à sept dimensions. Treize groupes couvrent tous les candidats, deux les couvrent partiellement et quatre n'ont pas de variable au niveau des candidats. Seule la similarité structurelle est approuvée pour un usage exploratoire. </w:t>
      </w:r>
      <w:r>
        <w:rPr>
          <w:rFonts w:ascii="Times New Roman" w:hAnsi="Times New Roman" w:eastAsia="Times New Roman"/>
          <w:b/>
          <w:sz w:val="22"/>
          <w:lang w:val="fr-FR" w:eastAsia="fr-FR"/>
        </w:rPr>
        <w:t>Aucun groupe</w:t>
      </w:r>
      <w:r>
        <w:rPr>
          <w:rFonts w:ascii="Times New Roman" w:hAnsi="Times New Roman" w:eastAsia="Times New Roman"/>
          <w:sz w:val="22"/>
          <w:lang w:val="fr-FR" w:eastAsia="fr-FR"/>
        </w:rPr>
        <w:t xml:space="preserve"> n'est approuvé comme prédicteur antérieur au traitement, covariable causale, entrée d'une recommandation ou d'un score composite.</w:t>
      </w:r>
    </w:p>
    <w:p>
      <w:pPr>
        <w:widowControl/>
      </w:pPr>
      <w:r>
        <w:rPr>
          <w:rFonts w:ascii="Times New Roman" w:hAnsi="Times New Roman" w:eastAsia="Times New Roman"/>
          <w:sz w:val="22"/>
          <w:lang w:val="fr-FR" w:eastAsia="fr-FR"/>
        </w:rPr>
        <w:t xml:space="preserve">Le tableau de bord final contient 104 clusters candidats. Il produit </w:t>
      </w:r>
      <w:r>
        <w:rPr>
          <w:rFonts w:ascii="Times New Roman" w:hAnsi="Times New Roman" w:eastAsia="Times New Roman"/>
          <w:b/>
          <w:sz w:val="22"/>
          <w:lang w:val="fr-FR" w:eastAsia="fr-FR"/>
        </w:rPr>
        <w:t>0 valeur d'effet incrémental prédit, 0 recommandation, 0 score composite et 0 approbation causale</w:t>
      </w:r>
      <w:r>
        <w:rPr>
          <w:rFonts w:ascii="Times New Roman" w:hAnsi="Times New Roman" w:eastAsia="Times New Roman"/>
          <w:sz w:val="22"/>
          <w:lang w:val="fr-FR" w:eastAsia="fr-FR"/>
        </w:rPr>
        <w:t>. Aucun candidat ne franchit le seuil complet Opportunité × Besoin stratégique. Le résultat empirique est donc un système multidimensionnel et qualifié de présentation des preuves, et non une recommandation classée d'extension.</w:t>
      </w:r>
    </w:p>
    <w:p>
      <w:pPr>
        <w:pStyle w:val="Heading2"/>
      </w:pPr>
      <w:r>
        <w:rPr>
          <w:rFonts w:ascii="Times New Roman" w:hAnsi="Times New Roman" w:eastAsia="Times New Roman"/>
          <w:sz w:val="22"/>
          <w:lang w:val="fr-FR" w:eastAsia="fr-FR"/>
        </w:rPr>
        <w:t>Synthèse visuelle de la couverture des données</w:t>
      </w:r>
    </w:p>
    <w:p>
      <w:pPr>
        <w:keepNext/>
        <w:jc w:val="center"/>
      </w:pPr>
      <w:r>
        <w:rPr>
          <w:lang w:val="fr-FR" w:eastAsia="fr-FR"/>
        </w:rPr>
        <w:drawing>
          <wp:inline xmlns:a="http://schemas.openxmlformats.org/drawingml/2006/main" xmlns:pic="http://schemas.openxmlformats.org/drawingml/2006/picture">
            <wp:extent cx="5623560" cy="3228340"/>
            <wp:docPr id="1" name="Picture 1"/>
            <wp:cNvGraphicFramePr>
              <a:graphicFrameLocks noChangeAspect="1"/>
            </wp:cNvGraphicFramePr>
            <a:graphic>
              <a:graphicData uri="http://schemas.openxmlformats.org/drawingml/2006/picture">
                <pic:pic>
                  <pic:nvPicPr>
                    <pic:cNvPr id="0" name="path_c_evidence_coverage_fr.png"/>
                    <pic:cNvPicPr/>
                  </pic:nvPicPr>
                  <pic:blipFill>
                    <a:blip r:embed="rId10"/>
                    <a:stretch>
                      <a:fillRect/>
                    </a:stretch>
                  </pic:blipFill>
                  <pic:spPr>
                    <a:xfrm>
                      <a:off x="0" y="0"/>
                      <a:ext cx="5623560" cy="3228340"/>
                    </a:xfrm>
                    <a:prstGeom prst="rect"/>
                  </pic:spPr>
                </pic:pic>
              </a:graphicData>
            </a:graphic>
          </wp:inline>
        </w:drawing>
      </w:r>
    </w:p>
    <w:p>
      <w:pPr>
        <w:spacing w:after="180"/>
        <w:jc w:val="center"/>
      </w:pPr>
      <w:r>
        <w:rPr>
          <w:rFonts w:ascii="Times New Roman" w:hAnsi="Times New Roman" w:eastAsia="Times New Roman"/>
          <w:i/>
          <w:sz w:val="19"/>
          <w:lang w:val="fr-FR" w:eastAsia="fr-FR"/>
        </w:rPr>
        <w:t>Couverture des données de la voie C</w:t>
      </w:r>
    </w:p>
    <w:p>
      <w:pPr>
        <w:pStyle w:val="Heading2"/>
      </w:pPr>
      <w:r>
        <w:rPr>
          <w:rFonts w:ascii="Times New Roman" w:hAnsi="Times New Roman" w:eastAsia="Times New Roman"/>
          <w:sz w:val="22"/>
          <w:lang w:val="fr-FR" w:eastAsia="fr-FR"/>
        </w:rPr>
        <w:t>Segments structurels</w:t>
      </w:r>
    </w:p>
    <w:p>
      <w:pPr>
        <w:keepNext/>
        <w:jc w:val="center"/>
      </w:pPr>
      <w:r>
        <w:rPr>
          <w:lang w:val="fr-FR" w:eastAsia="fr-FR"/>
        </w:rPr>
        <w:drawing>
          <wp:inline xmlns:a="http://schemas.openxmlformats.org/drawingml/2006/main" xmlns:pic="http://schemas.openxmlformats.org/drawingml/2006/picture">
            <wp:extent cx="5623560" cy="3789790"/>
            <wp:docPr id="2" name="Picture 2"/>
            <wp:cNvGraphicFramePr>
              <a:graphicFrameLocks noChangeAspect="1"/>
            </wp:cNvGraphicFramePr>
            <a:graphic>
              <a:graphicData uri="http://schemas.openxmlformats.org/drawingml/2006/picture">
                <pic:pic>
                  <pic:nvPicPr>
                    <pic:cNvPr id="0" name="path_c_structural_segments_fr.png"/>
                    <pic:cNvPicPr/>
                  </pic:nvPicPr>
                  <pic:blipFill>
                    <a:blip r:embed="rId11"/>
                    <a:stretch>
                      <a:fillRect/>
                    </a:stretch>
                  </pic:blipFill>
                  <pic:spPr>
                    <a:xfrm>
                      <a:off x="0" y="0"/>
                      <a:ext cx="5623560" cy="3789790"/>
                    </a:xfrm>
                    <a:prstGeom prst="rect"/>
                  </pic:spPr>
                </pic:pic>
              </a:graphicData>
            </a:graphic>
          </wp:inline>
        </w:drawing>
      </w:r>
    </w:p>
    <w:p>
      <w:pPr>
        <w:spacing w:after="180"/>
        <w:jc w:val="center"/>
      </w:pPr>
      <w:r>
        <w:rPr>
          <w:rFonts w:ascii="Times New Roman" w:hAnsi="Times New Roman" w:eastAsia="Times New Roman"/>
          <w:i/>
          <w:sz w:val="19"/>
          <w:lang w:val="fr-FR" w:eastAsia="fr-FR"/>
        </w:rPr>
        <w:t>Segments structurels de la voie C</w:t>
      </w:r>
    </w:p>
    <w:p>
      <w:pPr>
        <w:pStyle w:val="Heading2"/>
      </w:pPr>
      <w:r>
        <w:rPr>
          <w:rFonts w:ascii="Times New Roman" w:hAnsi="Times New Roman" w:eastAsia="Times New Roman"/>
          <w:sz w:val="22"/>
          <w:lang w:val="fr-FR" w:eastAsia="fr-FR"/>
        </w:rPr>
        <w:t>Dimensions opportunité et neige maintenues séparées</w:t>
      </w:r>
    </w:p>
    <w:p>
      <w:pPr>
        <w:keepNext/>
        <w:jc w:val="center"/>
      </w:pPr>
      <w:r>
        <w:rPr>
          <w:lang w:val="fr-FR" w:eastAsia="fr-FR"/>
        </w:rPr>
        <w:drawing>
          <wp:inline xmlns:a="http://schemas.openxmlformats.org/drawingml/2006/main" xmlns:pic="http://schemas.openxmlformats.org/drawingml/2006/picture">
            <wp:extent cx="5623560" cy="4686300"/>
            <wp:docPr id="3" name="Picture 3"/>
            <wp:cNvGraphicFramePr>
              <a:graphicFrameLocks noChangeAspect="1"/>
            </wp:cNvGraphicFramePr>
            <a:graphic>
              <a:graphicData uri="http://schemas.openxmlformats.org/drawingml/2006/picture">
                <pic:pic>
                  <pic:nvPicPr>
                    <pic:cNvPr id="0" name="path_c_opportunity_snow_matrix_fr.png"/>
                    <pic:cNvPicPr/>
                  </pic:nvPicPr>
                  <pic:blipFill>
                    <a:blip r:embed="rId12"/>
                    <a:stretch>
                      <a:fillRect/>
                    </a:stretch>
                  </pic:blipFill>
                  <pic:spPr>
                    <a:xfrm>
                      <a:off x="0" y="0"/>
                      <a:ext cx="5623560" cy="4686300"/>
                    </a:xfrm>
                    <a:prstGeom prst="rect"/>
                  </pic:spPr>
                </pic:pic>
              </a:graphicData>
            </a:graphic>
          </wp:inline>
        </w:drawing>
      </w:r>
    </w:p>
    <w:p>
      <w:pPr>
        <w:spacing w:after="180"/>
        <w:jc w:val="center"/>
      </w:pPr>
      <w:r>
        <w:rPr>
          <w:rFonts w:ascii="Times New Roman" w:hAnsi="Times New Roman" w:eastAsia="Times New Roman"/>
          <w:i/>
          <w:sz w:val="19"/>
          <w:lang w:val="fr-FR" w:eastAsia="fr-FR"/>
        </w:rPr>
        <w:t>Matrice opportunité neige de la voie C</w:t>
      </w:r>
    </w:p>
    <w:p>
      <w:pPr>
        <w:pStyle w:val="Heading1"/>
      </w:pPr>
      <w:r>
        <w:rPr>
          <w:rFonts w:ascii="Times New Roman" w:hAnsi="Times New Roman" w:eastAsia="Times New Roman"/>
          <w:sz w:val="22"/>
          <w:lang w:val="fr-FR" w:eastAsia="fr-FR"/>
        </w:rPr>
        <w:t>4 Discussion et limites</w:t>
      </w:r>
    </w:p>
    <w:p>
      <w:pPr>
        <w:ind w:left="397" w:right="397"/>
      </w:pPr>
      <w:r>
        <w:rPr>
          <w:rFonts w:ascii="Times New Roman" w:hAnsi="Times New Roman" w:eastAsia="Times New Roman"/>
          <w:i/>
          <w:sz w:val="22"/>
          <w:lang w:val="fr-FR" w:eastAsia="fr-FR"/>
        </w:rPr>
        <w:t>Version générée à partir des résultats validés de la voie C v0.31. Elle interprète le plan de recherche et les résultats sans transformer les éléments descriptifs en certitude causale ou managériale.</w:t>
      </w:r>
    </w:p>
    <w:p>
      <w:pPr>
        <w:pStyle w:val="Heading2"/>
      </w:pPr>
      <w:r>
        <w:rPr>
          <w:rFonts w:ascii="Times New Roman" w:hAnsi="Times New Roman" w:eastAsia="Times New Roman"/>
          <w:sz w:val="22"/>
          <w:lang w:val="fr-FR" w:eastAsia="fr-FR"/>
        </w:rPr>
        <w:t>1 Interprétation principale</w:t>
      </w:r>
    </w:p>
    <w:p>
      <w:pPr>
        <w:widowControl/>
      </w:pPr>
      <w:r>
        <w:rPr>
          <w:rFonts w:ascii="Times New Roman" w:hAnsi="Times New Roman" w:eastAsia="Times New Roman"/>
          <w:sz w:val="22"/>
          <w:lang w:val="fr-FR" w:eastAsia="fr-FR"/>
        </w:rPr>
        <w:t>Le projet montre que les données disponibles sur les destinations de ski suisses sont suffisamment riches pour construire un système descriptif multidimensionnel et reproductible d'aide à la décision, mais pas pour estimer de manière crédible l'effet causal de la participation au Magic Pass. Cette distinction constitue le principal résultat. L'absence d'estimation causale n'est pas un échec informatique : elle découle de critères explicites qui ont révélé des incertitudes sur l'intensité du traitement et le périmètre des destinations, la contamination des témoins, les chocs locaux, les interférences et la taille effective insuffisante de l'échantillon.</w:t>
      </w:r>
    </w:p>
    <w:p>
      <w:pPr>
        <w:widowControl/>
      </w:pPr>
      <w:r>
        <w:rPr>
          <w:rFonts w:ascii="Times New Roman" w:hAnsi="Times New Roman" w:eastAsia="Times New Roman"/>
          <w:sz w:val="22"/>
          <w:lang w:val="fr-FR" w:eastAsia="fr-FR"/>
        </w:rPr>
        <w:t>La voie C préserve l'utilité analytique après ce rejet. La segmentation structurelle, la distance aux analogues, la vulnérabilité à la neige, le contexte touristique, l'accessibilité et la concurrence peuvent soutenir une analyse structurée s'ils restent séparés. L'architecture permet notamment de déterminer où les données sont solides, quand un candidat constitue une extrapolation et quelles informations supplémentaires seraient nécessaires avant une décision stratégique. Elle ne convient pas à l'estimation des gains attendus de nuitées ni au classement des destinations en vue de leur admission.</w:t>
      </w:r>
    </w:p>
    <w:p>
      <w:pPr>
        <w:pStyle w:val="Heading2"/>
      </w:pPr>
      <w:r>
        <w:rPr>
          <w:rFonts w:ascii="Times New Roman" w:hAnsi="Times New Roman" w:eastAsia="Times New Roman"/>
          <w:sz w:val="22"/>
          <w:lang w:val="fr-FR" w:eastAsia="fr-FR"/>
        </w:rPr>
        <w:t>2 Conséquences pour l'inférence causale et l'apprentissage automatique</w:t>
      </w:r>
    </w:p>
    <w:p>
      <w:pPr>
        <w:widowControl/>
      </w:pPr>
      <w:r>
        <w:rPr>
          <w:rFonts w:ascii="Times New Roman" w:hAnsi="Times New Roman" w:eastAsia="Times New Roman"/>
          <w:sz w:val="22"/>
          <w:lang w:val="fr-FR" w:eastAsia="fr-FR"/>
        </w:rPr>
        <w:t>L'audit des témoins illustre pourquoi un panel apparemment suffisant peut rester inadapté à l'inférence causale. Sept traitements disposent d'une continuité et d'une couverture 24/24 suffisantes, et 315 paires franchissent le filtre descriptif des données antérieures. Pourtant, 28 des 35 paires retenues se trouvent à moins de 50 km d'un autre point Magic Pass résolu, et les sept paires éloignées subissent toutes des chocs contemporains propres au témoin. Promouvoir l'une de ces paires aurait remplacé un échec d'identification explicite par une hypothèse invérifiable.</w:t>
      </w:r>
    </w:p>
    <w:p>
      <w:pPr>
        <w:widowControl/>
      </w:pPr>
      <w:r>
        <w:rPr>
          <w:rFonts w:ascii="Times New Roman" w:hAnsi="Times New Roman" w:eastAsia="Times New Roman"/>
          <w:sz w:val="22"/>
          <w:lang w:val="fr-FR" w:eastAsia="fr-FR"/>
        </w:rPr>
        <w:t>Le même raisonnement s'applique à l'apprentissage automatique causal. Les forêts causales sont développées sous des hypothèses causales explicites, notamment l'absence de confusion non observée (Wager et Athey, 2018), tandis que les méta-apprenants organisent des modèles supervisés flexibles autour d'une cible d'effet conditionnel sans identifier automatiquement cette cible (Künzel et al., 2019). Aucune de ces méthodes ne compense un plan traitement-témoin invalide, et 14 destinations examinées ne constituent pas un échantillon effectif suffisant pour estimer de manière stable des effets hétérogènes. Le rejet des modèles complexes renforce donc la crédibilité scientifique. La contribution passe de la nouveauté algorithmique à une intégration disciplinée, à la maîtrise des périmètres et à la communication de l'incertitude.</w:t>
      </w:r>
    </w:p>
    <w:p>
      <w:pPr>
        <w:pStyle w:val="Heading2"/>
      </w:pPr>
      <w:r>
        <w:rPr>
          <w:rFonts w:ascii="Times New Roman" w:hAnsi="Times New Roman" w:eastAsia="Times New Roman"/>
          <w:sz w:val="22"/>
          <w:lang w:val="fr-FR" w:eastAsia="fr-FR"/>
        </w:rPr>
        <w:t>3 Utilité managériale de la voie C</w:t>
      </w:r>
    </w:p>
    <w:p>
      <w:pPr>
        <w:widowControl/>
      </w:pPr>
      <w:r>
        <w:rPr>
          <w:rFonts w:ascii="Times New Roman" w:hAnsi="Times New Roman" w:eastAsia="Times New Roman"/>
          <w:sz w:val="22"/>
          <w:lang w:val="fr-FR" w:eastAsia="fr-FR"/>
        </w:rPr>
        <w:t>Le tableau de bord peut structurer une discussion managériale par étapes. La comparabilité structurelle indique si un candidat ressemble aux clusters Magic Pass existants. L'indicateur de support par rapport aux références traitées précise si l'interprétation par analogues relève de l'interpolation ou de l'extrapolation. Les couches consacrées à la neige, à l'accès, au tourisme et à la concurrence font apparaître des considérations stratégiques distinctes. La dimension relative aux lacunes empêche qu'un profil structurel attrayant soit confondu avec un dossier commercial complet.</w:t>
      </w:r>
    </w:p>
    <w:p>
      <w:pPr>
        <w:widowControl/>
      </w:pPr>
      <w:r>
        <w:rPr>
          <w:rFonts w:ascii="Times New Roman" w:hAnsi="Times New Roman" w:eastAsia="Times New Roman"/>
          <w:sz w:val="22"/>
          <w:lang w:val="fr-FR" w:eastAsia="fr-FR"/>
        </w:rPr>
        <w:t>Les lignes de candidats doivent toutefois rester des exemples pour l'analyse préalable plutôt que des recommandations. Seuls 11 des 104 candidats sont stables dans tous les contrôles d'agrégation, 25 constituent de fortes extrapolations et seuls 39 disposent d'un contexte hôtelier complet selon l'une des règles de périmètre testées. Un score pondéré unique masquerait ces incertitudes non équivalentes et introduirait des jugements de valeur que les données n'établissent pas.</w:t>
      </w:r>
    </w:p>
    <w:p>
      <w:pPr>
        <w:pStyle w:val="Heading2"/>
      </w:pPr>
      <w:r>
        <w:rPr>
          <w:rFonts w:ascii="Times New Roman" w:hAnsi="Times New Roman" w:eastAsia="Times New Roman"/>
          <w:sz w:val="22"/>
          <w:lang w:val="fr-FR" w:eastAsia="fr-FR"/>
        </w:rPr>
        <w:t>4 Limites de mesure et de périmètre</w:t>
      </w:r>
    </w:p>
    <w:p>
      <w:pPr>
        <w:pStyle w:val="Heading3"/>
      </w:pPr>
      <w:r>
        <w:rPr>
          <w:rFonts w:ascii="Times New Roman" w:hAnsi="Times New Roman" w:eastAsia="Times New Roman"/>
          <w:sz w:val="22"/>
          <w:lang w:val="fr-FR" w:eastAsia="fr-FR"/>
        </w:rPr>
        <w:t>4 1 Entités station et destination</w:t>
      </w:r>
    </w:p>
    <w:p>
      <w:pPr>
        <w:widowControl/>
      </w:pPr>
      <w:r>
        <w:rPr>
          <w:rFonts w:ascii="Times New Roman" w:hAnsi="Times New Roman" w:eastAsia="Times New Roman"/>
          <w:sz w:val="22"/>
          <w:lang w:val="fr-FR" w:eastAsia="fr-FR"/>
        </w:rPr>
        <w:t>Le répertoire fourni est un système de fiches et non un inventaire certifié de domaines skiables commerciaux indépendants. Les clusters de remontées préservés réduisent les doublons, mais ne règlent pas les questions de propriété, de forfait commun ou de limite des destinations. Cinquante-trois clusters reliés contiennent plusieurs fiches et l'agrégation structurelle au sein des clusters modifie de nombreux résultats d'analogie. Les conclusions au niveau de la destination doivent donc être formulées en fonction des unités examinées ou des clusters conservés utilisés dans l'analyse.</w:t>
      </w:r>
    </w:p>
    <w:p>
      <w:pPr>
        <w:pStyle w:val="Heading3"/>
      </w:pPr>
      <w:r>
        <w:rPr>
          <w:rFonts w:ascii="Times New Roman" w:hAnsi="Times New Roman" w:eastAsia="Times New Roman"/>
          <w:sz w:val="22"/>
          <w:lang w:val="fr-FR" w:eastAsia="fr-FR"/>
        </w:rPr>
        <w:t>4 2 Géographie du résultat hôtelier</w:t>
      </w:r>
    </w:p>
    <w:p>
      <w:pPr>
        <w:widowControl/>
      </w:pPr>
      <w:r>
        <w:rPr>
          <w:rFonts w:ascii="Times New Roman" w:hAnsi="Times New Roman" w:eastAsia="Times New Roman"/>
          <w:sz w:val="22"/>
          <w:lang w:val="fr-FR" w:eastAsia="fr-FR"/>
        </w:rPr>
        <w:t>Les données hôtelières communales ne représentent pas automatiquement le bassin de visiteurs d'une station de ski. Sept périmètres de résultats examinés sont des proxys de commune centrale et l'expérience par rayons montre qu'une amélioration du rappel ajoute rapidement des communes sans rapport. Le rayon de cinq kilomètres retrouve l'unique lien examiné manquant, mais ajoute 25 autres communes. La dépendance touristique des candidats doit rester présentée comme un contexte qualifié fondé sur la commune contenant le point ou sur une sensibilité par rayon, jusqu'à ce que des périmètres externes de destination soient disponibles.</w:t>
      </w:r>
    </w:p>
    <w:p>
      <w:pPr>
        <w:pStyle w:val="Heading3"/>
      </w:pPr>
      <w:r>
        <w:rPr>
          <w:rFonts w:ascii="Times New Roman" w:hAnsi="Times New Roman" w:eastAsia="Times New Roman"/>
          <w:sz w:val="22"/>
          <w:lang w:val="fr-FR" w:eastAsia="fr-FR"/>
        </w:rPr>
        <w:t>4 3 Définition et intensité du traitement</w:t>
      </w:r>
    </w:p>
    <w:p>
      <w:pPr>
        <w:widowControl/>
      </w:pPr>
      <w:r>
        <w:rPr>
          <w:rFonts w:ascii="Times New Roman" w:hAnsi="Times New Roman" w:eastAsia="Times New Roman"/>
          <w:sz w:val="22"/>
          <w:lang w:val="fr-FR" w:eastAsia="fr-FR"/>
        </w:rPr>
        <w:t>Les publications officielles étayent le calendrier et la continuité de l'adhésion pour les unités examinées, mais le traitement n'est pas homogène. L'accès hiver uniquement diffère de l'accès hiver et été, tout comme les prix, suppléments, règles du produit, actions de marketing local et réactions de capacité. L'entrée est généralement connue par saison plutôt que par date exacte d'activation. Le plan ne peut donc pas supposer un traitement binaire unique et d'intensité constante.</w:t>
      </w:r>
    </w:p>
    <w:p>
      <w:pPr>
        <w:pStyle w:val="Heading3"/>
      </w:pPr>
      <w:r>
        <w:rPr>
          <w:rFonts w:ascii="Times New Roman" w:hAnsi="Times New Roman" w:eastAsia="Times New Roman"/>
          <w:sz w:val="22"/>
          <w:lang w:val="fr-FR" w:eastAsia="fr-FR"/>
        </w:rPr>
        <w:t>4 4 Témoins interférences et chocs communs</w:t>
      </w:r>
    </w:p>
    <w:p>
      <w:pPr>
        <w:widowControl/>
      </w:pPr>
      <w:r>
        <w:rPr>
          <w:rFonts w:ascii="Times New Roman" w:hAnsi="Times New Roman" w:eastAsia="Times New Roman"/>
          <w:sz w:val="22"/>
          <w:lang w:val="fr-FR" w:eastAsia="fr-FR"/>
        </w:rPr>
        <w:t>Les stations de ski opèrent sur des marchés régionaux interconnectés. Les stations voisines peuvent connaître des effets de déplacement, de complémentarité ou de marketing commun, ce qui enfreint l'hypothèse d'absence d'interférence. Les destinations éloignées ne constituent pas automatiquement des témoins crédibles : chaque témoin éloigné présélectionné subit un choc concurrent documenté. La période de sensibilité au COVID, la météo, les variations de capacité, les investissements dans les infrastructures et la tarification flexible compliquent encore les hypothèses de tendances parallèles.</w:t>
      </w:r>
    </w:p>
    <w:p>
      <w:pPr>
        <w:pStyle w:val="Heading3"/>
      </w:pPr>
      <w:r>
        <w:rPr>
          <w:rFonts w:ascii="Times New Roman" w:hAnsi="Times New Roman" w:eastAsia="Times New Roman"/>
          <w:sz w:val="22"/>
          <w:lang w:val="fr-FR" w:eastAsia="fr-FR"/>
        </w:rPr>
        <w:t>4 5 Proxys de climat et de neige</w:t>
      </w:r>
    </w:p>
    <w:p>
      <w:pPr>
        <w:widowControl/>
      </w:pPr>
      <w:r>
        <w:rPr>
          <w:rFonts w:ascii="Times New Roman" w:hAnsi="Times New Roman" w:eastAsia="Times New Roman"/>
          <w:sz w:val="22"/>
          <w:lang w:val="fr-FR" w:eastAsia="fr-FR"/>
        </w:rPr>
        <w:t>Les stations SLF sont des mesures ponctuelles externes dont l'altitude peut différer sensiblement de celle des domaines skiables. La comparaison SPASS centrée sur les stations de ski est faible pour 8 composantes sur 15, alors que la concordance à l'emplacement des stations de mesure est nettement meilleure. SPASS et SLF ne sont pas non plus indépendants, car le produit maillé est modélisé et ajusté par quantiles sur une cible de neige SLF. SwissMetNet et les grilles météorologiques officielles décrivent des conditions régionales plutôt que les microclimats des pistes, l'enneigement artificiel ou les décisions d'exploitation. Les variables climatiques conviennent à un contexte qualifié de vulnérabilité, mais pas à un ajustement causal sans travail méthodologique supplémentaire.</w:t>
      </w:r>
    </w:p>
    <w:p>
      <w:pPr>
        <w:pStyle w:val="Heading3"/>
      </w:pPr>
      <w:r>
        <w:rPr>
          <w:rFonts w:ascii="Times New Roman" w:hAnsi="Times New Roman" w:eastAsia="Times New Roman"/>
          <w:sz w:val="22"/>
          <w:lang w:val="fr-FR" w:eastAsia="fr-FR"/>
        </w:rPr>
        <w:t>4 6 Accessibilité</w:t>
      </w:r>
    </w:p>
    <w:p>
      <w:pPr>
        <w:widowControl/>
      </w:pPr>
      <w:r>
        <w:rPr>
          <w:rFonts w:ascii="Times New Roman" w:hAnsi="Times New Roman" w:eastAsia="Times New Roman"/>
          <w:sz w:val="22"/>
          <w:lang w:val="fr-FR" w:eastAsia="fr-FR"/>
        </w:rPr>
        <w:t>L'analyse GTFS améliore la distance à vol d'oiseau grâce à des trajets programmés propres à chaque heure de départ, mais elle ne représente qu'un jour de semaine et un samedi de l'hiver 2026. Elle ne mesure ni le service historique au moment de l'entrée dans le traitement, ni la fiabilité en temps réel, les tarifs, l'affluence, l'accès en voiture, l'emplacement des hôtels ou le temps de marche final. Six points d'arrivée sont des proxys de village ou de centre local. La corrélation médiane de 0,743 entre les rangs de distance et de temps confirme que la distance est informative, tandis que les 225 paires dont l'accès en transports publics est nettement moins bon montrent pourquoi elle reste insuffisante.</w:t>
      </w:r>
    </w:p>
    <w:p>
      <w:pPr>
        <w:pStyle w:val="Heading3"/>
      </w:pPr>
      <w:r>
        <w:rPr>
          <w:rFonts w:ascii="Times New Roman" w:hAnsi="Times New Roman" w:eastAsia="Times New Roman"/>
          <w:sz w:val="22"/>
          <w:lang w:val="fr-FR" w:eastAsia="fr-FR"/>
        </w:rPr>
        <w:t>4 7 Pass concurrents</w:t>
      </w:r>
    </w:p>
    <w:p>
      <w:pPr>
        <w:widowControl/>
      </w:pPr>
      <w:r>
        <w:rPr>
          <w:rFonts w:ascii="Times New Roman" w:hAnsi="Times New Roman" w:eastAsia="Times New Roman"/>
          <w:sz w:val="22"/>
          <w:lang w:val="fr-FR" w:eastAsia="fr-FR"/>
        </w:rPr>
        <w:t>Le registre historique consigne les présences positives, et non un recensement complet du marché. La portée des preuves varie selon le produit et la saison, les niveaux d'avantages ne sont pas équivalents et les limites détaillées des petites remontées restent incomplètes. Un candidat sans lien documenté ne peut être qualifié d'historiquement non desservi par des pass multi-domaines. Les variables de concurrence restent donc contextuelles et ne peuvent établir ni contraste de traitement ni espace de marché non couvert.</w:t>
      </w:r>
    </w:p>
    <w:p>
      <w:pPr>
        <w:pStyle w:val="Heading3"/>
      </w:pPr>
      <w:r>
        <w:rPr>
          <w:rFonts w:ascii="Times New Roman" w:hAnsi="Times New Roman" w:eastAsia="Times New Roman"/>
          <w:sz w:val="22"/>
          <w:lang w:val="fr-FR" w:eastAsia="fr-FR"/>
        </w:rPr>
        <w:t>4 8 Fuite temporelle et transportabilité</w:t>
      </w:r>
    </w:p>
    <w:p>
      <w:pPr>
        <w:widowControl/>
      </w:pPr>
      <w:r>
        <w:rPr>
          <w:rFonts w:ascii="Times New Roman" w:hAnsi="Times New Roman" w:eastAsia="Times New Roman"/>
          <w:sz w:val="22"/>
          <w:lang w:val="fr-FR" w:eastAsia="fr-FR"/>
        </w:rPr>
        <w:t>La plupart des couches structurelles, d'accessibilité, de tourisme et de réseau du côté des candidats sont des instantanés actuels ou non datés. Elles peuvent refléter des investissements postérieurs au traitement ou une évolution du marché et ne sont pas approuvées comme prédicteurs antérieurs au traitement. Les huit références analogues traitées examinées sont trop peu nombreuses pour démontrer que la proximité structurelle permet de transférer les réponses de la demande hôtelière. Le signal des analogues doit rester une comparaison descriptive non ajustée.</w:t>
      </w:r>
    </w:p>
    <w:p>
      <w:pPr>
        <w:pStyle w:val="Heading2"/>
      </w:pPr>
      <w:r>
        <w:rPr>
          <w:rFonts w:ascii="Times New Roman" w:hAnsi="Times New Roman" w:eastAsia="Times New Roman"/>
          <w:sz w:val="22"/>
          <w:lang w:val="fr-FR" w:eastAsia="fr-FR"/>
        </w:rPr>
        <w:t>5 Forces de l'étude</w:t>
      </w:r>
    </w:p>
    <w:p>
      <w:pPr>
        <w:widowControl/>
      </w:pPr>
      <w:r>
        <w:rPr>
          <w:rFonts w:ascii="Times New Roman" w:hAnsi="Times New Roman" w:eastAsia="Times New Roman"/>
          <w:sz w:val="22"/>
          <w:lang w:val="fr-FR" w:eastAsia="fr-FR"/>
        </w:rPr>
        <w:t>L'étude présente néanmoins plusieurs points forts. Elle préserve les sources brutes et les identifiants stables, sépare l'affectation des stations de la mise en correspondance de l'exposition communale, applique des règles explicites de preuve positive, enregistre les sommes de contrôle et la provenance, et encode les usages analytiques autorisés sous forme d'indicateurs exécutables. Les analyses de sensibilité révèlent la dépendance au choix de la station de mesure, à l'emplacement dans la grille, à l'agrégation au sein des clusters, à la règle de distance géographique et au périmètre communal des candidats. Les résultats négatifs et les échecs de collecte restent documentés au lieu d'être supprimés silencieusement.</w:t>
      </w:r>
    </w:p>
    <w:p>
      <w:pPr>
        <w:widowControl/>
      </w:pPr>
      <w:r>
        <w:rPr>
          <w:rFonts w:ascii="Times New Roman" w:hAnsi="Times New Roman" w:eastAsia="Times New Roman"/>
          <w:sz w:val="22"/>
          <w:lang w:val="fr-FR" w:eastAsia="fr-FR"/>
        </w:rPr>
        <w:t>L'architecture à sept dimensions constitue également une contribution substantielle en Business Analytics. Elle empêche que l'attrait structurel, la vulnérabilité, l'accessibilité et la qualité des données soient fusionnés dans un score opaque. Le système obtenu est auditable et explique pourquoi un candidat ne peut pas encore recevoir une recommandation défendable.</w:t>
      </w:r>
    </w:p>
    <w:p>
      <w:pPr>
        <w:pStyle w:val="Heading2"/>
      </w:pPr>
      <w:r>
        <w:rPr>
          <w:rFonts w:ascii="Times New Roman" w:hAnsi="Times New Roman" w:eastAsia="Times New Roman"/>
          <w:sz w:val="22"/>
          <w:lang w:val="fr-FR" w:eastAsia="fr-FR"/>
        </w:rPr>
        <w:t>6 Recherches futures prioritaires</w:t>
      </w:r>
    </w:p>
    <w:p>
      <w:pPr>
        <w:widowControl/>
      </w:pPr>
      <w:r>
        <w:rPr>
          <w:rFonts w:ascii="Times New Roman" w:hAnsi="Times New Roman" w:eastAsia="Times New Roman"/>
          <w:sz w:val="22"/>
          <w:lang w:val="fr-FR" w:eastAsia="fr-FR"/>
        </w:rPr>
        <w:t>Les travaux futurs devraient suivre les principaux obstacles à l'identification plutôt que d'ajouter sans discernement des variables marginales :</w:t>
      </w:r>
    </w:p>
    <w:p>
      <w:pPr>
        <w:ind w:left="397" w:hanging="255"/>
      </w:pPr>
      <w:r>
        <w:rPr>
          <w:rFonts w:ascii="Times New Roman" w:hAnsi="Times New Roman" w:eastAsia="Times New Roman"/>
          <w:sz w:val="22"/>
          <w:lang w:val="fr-FR" w:eastAsia="fr-FR"/>
        </w:rPr>
        <w:t xml:space="preserve">1.  </w:t>
      </w:r>
      <w:r>
        <w:rPr>
          <w:rFonts w:ascii="Times New Roman" w:hAnsi="Times New Roman" w:eastAsia="Times New Roman"/>
          <w:sz w:val="22"/>
          <w:lang w:val="fr-FR" w:eastAsia="fr-FR"/>
        </w:rPr>
        <w:t>définir l'exposition des destinations à l'aide de périmètres touristiques validés par une source externe et de mesures d'intensité du traitement ;</w:t>
      </w:r>
    </w:p>
    <w:p>
      <w:pPr>
        <w:ind w:left="397" w:hanging="255"/>
      </w:pPr>
      <w:r>
        <w:rPr>
          <w:rFonts w:ascii="Times New Roman" w:hAnsi="Times New Roman" w:eastAsia="Times New Roman"/>
          <w:sz w:val="22"/>
          <w:lang w:val="fr-FR" w:eastAsia="fr-FR"/>
        </w:rPr>
        <w:t xml:space="preserve">2.  </w:t>
      </w:r>
      <w:r>
        <w:rPr>
          <w:rFonts w:ascii="Times New Roman" w:hAnsi="Times New Roman" w:eastAsia="Times New Roman"/>
          <w:sz w:val="22"/>
          <w:lang w:val="fr-FR" w:eastAsia="fr-FR"/>
        </w:rPr>
        <w:t>repenser la stratégie de sélection des témoins, éventuellement au-delà de l'univers fourni des communes de stations de ski, tout en conservant les audits d'interférence et de chocs ;</w:t>
      </w:r>
    </w:p>
    <w:p>
      <w:pPr>
        <w:ind w:left="397" w:hanging="255"/>
      </w:pPr>
      <w:r>
        <w:rPr>
          <w:rFonts w:ascii="Times New Roman" w:hAnsi="Times New Roman" w:eastAsia="Times New Roman"/>
          <w:sz w:val="22"/>
          <w:lang w:val="fr-FR" w:eastAsia="fr-FR"/>
        </w:rPr>
        <w:t xml:space="preserve">3.  </w:t>
      </w:r>
      <w:r>
        <w:rPr>
          <w:rFonts w:ascii="Times New Roman" w:hAnsi="Times New Roman" w:eastAsia="Times New Roman"/>
          <w:sz w:val="22"/>
          <w:lang w:val="fr-FR" w:eastAsia="fr-FR"/>
        </w:rPr>
        <w:t>obtenir des mesures historiques de transports et d'infrastructures uniquement si elles sont nécessaires comme variables antérieures au traitement ;</w:t>
      </w:r>
    </w:p>
    <w:p>
      <w:pPr>
        <w:ind w:left="397" w:hanging="255"/>
      </w:pPr>
      <w:r>
        <w:rPr>
          <w:rFonts w:ascii="Times New Roman" w:hAnsi="Times New Roman" w:eastAsia="Times New Roman"/>
          <w:sz w:val="22"/>
          <w:lang w:val="fr-FR" w:eastAsia="fr-FR"/>
        </w:rPr>
        <w:t xml:space="preserve">4.  </w:t>
      </w:r>
      <w:r>
        <w:rPr>
          <w:rFonts w:ascii="Times New Roman" w:hAnsi="Times New Roman" w:eastAsia="Times New Roman"/>
          <w:sz w:val="22"/>
          <w:lang w:val="fr-FR" w:eastAsia="fr-FR"/>
        </w:rPr>
        <w:t>recueillir des historiques opérationnels d'enneigement artificiel, d'investissements et de capacité des remontées si l'adaptation climatique fait partie de la question causale ;</w:t>
      </w:r>
    </w:p>
    <w:p>
      <w:pPr>
        <w:ind w:left="397" w:hanging="255"/>
      </w:pPr>
      <w:r>
        <w:rPr>
          <w:rFonts w:ascii="Times New Roman" w:hAnsi="Times New Roman" w:eastAsia="Times New Roman"/>
          <w:sz w:val="22"/>
          <w:lang w:val="fr-FR" w:eastAsia="fr-FR"/>
        </w:rPr>
        <w:t xml:space="preserve">5.  </w:t>
      </w:r>
      <w:r>
        <w:rPr>
          <w:rFonts w:ascii="Times New Roman" w:hAnsi="Times New Roman" w:eastAsia="Times New Roman"/>
          <w:sz w:val="22"/>
          <w:lang w:val="fr-FR" w:eastAsia="fr-FR"/>
        </w:rPr>
        <w:t>augmenter le nombre d'unités de destination traitées de manière crédible avant de réexaminer les modèles d'effets hétérogènes ;</w:t>
      </w:r>
    </w:p>
    <w:p>
      <w:pPr>
        <w:ind w:left="397" w:hanging="255"/>
      </w:pPr>
      <w:r>
        <w:rPr>
          <w:rFonts w:ascii="Times New Roman" w:hAnsi="Times New Roman" w:eastAsia="Times New Roman"/>
          <w:sz w:val="22"/>
          <w:lang w:val="fr-FR" w:eastAsia="fr-FR"/>
        </w:rPr>
        <w:t xml:space="preserve">6.  </w:t>
      </w:r>
      <w:r>
        <w:rPr>
          <w:rFonts w:ascii="Times New Roman" w:hAnsi="Times New Roman" w:eastAsia="Times New Roman"/>
          <w:sz w:val="22"/>
          <w:lang w:val="fr-FR" w:eastAsia="fr-FR"/>
        </w:rPr>
        <w:t>valider les pondérations de décision avec les parties prenantes du Magic Pass avant d'introduire un score commercial composite.</w:t>
      </w:r>
    </w:p>
    <w:p>
      <w:pPr>
        <w:widowControl/>
      </w:pPr>
      <w:r>
        <w:rPr>
          <w:rFonts w:ascii="Times New Roman" w:hAnsi="Times New Roman" w:eastAsia="Times New Roman"/>
          <w:sz w:val="22"/>
          <w:lang w:val="fr-FR" w:eastAsia="fr-FR"/>
        </w:rPr>
        <w:t>Les calendriers historiques détaillés de SnowPass, les listes supplémentaires de pass régionaux et les améliorations de l'accès à pied sont secondaires, sauf si une affirmation précise en dépend. Ils ne doivent pas détourner l'attention des problèmes prioritaires de traitement, de périmètre et de témoins.</w:t>
      </w:r>
    </w:p>
    <w:p>
      <w:pPr>
        <w:pStyle w:val="Heading2"/>
      </w:pPr>
      <w:r>
        <w:rPr>
          <w:rFonts w:ascii="Times New Roman" w:hAnsi="Times New Roman" w:eastAsia="Times New Roman"/>
          <w:sz w:val="22"/>
          <w:lang w:val="fr-FR" w:eastAsia="fr-FR"/>
        </w:rPr>
        <w:t>7 Conclusion</w:t>
      </w:r>
    </w:p>
    <w:p>
      <w:pPr>
        <w:widowControl/>
      </w:pPr>
      <w:r>
        <w:rPr>
          <w:rFonts w:ascii="Times New Roman" w:hAnsi="Times New Roman" w:eastAsia="Times New Roman"/>
          <w:sz w:val="22"/>
          <w:lang w:val="fr-FR" w:eastAsia="fr-FR"/>
        </w:rPr>
        <w:t xml:space="preserve">Avec le plan disponible, le projet doit être décrit comme </w:t>
      </w:r>
      <w:r>
        <w:rPr>
          <w:rFonts w:ascii="Times New Roman" w:hAnsi="Times New Roman" w:eastAsia="Times New Roman"/>
          <w:b/>
          <w:sz w:val="22"/>
          <w:lang w:val="fr-FR" w:eastAsia="fr-FR"/>
        </w:rPr>
        <w:t>exploratoire et orienté vers l'aide à la décision</w:t>
      </w:r>
      <w:r>
        <w:rPr>
          <w:rFonts w:ascii="Times New Roman" w:hAnsi="Times New Roman" w:eastAsia="Times New Roman"/>
          <w:sz w:val="22"/>
          <w:lang w:val="fr-FR" w:eastAsia="fr-FR"/>
        </w:rPr>
        <w:t>, et non comme causal ou prédictif. Les données permettent de comparer de manière structurée 104 candidats apparents et de présenter de façon transparente l'opportunité, la vulnérabilité et l'incertitude. Elles ne permettent ni d'estimer un effet incrémental attendu, ni d'adopter une interprétation causale, ni de produire une liste de recommandations classées. Cette limite est un résultat central du mémoire, et non une réserve ajoutée après la modélisation.</w:t>
      </w:r>
    </w:p>
    <w:p>
      <w:pPr>
        <w:pStyle w:val="Heading1"/>
      </w:pPr>
      <w:r>
        <w:rPr>
          <w:rFonts w:ascii="Times New Roman" w:hAnsi="Times New Roman" w:eastAsia="Times New Roman"/>
          <w:sz w:val="22"/>
          <w:lang w:val="fr-FR" w:eastAsia="fr-FR"/>
        </w:rPr>
        <w:t>5 Réponses détaillées aux 18 questions de la mission</w:t>
      </w:r>
    </w:p>
    <w:p>
      <w:pPr>
        <w:widowControl/>
      </w:pPr>
      <w:r>
        <w:rPr>
          <w:rFonts w:ascii="Times New Roman" w:hAnsi="Times New Roman" w:eastAsia="Times New Roman"/>
          <w:sz w:val="22"/>
          <w:lang w:val="fr-FR" w:eastAsia="fr-FR"/>
        </w:rPr>
        <w:t>Les réponses suivantes reprennent intégralement les conclusions méthodologiques validées. La piste d'audit indique le rapport interne ou l'objet traité qui étaye chaque réponse. Ces liens documentent la filiation du projet ; ils ne remplacent pas la bibliographie académique finale.</w:t>
      </w:r>
    </w:p>
    <w:p>
      <w:pPr>
        <w:pStyle w:val="Heading2"/>
      </w:pPr>
      <w:r>
        <w:rPr>
          <w:rFonts w:ascii="Times New Roman" w:hAnsi="Times New Roman" w:eastAsia="Times New Roman"/>
          <w:sz w:val="22"/>
          <w:lang w:val="fr-FR" w:eastAsia="fr-FR"/>
        </w:rPr>
        <w:t>5 1 Combien de stations de ski sont disponibles</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271 fiches de répertoire, et non 271 stations indépendantes.</w:t>
      </w:r>
    </w:p>
    <w:p>
      <w:pPr>
        <w:widowControl/>
      </w:pPr>
      <w:r>
        <w:rPr>
          <w:rFonts w:ascii="Times New Roman" w:hAnsi="Times New Roman" w:eastAsia="Times New Roman"/>
          <w:sz w:val="22"/>
          <w:lang w:val="fr-FR" w:eastAsia="fr-FR"/>
        </w:rPr>
        <w:t>Le répertoire fourni contient 271 fiches. La couche de remontées préservée comprend 242 clusters, dont 162 sont reliés à au moins une fiche. Comme 53 clusters reliés contiennent plusieurs fiches et que les limites des domaines commerciaux ne sont pas certifiées, aucun nombre unique de stations indépendantes n'est avancé.</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reports/01_DATA_AUDIT.md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reports/EXISTING_CLUSTER_AUDIT.md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distinction entre fiches, clusters de remontées et destinations commerciales indépendantes est-elle suffisamment claire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2 Combien sont membres du Magic Pass</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95 destinations officielles actuelles ; 69 fiches du répertoire reliées de manière prudente.</w:t>
      </w:r>
    </w:p>
    <w:p>
      <w:pPr>
        <w:widowControl/>
      </w:pPr>
      <w:r>
        <w:rPr>
          <w:rFonts w:ascii="Times New Roman" w:hAnsi="Times New Roman" w:eastAsia="Times New Roman"/>
          <w:sz w:val="22"/>
          <w:lang w:val="fr-FR" w:eastAsia="fr-FR"/>
        </w:rPr>
        <w:t>L'instantané de la carte officielle actuelle contient 95 destinations. La résolution prudente des entités relie 69 de ces libellés à des fiches du répertoire fourni et en laisse 26 non résolus. Au niveau des clusters préservés, la table de variables de la voie C contient 51 clusters Magic Pass actuels résolus ; 50 disposent de variables structurelles complètes et forment l'ensemble de référence pour les analogues. Ces nombres ne sont pas interchangeables, car les libellés de destination, les fiches et les clusters n'ont pas le même périmètre.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data_processed/magic_pass_current_destinations.csv</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reports/current_magic_pass_summary.json</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reports/path_c_summary.json</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Quel dénominateur d'adhésion devrait être mis en avant dans l'introduction et le chapitre des résultats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3 Combien de stations traitées ont une date d'entrée fiable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14 unités de destination examinées ont une saison d'entrée documentée ; aucune ne possède une date exacte d'activation causale.</w:t>
      </w:r>
    </w:p>
    <w:p>
      <w:pPr>
        <w:widowControl/>
      </w:pPr>
      <w:r>
        <w:rPr>
          <w:rFonts w:ascii="Times New Roman" w:hAnsi="Times New Roman" w:eastAsia="Times New Roman"/>
          <w:sz w:val="22"/>
          <w:lang w:val="fr-FR" w:eastAsia="fr-FR"/>
        </w:rPr>
        <w:t>L'examen regroupe 18 événements d'entrée de composantes en 14 unités de destination. Les saisons actives des 14 unités reposent sur une preuve positive explicite, mais l'entrée est principalement connue à l'échelle de la saison plutôt qu'à une date exacte d'activation, et l'intensité du traitement n'est pas homogène. Onze unités possèdent un périmètre explicite pour le résultat hôtelier. Aucune unité n'est approuvée comme traitement causal.</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reports/08_MEMBERSHIP_EVIDENCE_REVIEW.md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reports/membership_continuity_audit.csv</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reports/treatment_panel_summary.json</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L'explication de l'historique du traitement distingue-t-elle clairement l'entrée documentée de l'exposition causale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4 Combien disposent de suffisamment d'observations avant le traitement</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7 permettent le diagnostic sur une fenêtre adjacente de 24 mois ; 6 permettent une fenêtre de 36 mois.</w:t>
      </w:r>
    </w:p>
    <w:p>
      <w:pPr>
        <w:widowControl/>
      </w:pPr>
      <w:r>
        <w:rPr>
          <w:rFonts w:ascii="Times New Roman" w:hAnsi="Times New Roman" w:eastAsia="Times New Roman"/>
          <w:sz w:val="22"/>
          <w:lang w:val="fr-FR" w:eastAsia="fr-FR"/>
        </w:rPr>
        <w:t>Selon la règle diagnostique explicite de prolongation par saison, 7 unités possèdent 24 mois observés avant et 24 mois actifs après l'entrée, et 6 en possèdent 36 de chaque côté. Il s'agit d'effectifs de couverture, et non d'approbations pour une analyse causale.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reports/treatment_panel_summary.json</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reports/17_CHECKPOINT_4_5_PATH_C_DECISION.md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 seuil de couverture antérieure au traitement est-il suffisamment justifié pour un examen de faisabilité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5 Combien disposent de suffisamment d'observations après le traitement</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Les mêmes 7 unités possèdent 24 mois actifs après l'entrée ; 6 en possèdent 36.</w:t>
      </w:r>
    </w:p>
    <w:p>
      <w:pPr>
        <w:widowControl/>
      </w:pPr>
      <w:r>
        <w:rPr>
          <w:rFonts w:ascii="Times New Roman" w:hAnsi="Times New Roman" w:eastAsia="Times New Roman"/>
          <w:sz w:val="22"/>
          <w:lang w:val="fr-FR" w:eastAsia="fr-FR"/>
        </w:rPr>
        <w:t>Le critère sur les fenêtres adjacentes est conjoint : sept unités du panel examiné possèdent à la fois 24 mois avant et 24 mois actifs après l'entrée, tandis que six en possèdent 36 avant et 36 après. La couverture de la période postérieure ne résout pas l'intensité du traitement, le choix des témoins, les interférences ni les chocs contemporains.</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reports/treatment_panel_summary.json</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reports/model_feasibility_report.md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discussion de la couverture postérieure au traitement distingue-t-elle clairement les données observées du traitement validé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6 L'hypothèse de tendances parallèles est-elle plausible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Elle n'est établie pour aucune paire traitement-témoin approuvée.</w:t>
      </w:r>
    </w:p>
    <w:p>
      <w:pPr>
        <w:widowControl/>
      </w:pPr>
      <w:r>
        <w:rPr>
          <w:rFonts w:ascii="Times New Roman" w:hAnsi="Times New Roman" w:eastAsia="Times New Roman"/>
          <w:sz w:val="22"/>
          <w:lang w:val="fr-FR" w:eastAsia="fr-FR"/>
        </w:rPr>
        <w:t>Un filtre descriptif sur la période antérieure a classé 315 paires et en a retenu 35. Vingt-huit de ces paires se trouvaient à 50 km ou moins d'un autre point Magic Pass résolu. Les 7 paires éloignées subissaient toutes des chocs contemporains documentés propres au témoin. La similarité avant le traitement n'a donc pas établi une tendance contrefactuelle crédible.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reports/11_DONOR_PRETREND_SCREEN.md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reports/14_DONOR_NETWORK_SPILLOVER_AUDIT.md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reports/16_DONOR_EXTERNAL_SHOCK_AUDIT.md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 texte explique-t-il de manière convaincante pourquoi les tendances descriptives antérieures ne suffisent pas à sauver le plan fondé sur les témoins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7 L'inférence causale est-elle crédible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Non, avec le plan actuel.</w:t>
      </w:r>
    </w:p>
    <w:p>
      <w:pPr>
        <w:widowControl/>
      </w:pPr>
      <w:r>
        <w:rPr>
          <w:rFonts w:ascii="Times New Roman" w:hAnsi="Times New Roman" w:eastAsia="Times New Roman"/>
          <w:sz w:val="22"/>
          <w:lang w:val="fr-FR" w:eastAsia="fr-FR"/>
        </w:rPr>
        <w:t>Aucun traitement et aucun témoin ne franchissent conjointement les critères d'identification. Les obstacles concernent le périmètre et l'intensité du traitement, la contamination des témoins, les interférences régionales, les chocs locaux, l'incertitude sur le périmètre du résultat et les covariables actuelles ou postérieures au traitement. Aucun effet de traitement n'est estimé.</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reports/17_CHECKPOINT_4_5_PATH_C_DECISION.md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reports/model_experiment_log.csv</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 rejet de l'interprétation causale est-il formulé assez clairement sans exagérer l'insuffisance des données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8 La modélisation des effets de traitement hétérogènes est-elle statistiquement réalisable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Non.</w:t>
      </w:r>
    </w:p>
    <w:p>
      <w:pPr>
        <w:widowControl/>
      </w:pPr>
      <w:r>
        <w:rPr>
          <w:rFonts w:ascii="Times New Roman" w:hAnsi="Times New Roman" w:eastAsia="Times New Roman"/>
          <w:sz w:val="22"/>
          <w:lang w:val="fr-FR" w:eastAsia="fr-FR"/>
        </w:rPr>
        <w:t>L'échantillon traité effectif comprend au maximum 14 destinations examinées, dont seulement 7 franchissent le seuil conjoint de couverture 24/24 et aucune n'est approuvée sur le plan causal. La répétition des observations commune-mois ne crée pas des destinations traitées indépendantes ; une estimation stable de l'hétérogénéité n'est donc pas étayée.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reports/17_CHECKPOINT_4_5_PATH_C_DECISION.md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reports/model_experiment_log.csv</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limite liée à la taille effective de l'échantillon traité est-elle compréhensible pour un lecteur non spécialiste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9 Une forêt causale est-elle réalisable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Non.</w:t>
      </w:r>
    </w:p>
    <w:p>
      <w:pPr>
        <w:widowControl/>
      </w:pPr>
      <w:r>
        <w:rPr>
          <w:rFonts w:ascii="Times New Roman" w:hAnsi="Times New Roman" w:eastAsia="Times New Roman"/>
          <w:sz w:val="22"/>
          <w:lang w:val="fr-FR" w:eastAsia="fr-FR"/>
        </w:rPr>
        <w:t>La forêt causale est écartée parce que la cible causale n'est pas identifiée, qu'aucun témoin n'est approuvé, que le recouvrement ne peut être défendu et que le nombre d'unités traitées indépendantes est trop faible. Une implémentation logicielle ne corrigerait pas ces défauts du plan de recherche.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reports/model_experiment_log.csv</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reports/47_METHODOLOGICAL_LITERATURE.md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 mémoire final devrait-il conserver une brève explication des forêts causales ou la déplacer en annexe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10 L'apprentissage automatique classique est-il utile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Uniquement pour décrire la structure de manière qualifiée, et non pour prédire un résultat ou un effet incrémental.</w:t>
      </w:r>
    </w:p>
    <w:p>
      <w:pPr>
        <w:widowControl/>
      </w:pPr>
      <w:r>
        <w:rPr>
          <w:rFonts w:ascii="Times New Roman" w:hAnsi="Times New Roman" w:eastAsia="Times New Roman"/>
          <w:sz w:val="22"/>
          <w:lang w:val="fr-FR" w:eastAsia="fr-FR"/>
        </w:rPr>
        <w:t>L'apprentissage supervisé ne possède aucune cible causale ou de recommandation défendable au niveau des clusters et subirait une fuite d'information liée aux variables actuelles ou postérieures au traitement. La segmentation structurelle non supervisée et les distances aux plus proches analogues sont utiles comme outils exploratoires transparents, avec des entités regroupées, des contrôles explicites du support et une analyse de sensibilité à l'agrégation.</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reports/18_PATH_C_SEGMENTATION_AND_ANALOGUES.md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reports/38_PATH_C_FEATURE_READINESS_AUDIT.md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distinction entre l'utilité descriptive de l'apprentissage automatique et une prédiction supervisée non étayée est-elle suffisamment explicite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11 Un réseau de neurones est-il justifié</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Non.</w:t>
      </w:r>
    </w:p>
    <w:p>
      <w:pPr>
        <w:widowControl/>
      </w:pPr>
      <w:r>
        <w:rPr>
          <w:rFonts w:ascii="Times New Roman" w:hAnsi="Times New Roman" w:eastAsia="Times New Roman"/>
          <w:sz w:val="22"/>
          <w:lang w:val="fr-FR" w:eastAsia="fr-FR"/>
        </w:rPr>
        <w:t>L'échantillon de destinations indépendantes est beaucoup trop petit, la cible n'est pas approuvée sur le plan causal et un réseau de neurones réduirait l'interprétabilité tout en augmentant les risques de fuite d'information et de surapprentissage.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reports/model_experiment_log.csv</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reports/17_CHECKPOINT_4_5_PATH_C_DECISION.md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 rejet du réseau de neurones est-il concis et convaincant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12 Le clustering et la similarité sont-ils plus appropriés</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Oui, comme solution exploratoire de repli accompagnée de contrôles explicites de sensibilité.</w:t>
      </w:r>
    </w:p>
    <w:p>
      <w:pPr>
        <w:widowControl/>
      </w:pPr>
      <w:r>
        <w:rPr>
          <w:rFonts w:ascii="Times New Roman" w:hAnsi="Times New Roman" w:eastAsia="Times New Roman"/>
          <w:sz w:val="22"/>
          <w:lang w:val="fr-FR" w:eastAsia="fr-FR"/>
        </w:rPr>
        <w:t>Parmi 156 clusters structurellement complets, k=2 présente une silhouette de 0,514 et un ARI médian de 0,987 sur les sous-échantillons. Toutefois, seuls 11 des 104 candidats conservent tous les critères enregistrés de segment, d'analogue et de support selon les agrégations minimale, médiane et maximale. Le clustering n'est donc plus approprié que comme outil descriptif qualifié.</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reports/18_PATH_C_SEGMENTATION_AND_ANALOGUES.md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reports/19_PATH_C_AGGREGATION_SENSITIVITY.md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section sur le clustering structurel délimite-t-elle clairement ce que la similarité permet et ne permet pas d'établir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13 Quelle est la méthodologie finale de Business Analytics la plus défendable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Un tableau de bord exploratoire à sept dimensions séparées.</w:t>
      </w:r>
    </w:p>
    <w:p>
      <w:pPr>
        <w:widowControl/>
      </w:pPr>
      <w:r>
        <w:rPr>
          <w:rFonts w:ascii="Times New Roman" w:hAnsi="Times New Roman" w:eastAsia="Times New Roman"/>
          <w:sz w:val="22"/>
          <w:lang w:val="fr-FR" w:eastAsia="fr-FR"/>
        </w:rPr>
        <w:t>Le point de contrôle 6 retient un tableau de bord à 7 dimensions couvrant 104 candidats apparents et affectant chacun des 19 groupes de données exactement une fois. La similarité structurelle, les analogues, la vulnérabilité à la neige, le contexte touristique, l'accessibilité, le contexte concurrentiel et de réseau, ainsi que les lacunes de données restent séparés. Aucun score composite pondéré, classement ou effet de traitement prédit n'est autorisé.</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reports/39_CHECKPOINT_6_BUSINESS_DECISION_FRAMEWORK.md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reports/42_THESIS_RESULTS_SYNTHESIS.md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L'architecture à sept dimensions de la voie C est-elle présentée comme une contribution finale utile plutôt que comme l'échec d'une solution de repli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14 Quelles variables paraissent les plus informatives</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Les variables structurelles actuelles sont les seules entrées approuvées pour la similarité ; les autres couches apportent un contexte informatif.</w:t>
      </w:r>
    </w:p>
    <w:p>
      <w:pPr>
        <w:widowControl/>
      </w:pPr>
      <w:r>
        <w:rPr>
          <w:rFonts w:ascii="Times New Roman" w:hAnsi="Times New Roman" w:eastAsia="Times New Roman"/>
          <w:sz w:val="22"/>
          <w:lang w:val="fr-FR" w:eastAsia="fr-FR"/>
        </w:rPr>
        <w:t>L'altitude supérieure publiée, les kilomètres de domaine skiable et le nombre de remontées offrent la séparation structurelle transversale reproductible la plus claire et sont les seules variables approuvées pour la similarité exploratoire. La vulnérabilité à la neige, l'intensité touristique de la commune contenant le point, la population et l'accessibilité, les liens avec des pass concurrents et la densité du réseau permettent de diagnostiquer le contexte et l'incertitude, mais aucune de ces variables n'est approuvée comme prédicteur antérieur au traitement, covariable causale, entrée d'une recommandation ou composante d'un score composite.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reports/path_c_feature_readiness_audit.csv</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reports/38_PATH_C_FEATURE_READINESS_AUDIT.md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Quelles dimensions devraient occuper le plus de place dans la présentation finale des résultats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15 Quelles variables manquent</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Il manque encore des bassins validés pour les candidats, des données historiques d'accès et d'infrastructure, ainsi que des données sur l'intensité du traitement.</w:t>
      </w:r>
    </w:p>
    <w:p>
      <w:pPr>
        <w:widowControl/>
      </w:pPr>
      <w:r>
        <w:rPr>
          <w:rFonts w:ascii="Times New Roman" w:hAnsi="Times New Roman" w:eastAsia="Times New Roman"/>
          <w:sz w:val="22"/>
          <w:lang w:val="fr-FR" w:eastAsia="fr-FR"/>
        </w:rPr>
        <w:t>Les principales lacunes comprennent des bassins de destination et des pondérations d'exposition validés par une source externe, des mesures historiques des transports publics et des services, des données datées sur la capacité des remontées et les infrastructures, des informations systématiques sur l'enneigement artificiel, une couverture historique complète des pass concurrents, les droits estivaux propres à chaque domaine, l'emplacement des hôtels et l'accès au dernier kilomètre, ainsi qu'un ensemble plus large de témoins non contaminés. Quatre groupes de préparation ne disposent d'aucune variable pour les candidats et deux n'ont qu'une couverture partielle.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reports/38_PATH_C_FEATURE_READINESS_AUDIT.md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PROJECT_STATE.md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Les variables manquantes sont-elles correctement hiérarchisées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16 Quelles sont les principales sources d'incertitude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Le périmètre des entités, le traitement, les contrefactuels, le calendrier et le décalage spatial des proxys.</w:t>
      </w:r>
    </w:p>
    <w:p>
      <w:pPr>
        <w:widowControl/>
      </w:pPr>
      <w:r>
        <w:rPr>
          <w:rFonts w:ascii="Times New Roman" w:hAnsi="Times New Roman" w:eastAsia="Times New Roman"/>
          <w:sz w:val="22"/>
          <w:lang w:val="fr-FR" w:eastAsia="fr-FR"/>
        </w:rPr>
        <w:t>Les principales incertitudes portent sur la signification des clusters comportant plusieurs fiches, l'exposition des communes aux stations, un traitement saisonnier et hétérogène, les chocs et interférences touchant les témoins, la datation actuelle ou postérieure au traitement des variables, le décalage entre les mesures de neige et les stations de ski, l'actualité des horaires et la couverture incomplète du marché historique des pass. L'analyse de sensibilité des stations de neige classe 4 des 15 comparaisons de composantes comme faibles et l'annexe de quatre cas montre comment l'agrégation et le support empirique peuvent varier au niveau d'une ligne.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reports/45_THESIS_DISCUSSION_LIMITATIONS_DRAFT.md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reports/48_CANDIDATE_UNCERTAINTY_EXAMPLES.md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Quelle source d'incertitude devrait être mise le plus fortement en évidence dans le résumé et la conclusion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17 Quelles données supplémentaires amélioreraient le plus le modèle</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Des définitions de l'exposition des destinations et un plan traitement-témoin crédible beaucoup plus vaste.</w:t>
      </w:r>
    </w:p>
    <w:p>
      <w:pPr>
        <w:widowControl/>
      </w:pPr>
      <w:r>
        <w:rPr>
          <w:rFonts w:ascii="Times New Roman" w:hAnsi="Times New Roman" w:eastAsia="Times New Roman"/>
          <w:sz w:val="22"/>
          <w:lang w:val="fr-FR" w:eastAsia="fr-FR"/>
        </w:rPr>
        <w:t>Les ajouts les plus utiles seraient des limites de destination et des pondérations communales validées par une source externe, l'intensité et le calendrier exact du traitement, un ensemble plus large de destinations de comparaison non traitées de manière crédible avec audits des chocs et des interférences, ainsi que des historiques antérieurs au traitement pour la capacité hôtelière, les infrastructures, l'accès et l'enneigement artificiel. Des pondérations de décision définies par les parties prenantes seraient également requises avant tout score commercial composite.</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reports/45_THESIS_DISCUSSION_LIMITATIONS_DRAFT.md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reports/17_CHECKPOINT_4_5_PATH_C_DECISION.md</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priorité proposée pour les données futures est-elle réaliste dans le cadre d'une étude de suivi ?</w:t>
      </w:r>
    </w:p>
    <w:p>
      <w:pPr>
        <w:widowControl/>
        <w:spacing w:after="360"/>
      </w:pPr>
      <w:r>
        <w:rPr>
          <w:rFonts w:ascii="Times New Roman" w:hAnsi="Times New Roman" w:eastAsia="Times New Roman"/>
          <w:b/>
          <w:sz w:val="22"/>
          <w:lang w:val="fr-FR" w:eastAsia="fr-FR"/>
        </w:rPr>
        <w:t>Votre commentaire :</w:t>
      </w:r>
    </w:p>
    <w:p>
      <w:pPr>
        <w:pStyle w:val="Heading2"/>
      </w:pPr>
      <w:r>
        <w:rPr>
          <w:rFonts w:ascii="Times New Roman" w:hAnsi="Times New Roman" w:eastAsia="Times New Roman"/>
          <w:sz w:val="22"/>
          <w:lang w:val="fr-FR" w:eastAsia="fr-FR"/>
        </w:rPr>
        <w:t>5 18 Le système final peut-il raisonnablement être qualifié de prédictif causal exploratoire ou d'aide à la décision</w:t>
      </w:r>
    </w:p>
    <w:p>
      <w:pPr>
        <w:widowControl/>
      </w:pPr>
      <w:r>
        <w:rPr>
          <w:rFonts w:ascii="Times New Roman" w:hAnsi="Times New Roman" w:eastAsia="Times New Roman"/>
          <w:b/>
          <w:sz w:val="22"/>
          <w:lang w:val="fr-FR" w:eastAsia="fr-FR"/>
        </w:rPr>
        <w:t>Réponse courte.</w:t>
      </w:r>
      <w:r>
        <w:rPr>
          <w:rFonts w:ascii="Times New Roman" w:hAnsi="Times New Roman" w:eastAsia="Times New Roman"/>
          <w:sz w:val="22"/>
          <w:lang w:val="fr-FR" w:eastAsia="fr-FR"/>
        </w:rPr>
        <w:t xml:space="preserve"> Exploratoire et orienté vers l'aide à la décision ; ni prédictif ni causal.</w:t>
      </w:r>
    </w:p>
    <w:p>
      <w:pPr>
        <w:widowControl/>
      </w:pPr>
      <w:r>
        <w:rPr>
          <w:rFonts w:ascii="Times New Roman" w:hAnsi="Times New Roman" w:eastAsia="Times New Roman"/>
          <w:sz w:val="22"/>
          <w:lang w:val="fr-FR" w:eastAsia="fr-FR"/>
        </w:rPr>
        <w:t>Le système final est une architecture exploratoire de données destinée à l'aide à la décision. Un groupe de variables est approuvé pour la similarité, aucun comme prédicteur antérieur au traitement, aucune covariable causale n'est approuvée, et le système ne produit aucune recommandation ni interprétation causale. Il ne doit pas être décrit comme un modèle d'effet incrémental, une estimation de rentabilité ou un classement d'admission.</w:t>
      </w:r>
    </w:p>
    <w:p>
      <w:pPr>
        <w:widowControl/>
      </w:pPr>
      <w:r>
        <w:rPr>
          <w:rFonts w:ascii="Times New Roman" w:hAnsi="Times New Roman" w:eastAsia="Times New Roman"/>
          <w:b/>
          <w:sz w:val="22"/>
          <w:lang w:val="fr-FR" w:eastAsia="fr-FR"/>
        </w:rPr>
        <w:t>Piste d'audit.</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reports/39_CHECKPOINT_6_BUSINESS_DECISION_FRAMEWORK.md</w:t>
      </w:r>
      <w:r>
        <w:rPr>
          <w:rFonts w:ascii="Times New Roman" w:hAnsi="Times New Roman" w:eastAsia="Times New Roman"/>
          <w:sz w:val="22"/>
          <w:lang w:val="fr-FR" w:eastAsia="fr-FR"/>
        </w:rPr>
        <w:t xml:space="preserve">, </w:t>
      </w:r>
      <w:r>
        <w:rPr>
          <w:rFonts w:ascii="Times New Roman" w:hAnsi="Times New Roman" w:eastAsia="Times New Roman"/>
          <w:sz w:val="21"/>
          <w:u w:val="single"/>
          <w:lang w:val="fr-FR" w:eastAsia="fr-FR"/>
        </w:rPr>
        <w:t>reports/path_c_feature_readiness_audit.csv</w:t>
      </w:r>
    </w:p>
    <w:p>
      <w:pPr>
        <w:widowControl/>
      </w:pPr>
      <w:r>
        <w:rPr>
          <w:rFonts w:ascii="Times New Roman" w:hAnsi="Times New Roman" w:eastAsia="Times New Roman"/>
          <w:b/>
          <w:sz w:val="22"/>
          <w:lang w:val="fr-FR" w:eastAsia="fr-FR"/>
        </w:rPr>
        <w:t>Point à examiner.</w:t>
      </w:r>
      <w:r>
        <w:rPr>
          <w:rFonts w:ascii="Times New Roman" w:hAnsi="Times New Roman" w:eastAsia="Times New Roman"/>
          <w:sz w:val="22"/>
          <w:lang w:val="fr-FR" w:eastAsia="fr-FR"/>
        </w:rPr>
        <w:t xml:space="preserve"> La classification finale décrit-elle correctement la contribution du mémoire ?</w:t>
      </w:r>
    </w:p>
    <w:p>
      <w:pPr>
        <w:widowControl/>
        <w:spacing w:after="360"/>
      </w:pPr>
      <w:r>
        <w:rPr>
          <w:rFonts w:ascii="Times New Roman" w:hAnsi="Times New Roman" w:eastAsia="Times New Roman"/>
          <w:b/>
          <w:sz w:val="22"/>
          <w:lang w:val="fr-FR" w:eastAsia="fr-FR"/>
        </w:rPr>
        <w:t>Votre commentaire :</w:t>
      </w:r>
    </w:p>
    <w:p>
      <w:pPr>
        <w:pStyle w:val="Heading1"/>
      </w:pPr>
      <w:r>
        <w:rPr>
          <w:rFonts w:ascii="Times New Roman" w:hAnsi="Times New Roman" w:eastAsia="Times New Roman"/>
          <w:sz w:val="22"/>
          <w:lang w:val="fr-FR" w:eastAsia="fr-FR"/>
        </w:rPr>
        <w:t>6 Cas illustratifs de l'incertitude des candidats</w:t>
      </w:r>
    </w:p>
    <w:p>
      <w:pPr>
        <w:widowControl/>
      </w:pPr>
      <w:r>
        <w:rPr>
          <w:rFonts w:ascii="Times New Roman" w:hAnsi="Times New Roman" w:eastAsia="Times New Roman"/>
          <w:sz w:val="22"/>
          <w:lang w:val="fr-FR" w:eastAsia="fr-FR"/>
        </w:rPr>
        <w:t xml:space="preserve">Ces quatre lignes sont sélectionnées selon des règles d'incertitude prédéclarées et déterministes, puis selon l'ordre croissant de l'identifiant stable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Elles ne représentent </w:t>
      </w:r>
      <w:r>
        <w:rPr>
          <w:rFonts w:ascii="Times New Roman" w:hAnsi="Times New Roman" w:eastAsia="Times New Roman"/>
          <w:b/>
          <w:sz w:val="22"/>
          <w:lang w:val="fr-FR" w:eastAsia="fr-FR"/>
        </w:rPr>
        <w:t>ni les meilleurs, ni les pires, ni les candidats les plus représentatifs</w:t>
      </w:r>
      <w:r>
        <w:rPr>
          <w:rFonts w:ascii="Times New Roman" w:hAnsi="Times New Roman" w:eastAsia="Times New Roman"/>
          <w:sz w:val="22"/>
          <w:lang w:val="fr-FR" w:eastAsia="fr-FR"/>
        </w:rPr>
        <w:t>. L'ordre ci-dessous correspond à l'ordre des règles et ne constitue pas un classement. Aucun candidat ne reçoit d'effet de traitement attendu, de recommandation, d'intervalle de confiance ou de score composite.</w:t>
      </w:r>
    </w:p>
    <w:p>
      <w:pPr>
        <w:pStyle w:val="Heading2"/>
      </w:pPr>
      <w:r>
        <w:rPr>
          <w:rFonts w:ascii="Times New Roman" w:hAnsi="Times New Roman" w:eastAsia="Times New Roman"/>
          <w:sz w:val="22"/>
          <w:lang w:val="fr-FR" w:eastAsia="fr-FR"/>
        </w:rPr>
        <w:t>Vue d'ensemble de la sélection</w:t>
      </w:r>
    </w:p>
    <w:p>
      <w:pPr>
        <w:pStyle w:val="Heading3"/>
      </w:pPr>
      <w:r>
        <w:rPr>
          <w:rFonts w:ascii="Times New Roman" w:hAnsi="Times New Roman" w:eastAsia="Times New Roman"/>
          <w:sz w:val="22"/>
          <w:lang w:val="fr-FR" w:eastAsia="fr-FR"/>
        </w:rPr>
        <w:t xml:space="preserve">Cas 1  </w:t>
      </w:r>
      <w:r>
        <w:rPr>
          <w:rFonts w:ascii="Courier New" w:hAnsi="Courier New" w:eastAsia="Courier New"/>
          <w:sz w:val="19"/>
          <w:lang w:val="fr-FR" w:eastAsia="fr-FR"/>
        </w:rPr>
        <w:t>stable_complete_context</w:t>
      </w:r>
    </w:p>
    <w:p>
      <w:r>
        <w:rPr>
          <w:rFonts w:ascii="Times New Roman" w:hAnsi="Times New Roman" w:eastAsia="Times New Roman"/>
          <w:b/>
          <w:sz w:val="21"/>
          <w:lang w:val="fr-FR" w:eastAsia="fr-FR"/>
        </w:rPr>
        <w:t xml:space="preserve">Identifiant stable du cluster. </w:t>
      </w:r>
      <w:r>
        <w:rPr>
          <w:rFonts w:ascii="Courier New" w:hAnsi="Courier New" w:eastAsia="Courier New"/>
          <w:sz w:val="19"/>
          <w:lang w:val="fr-FR" w:eastAsia="fr-FR"/>
        </w:rPr>
        <w:t>SKI_CLUSTER_010</w:t>
      </w:r>
    </w:p>
    <w:p>
      <w:r>
        <w:rPr>
          <w:rFonts w:ascii="Times New Roman" w:hAnsi="Times New Roman" w:eastAsia="Times New Roman"/>
          <w:b/>
          <w:sz w:val="21"/>
          <w:lang w:val="fr-FR" w:eastAsia="fr-FR"/>
        </w:rPr>
        <w:t xml:space="preserve">Libellé du répertoire. </w:t>
      </w:r>
      <w:r>
        <w:rPr>
          <w:rFonts w:ascii="Times New Roman" w:hAnsi="Times New Roman" w:eastAsia="Times New Roman"/>
          <w:sz w:val="22"/>
          <w:lang w:val="fr-FR" w:eastAsia="fr-FR"/>
        </w:rPr>
        <w:t>Wengen Jungfrau Ski Region Grindelwald - Wengen / Schilthorn Jungfrau Ski Region Mürren - Schilthorn</w:t>
      </w:r>
    </w:p>
    <w:p>
      <w:r>
        <w:rPr>
          <w:rFonts w:ascii="Times New Roman" w:hAnsi="Times New Roman" w:eastAsia="Times New Roman"/>
          <w:b/>
          <w:sz w:val="21"/>
          <w:lang w:val="fr-FR" w:eastAsia="fr-FR"/>
        </w:rPr>
        <w:t xml:space="preserve">Support traité selon la règle médiane. </w:t>
      </w:r>
      <w:r>
        <w:rPr>
          <w:rFonts w:ascii="Times New Roman" w:hAnsi="Times New Roman" w:eastAsia="Times New Roman"/>
          <w:sz w:val="22"/>
          <w:lang w:val="fr-FR" w:eastAsia="fr-FR"/>
        </w:rPr>
        <w:t>good_support</w:t>
      </w:r>
    </w:p>
    <w:p>
      <w:r>
        <w:rPr>
          <w:rFonts w:ascii="Times New Roman" w:hAnsi="Times New Roman" w:eastAsia="Times New Roman"/>
          <w:b/>
          <w:sz w:val="21"/>
          <w:lang w:val="fr-FR" w:eastAsia="fr-FR"/>
        </w:rPr>
        <w:t xml:space="preserve">Statut d'agrégation. </w:t>
      </w:r>
      <w:r>
        <w:rPr>
          <w:rFonts w:ascii="Times New Roman" w:hAnsi="Times New Roman" w:eastAsia="Times New Roman"/>
          <w:sz w:val="22"/>
          <w:lang w:val="fr-FR" w:eastAsia="fr-FR"/>
        </w:rPr>
        <w:t>stable_across_min_median_max</w:t>
      </w:r>
    </w:p>
    <w:p>
      <w:pPr>
        <w:pStyle w:val="Heading3"/>
      </w:pPr>
      <w:r>
        <w:rPr>
          <w:rFonts w:ascii="Times New Roman" w:hAnsi="Times New Roman" w:eastAsia="Times New Roman"/>
          <w:sz w:val="22"/>
          <w:lang w:val="fr-FR" w:eastAsia="fr-FR"/>
        </w:rPr>
        <w:t xml:space="preserve">Cas 2  </w:t>
      </w:r>
      <w:r>
        <w:rPr>
          <w:rFonts w:ascii="Courier New" w:hAnsi="Courier New" w:eastAsia="Courier New"/>
          <w:sz w:val="19"/>
          <w:lang w:val="fr-FR" w:eastAsia="fr-FR"/>
        </w:rPr>
        <w:t>segment_assignment_sensitive</w:t>
      </w:r>
    </w:p>
    <w:p>
      <w:r>
        <w:rPr>
          <w:rFonts w:ascii="Times New Roman" w:hAnsi="Times New Roman" w:eastAsia="Times New Roman"/>
          <w:b/>
          <w:sz w:val="21"/>
          <w:lang w:val="fr-FR" w:eastAsia="fr-FR"/>
        </w:rPr>
        <w:t xml:space="preserve">Identifiant stable du cluster. </w:t>
      </w:r>
      <w:r>
        <w:rPr>
          <w:rFonts w:ascii="Courier New" w:hAnsi="Courier New" w:eastAsia="Courier New"/>
          <w:sz w:val="19"/>
          <w:lang w:val="fr-FR" w:eastAsia="fr-FR"/>
        </w:rPr>
        <w:t>SKI_CLUSTER_017</w:t>
      </w:r>
    </w:p>
    <w:p>
      <w:r>
        <w:rPr>
          <w:rFonts w:ascii="Times New Roman" w:hAnsi="Times New Roman" w:eastAsia="Times New Roman"/>
          <w:b/>
          <w:sz w:val="21"/>
          <w:lang w:val="fr-FR" w:eastAsia="fr-FR"/>
        </w:rPr>
        <w:t xml:space="preserve">Libellé du répertoire. </w:t>
      </w:r>
      <w:r>
        <w:rPr>
          <w:rFonts w:ascii="Times New Roman" w:hAnsi="Times New Roman" w:eastAsia="Times New Roman"/>
          <w:sz w:val="22"/>
          <w:lang w:val="fr-FR" w:eastAsia="fr-FR"/>
        </w:rPr>
        <w:t>Disentis / Andermatt - Oberalp - Sedrun / Gemsstock Andermatt - Gemsstock / +1 fiche</w:t>
      </w:r>
    </w:p>
    <w:p>
      <w:r>
        <w:rPr>
          <w:rFonts w:ascii="Times New Roman" w:hAnsi="Times New Roman" w:eastAsia="Times New Roman"/>
          <w:b/>
          <w:sz w:val="21"/>
          <w:lang w:val="fr-FR" w:eastAsia="fr-FR"/>
        </w:rPr>
        <w:t xml:space="preserve">Support traité selon la règle médiane. </w:t>
      </w:r>
      <w:r>
        <w:rPr>
          <w:rFonts w:ascii="Times New Roman" w:hAnsi="Times New Roman" w:eastAsia="Times New Roman"/>
          <w:sz w:val="22"/>
          <w:lang w:val="fr-FR" w:eastAsia="fr-FR"/>
        </w:rPr>
        <w:t>good_support</w:t>
      </w:r>
    </w:p>
    <w:p>
      <w:r>
        <w:rPr>
          <w:rFonts w:ascii="Times New Roman" w:hAnsi="Times New Roman" w:eastAsia="Times New Roman"/>
          <w:b/>
          <w:sz w:val="21"/>
          <w:lang w:val="fr-FR" w:eastAsia="fr-FR"/>
        </w:rPr>
        <w:t xml:space="preserve">Statut d'agrégation. </w:t>
      </w:r>
      <w:r>
        <w:rPr>
          <w:rFonts w:ascii="Times New Roman" w:hAnsi="Times New Roman" w:eastAsia="Times New Roman"/>
          <w:sz w:val="22"/>
          <w:lang w:val="fr-FR" w:eastAsia="fr-FR"/>
        </w:rPr>
        <w:t>sensitive_to_within_cluster_aggregation</w:t>
      </w:r>
    </w:p>
    <w:p>
      <w:pPr>
        <w:pStyle w:val="Heading3"/>
      </w:pPr>
      <w:r>
        <w:rPr>
          <w:rFonts w:ascii="Times New Roman" w:hAnsi="Times New Roman" w:eastAsia="Times New Roman"/>
          <w:sz w:val="22"/>
          <w:lang w:val="fr-FR" w:eastAsia="fr-FR"/>
        </w:rPr>
        <w:t xml:space="preserve">Cas 3  </w:t>
      </w:r>
      <w:r>
        <w:rPr>
          <w:rFonts w:ascii="Courier New" w:hAnsi="Courier New" w:eastAsia="Courier New"/>
          <w:sz w:val="19"/>
          <w:lang w:val="fr-FR" w:eastAsia="fr-FR"/>
        </w:rPr>
        <w:t>support_category_sensitive</w:t>
      </w:r>
    </w:p>
    <w:p>
      <w:r>
        <w:rPr>
          <w:rFonts w:ascii="Times New Roman" w:hAnsi="Times New Roman" w:eastAsia="Times New Roman"/>
          <w:b/>
          <w:sz w:val="21"/>
          <w:lang w:val="fr-FR" w:eastAsia="fr-FR"/>
        </w:rPr>
        <w:t xml:space="preserve">Identifiant stable du cluster. </w:t>
      </w:r>
      <w:r>
        <w:rPr>
          <w:rFonts w:ascii="Courier New" w:hAnsi="Courier New" w:eastAsia="Courier New"/>
          <w:sz w:val="19"/>
          <w:lang w:val="fr-FR" w:eastAsia="fr-FR"/>
        </w:rPr>
        <w:t>SKI_CLUSTER_007</w:t>
      </w:r>
    </w:p>
    <w:p>
      <w:r>
        <w:rPr>
          <w:rFonts w:ascii="Times New Roman" w:hAnsi="Times New Roman" w:eastAsia="Times New Roman"/>
          <w:b/>
          <w:sz w:val="21"/>
          <w:lang w:val="fr-FR" w:eastAsia="fr-FR"/>
        </w:rPr>
        <w:t xml:space="preserve">Libellé du répertoire. </w:t>
      </w:r>
      <w:r>
        <w:rPr>
          <w:rFonts w:ascii="Times New Roman" w:hAnsi="Times New Roman" w:eastAsia="Times New Roman"/>
          <w:sz w:val="22"/>
          <w:lang w:val="fr-FR" w:eastAsia="fr-FR"/>
        </w:rPr>
        <w:t>Arosa Lenzerheide / Pradaschier - Churwalden / Brambrüesch Chur - Brambrüesch</w:t>
      </w:r>
    </w:p>
    <w:p>
      <w:r>
        <w:rPr>
          <w:rFonts w:ascii="Times New Roman" w:hAnsi="Times New Roman" w:eastAsia="Times New Roman"/>
          <w:b/>
          <w:sz w:val="21"/>
          <w:lang w:val="fr-FR" w:eastAsia="fr-FR"/>
        </w:rPr>
        <w:t xml:space="preserve">Support traité selon la règle médiane. </w:t>
      </w:r>
      <w:r>
        <w:rPr>
          <w:rFonts w:ascii="Times New Roman" w:hAnsi="Times New Roman" w:eastAsia="Times New Roman"/>
          <w:sz w:val="22"/>
          <w:lang w:val="fr-FR" w:eastAsia="fr-FR"/>
        </w:rPr>
        <w:t>good_support</w:t>
      </w:r>
    </w:p>
    <w:p>
      <w:r>
        <w:rPr>
          <w:rFonts w:ascii="Times New Roman" w:hAnsi="Times New Roman" w:eastAsia="Times New Roman"/>
          <w:b/>
          <w:sz w:val="21"/>
          <w:lang w:val="fr-FR" w:eastAsia="fr-FR"/>
        </w:rPr>
        <w:t xml:space="preserve">Statut d'agrégation. </w:t>
      </w:r>
      <w:r>
        <w:rPr>
          <w:rFonts w:ascii="Times New Roman" w:hAnsi="Times New Roman" w:eastAsia="Times New Roman"/>
          <w:sz w:val="22"/>
          <w:lang w:val="fr-FR" w:eastAsia="fr-FR"/>
        </w:rPr>
        <w:t>sensitive_to_within_cluster_aggregation</w:t>
      </w:r>
    </w:p>
    <w:p>
      <w:pPr>
        <w:pStyle w:val="Heading3"/>
      </w:pPr>
      <w:r>
        <w:rPr>
          <w:rFonts w:ascii="Times New Roman" w:hAnsi="Times New Roman" w:eastAsia="Times New Roman"/>
          <w:sz w:val="22"/>
          <w:lang w:val="fr-FR" w:eastAsia="fr-FR"/>
        </w:rPr>
        <w:t xml:space="preserve">Cas 4  </w:t>
      </w:r>
      <w:r>
        <w:rPr>
          <w:rFonts w:ascii="Courier New" w:hAnsi="Courier New" w:eastAsia="Courier New"/>
          <w:sz w:val="19"/>
          <w:lang w:val="fr-FR" w:eastAsia="fr-FR"/>
        </w:rPr>
        <w:t>strong_treated_reference_extrapolation</w:t>
      </w:r>
    </w:p>
    <w:p>
      <w:r>
        <w:rPr>
          <w:rFonts w:ascii="Times New Roman" w:hAnsi="Times New Roman" w:eastAsia="Times New Roman"/>
          <w:b/>
          <w:sz w:val="21"/>
          <w:lang w:val="fr-FR" w:eastAsia="fr-FR"/>
        </w:rPr>
        <w:t xml:space="preserve">Identifiant stable du cluster. </w:t>
      </w:r>
      <w:r>
        <w:rPr>
          <w:rFonts w:ascii="Courier New" w:hAnsi="Courier New" w:eastAsia="Courier New"/>
          <w:sz w:val="19"/>
          <w:lang w:val="fr-FR" w:eastAsia="fr-FR"/>
        </w:rPr>
        <w:t>SKI_CLUSTER_001</w:t>
      </w:r>
    </w:p>
    <w:p>
      <w:r>
        <w:rPr>
          <w:rFonts w:ascii="Times New Roman" w:hAnsi="Times New Roman" w:eastAsia="Times New Roman"/>
          <w:b/>
          <w:sz w:val="21"/>
          <w:lang w:val="fr-FR" w:eastAsia="fr-FR"/>
        </w:rPr>
        <w:t xml:space="preserve">Libellé du répertoire. </w:t>
      </w:r>
      <w:r>
        <w:rPr>
          <w:rFonts w:ascii="Times New Roman" w:hAnsi="Times New Roman" w:eastAsia="Times New Roman"/>
          <w:sz w:val="22"/>
          <w:lang w:val="fr-FR" w:eastAsia="fr-FR"/>
        </w:rPr>
        <w:t>Châtel Portes du Soleil / Torgon Portes du Soleil / Avoriaz 1800 Portes du Soleil / +2 fiches</w:t>
      </w:r>
    </w:p>
    <w:p>
      <w:r>
        <w:rPr>
          <w:rFonts w:ascii="Times New Roman" w:hAnsi="Times New Roman" w:eastAsia="Times New Roman"/>
          <w:b/>
          <w:sz w:val="21"/>
          <w:lang w:val="fr-FR" w:eastAsia="fr-FR"/>
        </w:rPr>
        <w:t xml:space="preserve">Support traité selon la règle médiane. </w:t>
      </w:r>
      <w:r>
        <w:rPr>
          <w:rFonts w:ascii="Times New Roman" w:hAnsi="Times New Roman" w:eastAsia="Times New Roman"/>
          <w:sz w:val="22"/>
          <w:lang w:val="fr-FR" w:eastAsia="fr-FR"/>
        </w:rPr>
        <w:t>strong_extrapolation</w:t>
      </w:r>
    </w:p>
    <w:p>
      <w:r>
        <w:rPr>
          <w:rFonts w:ascii="Times New Roman" w:hAnsi="Times New Roman" w:eastAsia="Times New Roman"/>
          <w:b/>
          <w:sz w:val="21"/>
          <w:lang w:val="fr-FR" w:eastAsia="fr-FR"/>
        </w:rPr>
        <w:t xml:space="preserve">Statut d'agrégation. </w:t>
      </w:r>
      <w:r>
        <w:rPr>
          <w:rFonts w:ascii="Times New Roman" w:hAnsi="Times New Roman" w:eastAsia="Times New Roman"/>
          <w:sz w:val="22"/>
          <w:lang w:val="fr-FR" w:eastAsia="fr-FR"/>
        </w:rPr>
        <w:t>sensitive_to_within_cluster_aggregation</w:t>
      </w:r>
    </w:p>
    <w:p>
      <w:pPr>
        <w:widowControl/>
      </w:pPr>
      <w:r>
        <w:rPr>
          <w:rFonts w:ascii="Times New Roman" w:hAnsi="Times New Roman" w:eastAsia="Times New Roman"/>
          <w:sz w:val="22"/>
          <w:lang w:val="fr-FR" w:eastAsia="fr-FR"/>
        </w:rPr>
        <w:t xml:space="preserve">La première règle illustre une situation stable avec un contexte disponible pour la commune contenant le point. Les deux suivantes isolent deux problèmes d'agrégation distincts : un changement de segment et un changement de catégorie de support. La dernière illustre une extrapolation au-delà du support empirique des références traitées. Les variables exactes de sélection sont conservées dans </w:t>
      </w:r>
      <w:r>
        <w:rPr>
          <w:rFonts w:ascii="Courier New" w:hAnsi="Courier New" w:eastAsia="Courier New"/>
          <w:sz w:val="19"/>
          <w:lang w:val="fr-FR" w:eastAsia="fr-FR"/>
        </w:rPr>
        <w:t>reports/thesis_candidate_uncertainty_examples.csv</w:t>
      </w:r>
      <w:r>
        <w:rPr>
          <w:rFonts w:ascii="Times New Roman" w:hAnsi="Times New Roman" w:eastAsia="Times New Roman"/>
          <w:sz w:val="22"/>
          <w:lang w:val="fr-FR" w:eastAsia="fr-FR"/>
        </w:rPr>
        <w:t>.</w:t>
      </w:r>
    </w:p>
    <w:p>
      <w:pPr>
        <w:pStyle w:val="Heading2"/>
      </w:pPr>
      <w:r>
        <w:rPr>
          <w:rFonts w:ascii="Times New Roman" w:hAnsi="Times New Roman" w:eastAsia="Times New Roman"/>
          <w:sz w:val="22"/>
          <w:lang w:val="fr-FR" w:eastAsia="fr-FR"/>
        </w:rPr>
        <w:t xml:space="preserve">1 Comparaison structurelle stable avec contexte communal </w:t>
      </w:r>
      <w:r>
        <w:rPr>
          <w:rFonts w:ascii="Courier New" w:hAnsi="Courier New" w:eastAsia="Courier New"/>
          <w:sz w:val="19"/>
          <w:lang w:val="fr-FR" w:eastAsia="fr-FR"/>
        </w:rPr>
        <w:t>SKI_CLUSTER_010</w:t>
      </w:r>
    </w:p>
    <w:p>
      <w:pPr>
        <w:widowControl/>
      </w:pPr>
      <w:r>
        <w:rPr>
          <w:rFonts w:ascii="Times New Roman" w:hAnsi="Times New Roman" w:eastAsia="Times New Roman"/>
          <w:b/>
          <w:sz w:val="22"/>
          <w:lang w:val="fr-FR" w:eastAsia="fr-FR"/>
        </w:rPr>
        <w:t>Libellé du répertoire :</w:t>
      </w:r>
      <w:r>
        <w:rPr>
          <w:rFonts w:ascii="Times New Roman" w:hAnsi="Times New Roman" w:eastAsia="Times New Roman"/>
          <w:sz w:val="22"/>
          <w:lang w:val="fr-FR" w:eastAsia="fr-FR"/>
        </w:rPr>
        <w:t xml:space="preserve"> Wengen Jungfrau Ski Region Grindelwald - Wengen / Schilthorn Jungfrau Ski Region Mürren - Schilthorn</w:t>
      </w:r>
    </w:p>
    <w:p>
      <w:pPr>
        <w:widowControl/>
      </w:pPr>
      <w:r>
        <w:rPr>
          <w:rFonts w:ascii="Times New Roman" w:hAnsi="Times New Roman" w:eastAsia="Times New Roman"/>
          <w:b/>
          <w:sz w:val="22"/>
          <w:lang w:val="fr-FR" w:eastAsia="fr-FR"/>
        </w:rPr>
        <w:t>Règle de sélection :</w:t>
      </w:r>
      <w:r>
        <w:rPr>
          <w:rFonts w:ascii="Times New Roman" w:hAnsi="Times New Roman" w:eastAsia="Times New Roman"/>
          <w:sz w:val="22"/>
          <w:lang w:val="fr-FR" w:eastAsia="fr-FR"/>
        </w:rPr>
        <w:t xml:space="preserve"> premier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dont le segment, l'analogue et les critères de support restent stables selon les agrégations minimale, médiane et maximale, avec un bon support par les références traitées et un contexte complet de population et d'hôtellerie pour la commune contenant le point.</w:t>
      </w:r>
    </w:p>
    <w:p>
      <w:pPr>
        <w:widowControl/>
      </w:pPr>
      <w:r>
        <w:rPr>
          <w:rFonts w:ascii="Times New Roman" w:hAnsi="Times New Roman" w:eastAsia="Times New Roman"/>
          <w:b/>
          <w:sz w:val="22"/>
          <w:lang w:val="fr-FR" w:eastAsia="fr-FR"/>
        </w:rPr>
        <w:t>Lecture structurelle.</w:t>
      </w:r>
      <w:r>
        <w:rPr>
          <w:rFonts w:ascii="Times New Roman" w:hAnsi="Times New Roman" w:eastAsia="Times New Roman"/>
          <w:sz w:val="22"/>
          <w:lang w:val="fr-FR" w:eastAsia="fr-FR"/>
        </w:rPr>
        <w:t xml:space="preserve"> Le profil médian du répertoire indique une altitude supérieure de 2 750 m, un domaine skiable publié de 108,0 km et 21,0 remontées. Le segment selon la règle médiane est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l'indicateur de support par rapport aux références traitées est </w:t>
      </w:r>
      <w:r>
        <w:rPr>
          <w:rFonts w:ascii="Courier New" w:hAnsi="Courier New" w:eastAsia="Courier New"/>
          <w:sz w:val="19"/>
          <w:lang w:val="fr-FR" w:eastAsia="fr-FR"/>
        </w:rPr>
        <w:t>good_support</w:t>
      </w:r>
      <w:r>
        <w:rPr>
          <w:rFonts w:ascii="Times New Roman" w:hAnsi="Times New Roman" w:eastAsia="Times New Roman"/>
          <w:sz w:val="22"/>
          <w:lang w:val="fr-FR" w:eastAsia="fr-FR"/>
        </w:rPr>
        <w:t xml:space="preserve">. Les règles d'agrégation enregistrent l'ensemble de segments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une amplitude du signal des analogues de 12,9 points de pourcentage.</w:t>
      </w:r>
    </w:p>
    <w:p>
      <w:pPr>
        <w:widowControl/>
      </w:pPr>
      <w:r>
        <w:rPr>
          <w:rFonts w:ascii="Times New Roman" w:hAnsi="Times New Roman" w:eastAsia="Times New Roman"/>
          <w:b/>
          <w:sz w:val="22"/>
          <w:lang w:val="fr-FR" w:eastAsia="fr-FR"/>
        </w:rPr>
        <w:t>Lecture des analogues.</w:t>
      </w:r>
      <w:r>
        <w:rPr>
          <w:rFonts w:ascii="Times New Roman" w:hAnsi="Times New Roman" w:eastAsia="Times New Roman"/>
          <w:sz w:val="22"/>
          <w:lang w:val="fr-FR" w:eastAsia="fr-FR"/>
        </w:rPr>
        <w:t xml:space="preserve"> Le cluster Magic Pass actuel le plus proche est </w:t>
      </w:r>
      <w:r>
        <w:rPr>
          <w:rFonts w:ascii="Courier New" w:hAnsi="Courier New" w:eastAsia="Courier New"/>
          <w:sz w:val="19"/>
          <w:lang w:val="fr-FR" w:eastAsia="fr-FR"/>
        </w:rPr>
        <w:t>SKI_CLUSTER_020</w:t>
      </w:r>
      <w:r>
        <w:rPr>
          <w:rFonts w:ascii="Times New Roman" w:hAnsi="Times New Roman" w:eastAsia="Times New Roman"/>
          <w:sz w:val="22"/>
          <w:lang w:val="fr-FR" w:eastAsia="fr-FR"/>
        </w:rPr>
        <w:t xml:space="preserve"> (Anzère / Crans - Montana Crans - Montana), tandis que la référence traitée examinée la plus proche est </w:t>
      </w:r>
      <w:r>
        <w:rPr>
          <w:rFonts w:ascii="Courier New" w:hAnsi="Courier New" w:eastAsia="Courier New"/>
          <w:sz w:val="19"/>
          <w:lang w:val="fr-FR" w:eastAsia="fr-FR"/>
        </w:rPr>
        <w:t>anniviers_magic_portfolio</w:t>
      </w:r>
      <w:r>
        <w:rPr>
          <w:rFonts w:ascii="Times New Roman" w:hAnsi="Times New Roman" w:eastAsia="Times New Roman"/>
          <w:sz w:val="22"/>
          <w:lang w:val="fr-FR" w:eastAsia="fr-FR"/>
        </w:rPr>
        <w:t xml:space="preserve"> (portefeuille Magic Pass d'Anniviers). Il s'agit de voisins géométriques dans l'espace des trois variables structurelles, et non de témoins contrefactuels.</w:t>
      </w:r>
    </w:p>
    <w:p>
      <w:pPr>
        <w:widowControl/>
      </w:pPr>
      <w:r>
        <w:rPr>
          <w:rFonts w:ascii="Times New Roman" w:hAnsi="Times New Roman" w:eastAsia="Times New Roman"/>
          <w:b/>
          <w:sz w:val="22"/>
          <w:lang w:val="fr-FR" w:eastAsia="fr-FR"/>
        </w:rPr>
        <w:t>Limites des données.</w:t>
      </w:r>
      <w:r>
        <w:rPr>
          <w:rFonts w:ascii="Times New Roman" w:hAnsi="Times New Roman" w:eastAsia="Times New Roman"/>
          <w:sz w:val="22"/>
          <w:lang w:val="fr-FR" w:eastAsia="fr-FR"/>
        </w:rPr>
        <w:t xml:space="preserve"> Le contexte touristique est </w:t>
      </w:r>
      <w:r>
        <w:rPr>
          <w:rFonts w:ascii="Courier New" w:hAnsi="Courier New" w:eastAsia="Courier New"/>
          <w:sz w:val="19"/>
          <w:lang w:val="fr-FR" w:eastAsia="fr-FR"/>
        </w:rPr>
        <w:t>complete_point_container_population_and_hotel_context</w:t>
      </w:r>
      <w:r>
        <w:rPr>
          <w:rFonts w:ascii="Times New Roman" w:hAnsi="Times New Roman" w:eastAsia="Times New Roman"/>
          <w:sz w:val="22"/>
          <w:lang w:val="fr-FR" w:eastAsia="fr-FR"/>
        </w:rPr>
        <w:t xml:space="preserve"> et aucun bassin touristique n'est validé. L'affectation NPVM est </w:t>
      </w:r>
      <w:r>
        <w:rPr>
          <w:rFonts w:ascii="Courier New" w:hAnsi="Courier New" w:eastAsia="Courier New"/>
          <w:sz w:val="19"/>
          <w:lang w:val="fr-FR" w:eastAsia="fr-FR"/>
        </w:rPr>
        <w:t>complete_with_nearest_same_municipality_zone_proxy</w:t>
      </w:r>
      <w:r>
        <w:rPr>
          <w:rFonts w:ascii="Times New Roman" w:hAnsi="Times New Roman" w:eastAsia="Times New Roman"/>
          <w:sz w:val="22"/>
          <w:lang w:val="fr-FR" w:eastAsia="fr-FR"/>
        </w:rPr>
        <w:t xml:space="preserve"> ; le contexte actuel des arrêts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et celui des axes routiers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Le périmètre des pass actuels est </w:t>
      </w:r>
      <w:r>
        <w:rPr>
          <w:rFonts w:ascii="Courier New" w:hAnsi="Courier New" w:eastAsia="Courier New"/>
          <w:sz w:val="19"/>
          <w:lang w:val="fr-FR" w:eastAsia="fr-FR"/>
        </w:rPr>
        <w:t>all_listing_points_linked_to_one_or_more_reviewed_rosters</w:t>
      </w:r>
      <w:r>
        <w:rPr>
          <w:rFonts w:ascii="Times New Roman" w:hAnsi="Times New Roman" w:eastAsia="Times New Roman"/>
          <w:sz w:val="22"/>
          <w:lang w:val="fr-FR" w:eastAsia="fr-FR"/>
        </w:rPr>
        <w:t xml:space="preserve"> et celui de la présence positive historique est </w:t>
      </w:r>
      <w:r>
        <w:rPr>
          <w:rFonts w:ascii="Courier New" w:hAnsi="Courier New" w:eastAsia="Courier New"/>
          <w:sz w:val="19"/>
          <w:lang w:val="fr-FR" w:eastAsia="fr-FR"/>
        </w:rPr>
        <w:t>partial_cluster_listing_links_documented</w:t>
      </w:r>
      <w:r>
        <w:rPr>
          <w:rFonts w:ascii="Times New Roman" w:hAnsi="Times New Roman" w:eastAsia="Times New Roman"/>
          <w:sz w:val="22"/>
          <w:lang w:val="fr-FR" w:eastAsia="fr-FR"/>
        </w:rPr>
        <w:t xml:space="preserve"> ; l'absence historique du marché n'est pas vérifiée.</w:t>
      </w:r>
    </w:p>
    <w:p>
      <w:pPr>
        <w:widowControl/>
      </w:pPr>
      <w:r>
        <w:rPr>
          <w:rFonts w:ascii="Times New Roman" w:hAnsi="Times New Roman" w:eastAsia="Times New Roman"/>
          <w:b/>
          <w:sz w:val="22"/>
          <w:lang w:val="fr-FR" w:eastAsia="fr-FR"/>
        </w:rPr>
        <w:t>Conclusion autorisée.</w:t>
      </w:r>
      <w:r>
        <w:rPr>
          <w:rFonts w:ascii="Times New Roman" w:hAnsi="Times New Roman" w:eastAsia="Times New Roman"/>
          <w:sz w:val="22"/>
          <w:lang w:val="fr-FR" w:eastAsia="fr-FR"/>
        </w:rPr>
        <w:t xml:space="preserve"> Cette ligne illustre la manière de présenter la solidité des données et l'incertitude pour un identifiant stable. Elle ne constitue ni une recommandation d'admission, ni une estimation causale, ni une valeur d'effet incrémental attendu, ni un jugement de mérite relatif.</w:t>
      </w:r>
    </w:p>
    <w:p>
      <w:pPr>
        <w:pStyle w:val="Heading2"/>
      </w:pPr>
      <w:r>
        <w:rPr>
          <w:rFonts w:ascii="Times New Roman" w:hAnsi="Times New Roman" w:eastAsia="Times New Roman"/>
          <w:sz w:val="22"/>
          <w:lang w:val="fr-FR" w:eastAsia="fr-FR"/>
        </w:rPr>
        <w:t xml:space="preserve">2 Changement d'affectation au segment selon l'agrégation </w:t>
      </w:r>
      <w:r>
        <w:rPr>
          <w:rFonts w:ascii="Courier New" w:hAnsi="Courier New" w:eastAsia="Courier New"/>
          <w:sz w:val="19"/>
          <w:lang w:val="fr-FR" w:eastAsia="fr-FR"/>
        </w:rPr>
        <w:t>SKI_CLUSTER_017</w:t>
      </w:r>
    </w:p>
    <w:p>
      <w:pPr>
        <w:widowControl/>
      </w:pPr>
      <w:r>
        <w:rPr>
          <w:rFonts w:ascii="Times New Roman" w:hAnsi="Times New Roman" w:eastAsia="Times New Roman"/>
          <w:b/>
          <w:sz w:val="22"/>
          <w:lang w:val="fr-FR" w:eastAsia="fr-FR"/>
        </w:rPr>
        <w:t>Libellé du répertoire :</w:t>
      </w:r>
      <w:r>
        <w:rPr>
          <w:rFonts w:ascii="Times New Roman" w:hAnsi="Times New Roman" w:eastAsia="Times New Roman"/>
          <w:sz w:val="22"/>
          <w:lang w:val="fr-FR" w:eastAsia="fr-FR"/>
        </w:rPr>
        <w:t xml:space="preserve"> Disentis / Andermatt - Oberalp - Sedrun / Gemsstock Andermatt - Gemsstock / +1 fiche</w:t>
      </w:r>
    </w:p>
    <w:p>
      <w:pPr>
        <w:widowControl/>
      </w:pPr>
      <w:r>
        <w:rPr>
          <w:rFonts w:ascii="Times New Roman" w:hAnsi="Times New Roman" w:eastAsia="Times New Roman"/>
          <w:b/>
          <w:sz w:val="22"/>
          <w:lang w:val="fr-FR" w:eastAsia="fr-FR"/>
        </w:rPr>
        <w:t>Règle de sélection :</w:t>
      </w:r>
      <w:r>
        <w:rPr>
          <w:rFonts w:ascii="Times New Roman" w:hAnsi="Times New Roman" w:eastAsia="Times New Roman"/>
          <w:sz w:val="22"/>
          <w:lang w:val="fr-FR" w:eastAsia="fr-FR"/>
        </w:rPr>
        <w:t xml:space="preserve"> premier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bénéficiant d'un bon support par les références traitées et dont les solutions enregistrées selon les agrégations minimale, médiane et maximale couvrent plusieurs segments.</w:t>
      </w:r>
    </w:p>
    <w:p>
      <w:pPr>
        <w:widowControl/>
      </w:pPr>
      <w:r>
        <w:rPr>
          <w:rFonts w:ascii="Times New Roman" w:hAnsi="Times New Roman" w:eastAsia="Times New Roman"/>
          <w:b/>
          <w:sz w:val="22"/>
          <w:lang w:val="fr-FR" w:eastAsia="fr-FR"/>
        </w:rPr>
        <w:t>Lecture structurelle.</w:t>
      </w:r>
      <w:r>
        <w:rPr>
          <w:rFonts w:ascii="Times New Roman" w:hAnsi="Times New Roman" w:eastAsia="Times New Roman"/>
          <w:sz w:val="22"/>
          <w:lang w:val="fr-FR" w:eastAsia="fr-FR"/>
        </w:rPr>
        <w:t xml:space="preserve"> Le profil médian du répertoire indique une altitude supérieure de 2 725 m, un domaine skiable publié de 45,5 km et 7,0 remontées. Le segment selon la règle médiane est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l'indicateur de support par rapport aux références traitées est </w:t>
      </w:r>
      <w:r>
        <w:rPr>
          <w:rFonts w:ascii="Courier New" w:hAnsi="Courier New" w:eastAsia="Courier New"/>
          <w:sz w:val="19"/>
          <w:lang w:val="fr-FR" w:eastAsia="fr-FR"/>
        </w:rPr>
        <w:t>good_support</w:t>
      </w:r>
      <w:r>
        <w:rPr>
          <w:rFonts w:ascii="Times New Roman" w:hAnsi="Times New Roman" w:eastAsia="Times New Roman"/>
          <w:sz w:val="22"/>
          <w:lang w:val="fr-FR" w:eastAsia="fr-FR"/>
        </w:rPr>
        <w:t xml:space="preserve">. Les règles d'agrégation enregistrent l'ensemble de segments </w:t>
      </w:r>
      <w:r>
        <w:rPr>
          <w:rFonts w:ascii="Courier New" w:hAnsi="Courier New" w:eastAsia="Courier New"/>
          <w:sz w:val="19"/>
          <w:lang w:val="fr-FR" w:eastAsia="fr-FR"/>
        </w:rPr>
        <w:t>SEGMENT_01|SEGMENT_02</w:t>
      </w:r>
      <w:r>
        <w:rPr>
          <w:rFonts w:ascii="Times New Roman" w:hAnsi="Times New Roman" w:eastAsia="Times New Roman"/>
          <w:sz w:val="22"/>
          <w:lang w:val="fr-FR" w:eastAsia="fr-FR"/>
        </w:rPr>
        <w:t xml:space="preserve"> et une amplitude du signal des analogues de 15,5 points de pourcentage.</w:t>
      </w:r>
    </w:p>
    <w:p>
      <w:pPr>
        <w:widowControl/>
      </w:pPr>
      <w:r>
        <w:rPr>
          <w:rFonts w:ascii="Times New Roman" w:hAnsi="Times New Roman" w:eastAsia="Times New Roman"/>
          <w:b/>
          <w:sz w:val="22"/>
          <w:lang w:val="fr-FR" w:eastAsia="fr-FR"/>
        </w:rPr>
        <w:t>Lecture des analogues.</w:t>
      </w:r>
      <w:r>
        <w:rPr>
          <w:rFonts w:ascii="Times New Roman" w:hAnsi="Times New Roman" w:eastAsia="Times New Roman"/>
          <w:sz w:val="22"/>
          <w:lang w:val="fr-FR" w:eastAsia="fr-FR"/>
        </w:rPr>
        <w:t xml:space="preserve"> Le cluster Magic Pass actuel le plus proche est </w:t>
      </w:r>
      <w:r>
        <w:rPr>
          <w:rFonts w:ascii="Courier New" w:hAnsi="Courier New" w:eastAsia="Courier New"/>
          <w:sz w:val="19"/>
          <w:lang w:val="fr-FR" w:eastAsia="fr-FR"/>
        </w:rPr>
        <w:t>SKI_CLUSTER_071</w:t>
      </w:r>
      <w:r>
        <w:rPr>
          <w:rFonts w:ascii="Times New Roman" w:hAnsi="Times New Roman" w:eastAsia="Times New Roman"/>
          <w:sz w:val="22"/>
          <w:lang w:val="fr-FR" w:eastAsia="fr-FR"/>
        </w:rPr>
        <w:t xml:space="preserve"> (Mont - Noble Nax), tandis que la référence traitée examinée la plus proche est </w:t>
      </w:r>
      <w:r>
        <w:rPr>
          <w:rFonts w:ascii="Courier New" w:hAnsi="Courier New" w:eastAsia="Courier New"/>
          <w:sz w:val="19"/>
          <w:lang w:val="fr-FR" w:eastAsia="fr-FR"/>
        </w:rPr>
        <w:t>espace_dent_blanche</w:t>
      </w:r>
      <w:r>
        <w:rPr>
          <w:rFonts w:ascii="Times New Roman" w:hAnsi="Times New Roman" w:eastAsia="Times New Roman"/>
          <w:sz w:val="22"/>
          <w:lang w:val="fr-FR" w:eastAsia="fr-FR"/>
        </w:rPr>
        <w:t xml:space="preserve"> (Espace Dent Blanche). Il s'agit de voisins géométriques dans l'espace des trois variables structurelles, et non de témoins contrefactuels.</w:t>
      </w:r>
    </w:p>
    <w:p>
      <w:pPr>
        <w:widowControl/>
      </w:pPr>
      <w:r>
        <w:rPr>
          <w:rFonts w:ascii="Times New Roman" w:hAnsi="Times New Roman" w:eastAsia="Times New Roman"/>
          <w:b/>
          <w:sz w:val="22"/>
          <w:lang w:val="fr-FR" w:eastAsia="fr-FR"/>
        </w:rPr>
        <w:t>Limites des données.</w:t>
      </w:r>
      <w:r>
        <w:rPr>
          <w:rFonts w:ascii="Times New Roman" w:hAnsi="Times New Roman" w:eastAsia="Times New Roman"/>
          <w:sz w:val="22"/>
          <w:lang w:val="fr-FR" w:eastAsia="fr-FR"/>
        </w:rPr>
        <w:t xml:space="preserve"> Le contexte touristique est </w:t>
      </w:r>
      <w:r>
        <w:rPr>
          <w:rFonts w:ascii="Courier New" w:hAnsi="Courier New" w:eastAsia="Courier New"/>
          <w:sz w:val="19"/>
          <w:lang w:val="fr-FR" w:eastAsia="fr-FR"/>
        </w:rPr>
        <w:t>population_only_no_complete_hotel_context</w:t>
      </w:r>
      <w:r>
        <w:rPr>
          <w:rFonts w:ascii="Times New Roman" w:hAnsi="Times New Roman" w:eastAsia="Times New Roman"/>
          <w:sz w:val="22"/>
          <w:lang w:val="fr-FR" w:eastAsia="fr-FR"/>
        </w:rPr>
        <w:t xml:space="preserve"> et aucun bassin touristique n'est validé. L'affectation NPVM est </w:t>
      </w:r>
      <w:r>
        <w:rPr>
          <w:rFonts w:ascii="Courier New" w:hAnsi="Courier New" w:eastAsia="Courier New"/>
          <w:sz w:val="19"/>
          <w:lang w:val="fr-FR" w:eastAsia="fr-FR"/>
        </w:rPr>
        <w:t>complete_with_nearest_same_municipality_zone_proxy</w:t>
      </w:r>
      <w:r>
        <w:rPr>
          <w:rFonts w:ascii="Times New Roman" w:hAnsi="Times New Roman" w:eastAsia="Times New Roman"/>
          <w:sz w:val="22"/>
          <w:lang w:val="fr-FR" w:eastAsia="fr-FR"/>
        </w:rPr>
        <w:t xml:space="preserve"> ; le contexte actuel des arrêts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et celui des axes routiers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Le périmètre des pass actuels est </w:t>
      </w:r>
      <w:r>
        <w:rPr>
          <w:rFonts w:ascii="Courier New" w:hAnsi="Courier New" w:eastAsia="Courier New"/>
          <w:sz w:val="19"/>
          <w:lang w:val="fr-FR" w:eastAsia="fr-FR"/>
        </w:rPr>
        <w:t>all_listing_points_linked_to_one_or_more_reviewed_rosters</w:t>
      </w:r>
      <w:r>
        <w:rPr>
          <w:rFonts w:ascii="Times New Roman" w:hAnsi="Times New Roman" w:eastAsia="Times New Roman"/>
          <w:sz w:val="22"/>
          <w:lang w:val="fr-FR" w:eastAsia="fr-FR"/>
        </w:rPr>
        <w:t xml:space="preserve"> et celui de la présence positive historique est </w:t>
      </w:r>
      <w:r>
        <w:rPr>
          <w:rFonts w:ascii="Courier New" w:hAnsi="Courier New" w:eastAsia="Courier New"/>
          <w:sz w:val="19"/>
          <w:lang w:val="fr-FR" w:eastAsia="fr-FR"/>
        </w:rPr>
        <w:t>all_cluster_listings_have_documented_link</w:t>
      </w:r>
      <w:r>
        <w:rPr>
          <w:rFonts w:ascii="Times New Roman" w:hAnsi="Times New Roman" w:eastAsia="Times New Roman"/>
          <w:sz w:val="22"/>
          <w:lang w:val="fr-FR" w:eastAsia="fr-FR"/>
        </w:rPr>
        <w:t xml:space="preserve"> ; l'absence historique du marché n'est pas vérifiée.</w:t>
      </w:r>
    </w:p>
    <w:p>
      <w:pPr>
        <w:widowControl/>
      </w:pPr>
      <w:r>
        <w:rPr>
          <w:rFonts w:ascii="Times New Roman" w:hAnsi="Times New Roman" w:eastAsia="Times New Roman"/>
          <w:b/>
          <w:sz w:val="22"/>
          <w:lang w:val="fr-FR" w:eastAsia="fr-FR"/>
        </w:rPr>
        <w:t>Conclusion autorisée.</w:t>
      </w:r>
      <w:r>
        <w:rPr>
          <w:rFonts w:ascii="Times New Roman" w:hAnsi="Times New Roman" w:eastAsia="Times New Roman"/>
          <w:sz w:val="22"/>
          <w:lang w:val="fr-FR" w:eastAsia="fr-FR"/>
        </w:rPr>
        <w:t xml:space="preserve"> Cette ligne illustre la manière de présenter la solidité des données et l'incertitude pour un identifiant stable. Elle ne constitue ni une recommandation d'admission, ni une estimation causale, ni une valeur d'effet incrémental attendu, ni un jugement de mérite relatif.</w:t>
      </w:r>
    </w:p>
    <w:p>
      <w:pPr>
        <w:pStyle w:val="Heading2"/>
      </w:pPr>
      <w:r>
        <w:rPr>
          <w:rFonts w:ascii="Times New Roman" w:hAnsi="Times New Roman" w:eastAsia="Times New Roman"/>
          <w:sz w:val="22"/>
          <w:lang w:val="fr-FR" w:eastAsia="fr-FR"/>
        </w:rPr>
        <w:t xml:space="preserve">3 Changement du support des références traitées selon l'agrégation </w:t>
      </w:r>
      <w:r>
        <w:rPr>
          <w:rFonts w:ascii="Courier New" w:hAnsi="Courier New" w:eastAsia="Courier New"/>
          <w:sz w:val="19"/>
          <w:lang w:val="fr-FR" w:eastAsia="fr-FR"/>
        </w:rPr>
        <w:t>SKI_CLUSTER_007</w:t>
      </w:r>
    </w:p>
    <w:p>
      <w:pPr>
        <w:widowControl/>
      </w:pPr>
      <w:r>
        <w:rPr>
          <w:rFonts w:ascii="Times New Roman" w:hAnsi="Times New Roman" w:eastAsia="Times New Roman"/>
          <w:b/>
          <w:sz w:val="22"/>
          <w:lang w:val="fr-FR" w:eastAsia="fr-FR"/>
        </w:rPr>
        <w:t>Libellé du répertoire :</w:t>
      </w:r>
      <w:r>
        <w:rPr>
          <w:rFonts w:ascii="Times New Roman" w:hAnsi="Times New Roman" w:eastAsia="Times New Roman"/>
          <w:sz w:val="22"/>
          <w:lang w:val="fr-FR" w:eastAsia="fr-FR"/>
        </w:rPr>
        <w:t xml:space="preserve"> Arosa Lenzerheide / Pradaschier - Churwalden / Brambrüesch Chur - Brambrüesch</w:t>
      </w:r>
    </w:p>
    <w:p>
      <w:pPr>
        <w:widowControl/>
      </w:pPr>
      <w:r>
        <w:rPr>
          <w:rFonts w:ascii="Times New Roman" w:hAnsi="Times New Roman" w:eastAsia="Times New Roman"/>
          <w:b/>
          <w:sz w:val="22"/>
          <w:lang w:val="fr-FR" w:eastAsia="fr-FR"/>
        </w:rPr>
        <w:t>Règle de sélection :</w:t>
      </w:r>
      <w:r>
        <w:rPr>
          <w:rFonts w:ascii="Times New Roman" w:hAnsi="Times New Roman" w:eastAsia="Times New Roman"/>
          <w:sz w:val="22"/>
          <w:lang w:val="fr-FR" w:eastAsia="fr-FR"/>
        </w:rPr>
        <w:t xml:space="preserve"> premier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avec un bon support selon la règle médiane, une affectation stable au segment et une catégorie de support par les références traitées qui varie selon les règles d'agrégation.</w:t>
      </w:r>
    </w:p>
    <w:p>
      <w:pPr>
        <w:widowControl/>
      </w:pPr>
      <w:r>
        <w:rPr>
          <w:rFonts w:ascii="Times New Roman" w:hAnsi="Times New Roman" w:eastAsia="Times New Roman"/>
          <w:b/>
          <w:sz w:val="22"/>
          <w:lang w:val="fr-FR" w:eastAsia="fr-FR"/>
        </w:rPr>
        <w:t>Lecture structurelle.</w:t>
      </w:r>
      <w:r>
        <w:rPr>
          <w:rFonts w:ascii="Times New Roman" w:hAnsi="Times New Roman" w:eastAsia="Times New Roman"/>
          <w:sz w:val="22"/>
          <w:lang w:val="fr-FR" w:eastAsia="fr-FR"/>
        </w:rPr>
        <w:t xml:space="preserve"> Le profil médian du répertoire indique une altitude supérieure de 2 235 m, un domaine skiable publié de 122,5 km et 4,0 remontées. Le segment selon la règle médiane est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l'indicateur de support par rapport aux références traitées est </w:t>
      </w:r>
      <w:r>
        <w:rPr>
          <w:rFonts w:ascii="Courier New" w:hAnsi="Courier New" w:eastAsia="Courier New"/>
          <w:sz w:val="19"/>
          <w:lang w:val="fr-FR" w:eastAsia="fr-FR"/>
        </w:rPr>
        <w:t>good_support</w:t>
      </w:r>
      <w:r>
        <w:rPr>
          <w:rFonts w:ascii="Times New Roman" w:hAnsi="Times New Roman" w:eastAsia="Times New Roman"/>
          <w:sz w:val="22"/>
          <w:lang w:val="fr-FR" w:eastAsia="fr-FR"/>
        </w:rPr>
        <w:t xml:space="preserve">. Les règles d'agrégation enregistrent l'ensemble de segments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une amplitude du signal des analogues de 0,0 point de pourcentage.</w:t>
      </w:r>
    </w:p>
    <w:p>
      <w:pPr>
        <w:widowControl/>
      </w:pPr>
      <w:r>
        <w:rPr>
          <w:rFonts w:ascii="Times New Roman" w:hAnsi="Times New Roman" w:eastAsia="Times New Roman"/>
          <w:b/>
          <w:sz w:val="22"/>
          <w:lang w:val="fr-FR" w:eastAsia="fr-FR"/>
        </w:rPr>
        <w:t>Lecture des analogues.</w:t>
      </w:r>
      <w:r>
        <w:rPr>
          <w:rFonts w:ascii="Times New Roman" w:hAnsi="Times New Roman" w:eastAsia="Times New Roman"/>
          <w:sz w:val="22"/>
          <w:lang w:val="fr-FR" w:eastAsia="fr-FR"/>
        </w:rPr>
        <w:t xml:space="preserve"> Le cluster Magic Pass actuel le plus proche est </w:t>
      </w:r>
      <w:r>
        <w:rPr>
          <w:rFonts w:ascii="Courier New" w:hAnsi="Courier New" w:eastAsia="Courier New"/>
          <w:sz w:val="19"/>
          <w:lang w:val="fr-FR" w:eastAsia="fr-FR"/>
        </w:rPr>
        <w:t>SKI_CLUSTER_106</w:t>
      </w:r>
      <w:r>
        <w:rPr>
          <w:rFonts w:ascii="Times New Roman" w:hAnsi="Times New Roman" w:eastAsia="Times New Roman"/>
          <w:sz w:val="22"/>
          <w:lang w:val="fr-FR" w:eastAsia="fr-FR"/>
        </w:rPr>
        <w:t xml:space="preserve"> (Evolène), tandis que la référence traitée examinée la plus proche est </w:t>
      </w:r>
      <w:r>
        <w:rPr>
          <w:rFonts w:ascii="Courier New" w:hAnsi="Courier New" w:eastAsia="Courier New"/>
          <w:sz w:val="19"/>
          <w:lang w:val="fr-FR" w:eastAsia="fr-FR"/>
        </w:rPr>
        <w:t>espace_dent_blanche</w:t>
      </w:r>
      <w:r>
        <w:rPr>
          <w:rFonts w:ascii="Times New Roman" w:hAnsi="Times New Roman" w:eastAsia="Times New Roman"/>
          <w:sz w:val="22"/>
          <w:lang w:val="fr-FR" w:eastAsia="fr-FR"/>
        </w:rPr>
        <w:t xml:space="preserve"> (Espace Dent Blanche). Il s'agit de voisins géométriques dans l'espace des trois variables structurelles, et non de témoins contrefactuels.</w:t>
      </w:r>
    </w:p>
    <w:p>
      <w:pPr>
        <w:widowControl/>
      </w:pPr>
      <w:r>
        <w:rPr>
          <w:rFonts w:ascii="Times New Roman" w:hAnsi="Times New Roman" w:eastAsia="Times New Roman"/>
          <w:b/>
          <w:sz w:val="22"/>
          <w:lang w:val="fr-FR" w:eastAsia="fr-FR"/>
        </w:rPr>
        <w:t>Limites des données.</w:t>
      </w:r>
      <w:r>
        <w:rPr>
          <w:rFonts w:ascii="Times New Roman" w:hAnsi="Times New Roman" w:eastAsia="Times New Roman"/>
          <w:sz w:val="22"/>
          <w:lang w:val="fr-FR" w:eastAsia="fr-FR"/>
        </w:rPr>
        <w:t xml:space="preserve"> Le contexte touristique est </w:t>
      </w:r>
      <w:r>
        <w:rPr>
          <w:rFonts w:ascii="Courier New" w:hAnsi="Courier New" w:eastAsia="Courier New"/>
          <w:sz w:val="19"/>
          <w:lang w:val="fr-FR" w:eastAsia="fr-FR"/>
        </w:rPr>
        <w:t>population_only_no_complete_hotel_context</w:t>
      </w:r>
      <w:r>
        <w:rPr>
          <w:rFonts w:ascii="Times New Roman" w:hAnsi="Times New Roman" w:eastAsia="Times New Roman"/>
          <w:sz w:val="22"/>
          <w:lang w:val="fr-FR" w:eastAsia="fr-FR"/>
        </w:rPr>
        <w:t xml:space="preserve"> et aucun bassin touristique n'est validé. L'affectation NPVM est </w:t>
      </w:r>
      <w:r>
        <w:rPr>
          <w:rFonts w:ascii="Courier New" w:hAnsi="Courier New" w:eastAsia="Courier New"/>
          <w:sz w:val="19"/>
          <w:lang w:val="fr-FR" w:eastAsia="fr-FR"/>
        </w:rPr>
        <w:t>complete_with_nearest_same_municipality_zone_proxy</w:t>
      </w:r>
      <w:r>
        <w:rPr>
          <w:rFonts w:ascii="Times New Roman" w:hAnsi="Times New Roman" w:eastAsia="Times New Roman"/>
          <w:sz w:val="22"/>
          <w:lang w:val="fr-FR" w:eastAsia="fr-FR"/>
        </w:rPr>
        <w:t xml:space="preserve"> ; le contexte actuel des arrêts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et celui des axes routiers est </w:t>
      </w:r>
      <w:r>
        <w:rPr>
          <w:rFonts w:ascii="Courier New" w:hAnsi="Courier New" w:eastAsia="Courier New"/>
          <w:sz w:val="19"/>
          <w:lang w:val="fr-FR" w:eastAsia="fr-FR"/>
        </w:rPr>
        <w:t>complete_all_listing_points_inside_swiss_scope</w:t>
      </w:r>
      <w:r>
        <w:rPr>
          <w:rFonts w:ascii="Times New Roman" w:hAnsi="Times New Roman" w:eastAsia="Times New Roman"/>
          <w:sz w:val="22"/>
          <w:lang w:val="fr-FR" w:eastAsia="fr-FR"/>
        </w:rPr>
        <w:t xml:space="preserve">. Le périmètre des pass actuels est </w:t>
      </w:r>
      <w:r>
        <w:rPr>
          <w:rFonts w:ascii="Courier New" w:hAnsi="Courier New" w:eastAsia="Courier New"/>
          <w:sz w:val="19"/>
          <w:lang w:val="fr-FR" w:eastAsia="fr-FR"/>
        </w:rPr>
        <w:t>partial_cluster_listing_links</w:t>
      </w:r>
      <w:r>
        <w:rPr>
          <w:rFonts w:ascii="Times New Roman" w:hAnsi="Times New Roman" w:eastAsia="Times New Roman"/>
          <w:sz w:val="22"/>
          <w:lang w:val="fr-FR" w:eastAsia="fr-FR"/>
        </w:rPr>
        <w:t xml:space="preserve"> et celui de la présence positive historique est </w:t>
      </w:r>
      <w:r>
        <w:rPr>
          <w:rFonts w:ascii="Courier New" w:hAnsi="Courier New" w:eastAsia="Courier New"/>
          <w:sz w:val="19"/>
          <w:lang w:val="fr-FR" w:eastAsia="fr-FR"/>
        </w:rPr>
        <w:t>partial_cluster_listing_links_documented</w:t>
      </w:r>
      <w:r>
        <w:rPr>
          <w:rFonts w:ascii="Times New Roman" w:hAnsi="Times New Roman" w:eastAsia="Times New Roman"/>
          <w:sz w:val="22"/>
          <w:lang w:val="fr-FR" w:eastAsia="fr-FR"/>
        </w:rPr>
        <w:t xml:space="preserve"> ; l'absence historique du marché n'est pas vérifiée.</w:t>
      </w:r>
    </w:p>
    <w:p>
      <w:pPr>
        <w:widowControl/>
      </w:pPr>
      <w:r>
        <w:rPr>
          <w:rFonts w:ascii="Times New Roman" w:hAnsi="Times New Roman" w:eastAsia="Times New Roman"/>
          <w:b/>
          <w:sz w:val="22"/>
          <w:lang w:val="fr-FR" w:eastAsia="fr-FR"/>
        </w:rPr>
        <w:t>Conclusion autorisée.</w:t>
      </w:r>
      <w:r>
        <w:rPr>
          <w:rFonts w:ascii="Times New Roman" w:hAnsi="Times New Roman" w:eastAsia="Times New Roman"/>
          <w:sz w:val="22"/>
          <w:lang w:val="fr-FR" w:eastAsia="fr-FR"/>
        </w:rPr>
        <w:t xml:space="preserve"> Cette ligne illustre la manière de présenter la solidité des données et l'incertitude pour un identifiant stable. Elle ne constitue ni une recommandation d'admission, ni une estimation causale, ni une valeur d'effet incrémental attendu, ni un jugement de mérite relatif.</w:t>
      </w:r>
    </w:p>
    <w:p>
      <w:pPr>
        <w:pStyle w:val="Heading2"/>
      </w:pPr>
      <w:r>
        <w:rPr>
          <w:rFonts w:ascii="Times New Roman" w:hAnsi="Times New Roman" w:eastAsia="Times New Roman"/>
          <w:sz w:val="22"/>
          <w:lang w:val="fr-FR" w:eastAsia="fr-FR"/>
        </w:rPr>
        <w:t xml:space="preserve">4 Forte extrapolation par rapport aux références traitées </w:t>
      </w:r>
      <w:r>
        <w:rPr>
          <w:rFonts w:ascii="Courier New" w:hAnsi="Courier New" w:eastAsia="Courier New"/>
          <w:sz w:val="19"/>
          <w:lang w:val="fr-FR" w:eastAsia="fr-FR"/>
        </w:rPr>
        <w:t>SKI_CLUSTER_001</w:t>
      </w:r>
    </w:p>
    <w:p>
      <w:pPr>
        <w:widowControl/>
      </w:pPr>
      <w:r>
        <w:rPr>
          <w:rFonts w:ascii="Times New Roman" w:hAnsi="Times New Roman" w:eastAsia="Times New Roman"/>
          <w:b/>
          <w:sz w:val="22"/>
          <w:lang w:val="fr-FR" w:eastAsia="fr-FR"/>
        </w:rPr>
        <w:t>Libellé du répertoire :</w:t>
      </w:r>
      <w:r>
        <w:rPr>
          <w:rFonts w:ascii="Times New Roman" w:hAnsi="Times New Roman" w:eastAsia="Times New Roman"/>
          <w:sz w:val="22"/>
          <w:lang w:val="fr-FR" w:eastAsia="fr-FR"/>
        </w:rPr>
        <w:t xml:space="preserve"> Châtel Portes du Soleil / Torgon Portes du Soleil / Avoriaz 1800 Portes du Soleil / +2 fiches</w:t>
      </w:r>
    </w:p>
    <w:p>
      <w:pPr>
        <w:widowControl/>
      </w:pPr>
      <w:r>
        <w:rPr>
          <w:rFonts w:ascii="Times New Roman" w:hAnsi="Times New Roman" w:eastAsia="Times New Roman"/>
          <w:b/>
          <w:sz w:val="22"/>
          <w:lang w:val="fr-FR" w:eastAsia="fr-FR"/>
        </w:rPr>
        <w:t>Règle de sélection :</w:t>
      </w:r>
      <w:r>
        <w:rPr>
          <w:rFonts w:ascii="Times New Roman" w:hAnsi="Times New Roman" w:eastAsia="Times New Roman"/>
          <w:sz w:val="22"/>
          <w:lang w:val="fr-FR" w:eastAsia="fr-FR"/>
        </w:rPr>
        <w:t xml:space="preserve"> premier </w:t>
      </w:r>
      <w:r>
        <w:rPr>
          <w:rFonts w:ascii="Courier New" w:hAnsi="Courier New" w:eastAsia="Courier New"/>
          <w:sz w:val="19"/>
          <w:lang w:val="fr-FR" w:eastAsia="fr-FR"/>
        </w:rPr>
        <w:t>cluster_id</w:t>
      </w:r>
      <w:r>
        <w:rPr>
          <w:rFonts w:ascii="Times New Roman" w:hAnsi="Times New Roman" w:eastAsia="Times New Roman"/>
          <w:sz w:val="22"/>
          <w:lang w:val="fr-FR" w:eastAsia="fr-FR"/>
        </w:rPr>
        <w:t xml:space="preserve"> classé comme forte extrapolation par rapport aux huit unités de référence traitées examinées selon la règle médiane.</w:t>
      </w:r>
    </w:p>
    <w:p>
      <w:pPr>
        <w:widowControl/>
      </w:pPr>
      <w:r>
        <w:rPr>
          <w:rFonts w:ascii="Times New Roman" w:hAnsi="Times New Roman" w:eastAsia="Times New Roman"/>
          <w:b/>
          <w:sz w:val="22"/>
          <w:lang w:val="fr-FR" w:eastAsia="fr-FR"/>
        </w:rPr>
        <w:t>Lecture structurelle.</w:t>
      </w:r>
      <w:r>
        <w:rPr>
          <w:rFonts w:ascii="Times New Roman" w:hAnsi="Times New Roman" w:eastAsia="Times New Roman"/>
          <w:sz w:val="22"/>
          <w:lang w:val="fr-FR" w:eastAsia="fr-FR"/>
        </w:rPr>
        <w:t xml:space="preserve"> Le profil médian du répertoire indique une altitude supérieure de 2 276 m, un domaine skiable publié de 79,0 km et 34,0 remontées. Le segment selon la règle médiane est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l'indicateur de support par rapport aux références traitées est </w:t>
      </w:r>
      <w:r>
        <w:rPr>
          <w:rFonts w:ascii="Courier New" w:hAnsi="Courier New" w:eastAsia="Courier New"/>
          <w:sz w:val="19"/>
          <w:lang w:val="fr-FR" w:eastAsia="fr-FR"/>
        </w:rPr>
        <w:t>strong_extrapolation</w:t>
      </w:r>
      <w:r>
        <w:rPr>
          <w:rFonts w:ascii="Times New Roman" w:hAnsi="Times New Roman" w:eastAsia="Times New Roman"/>
          <w:sz w:val="22"/>
          <w:lang w:val="fr-FR" w:eastAsia="fr-FR"/>
        </w:rPr>
        <w:t xml:space="preserve">. Les règles d'agrégation enregistrent l'ensemble de segments </w:t>
      </w:r>
      <w:r>
        <w:rPr>
          <w:rFonts w:ascii="Courier New" w:hAnsi="Courier New" w:eastAsia="Courier New"/>
          <w:sz w:val="19"/>
          <w:lang w:val="fr-FR" w:eastAsia="fr-FR"/>
        </w:rPr>
        <w:t>SEGMENT_02</w:t>
      </w:r>
      <w:r>
        <w:rPr>
          <w:rFonts w:ascii="Times New Roman" w:hAnsi="Times New Roman" w:eastAsia="Times New Roman"/>
          <w:sz w:val="22"/>
          <w:lang w:val="fr-FR" w:eastAsia="fr-FR"/>
        </w:rPr>
        <w:t xml:space="preserve"> et une amplitude du signal des analogues de 9,4 points de pourcentage.</w:t>
      </w:r>
    </w:p>
    <w:p>
      <w:pPr>
        <w:widowControl/>
      </w:pPr>
      <w:r>
        <w:rPr>
          <w:rFonts w:ascii="Times New Roman" w:hAnsi="Times New Roman" w:eastAsia="Times New Roman"/>
          <w:b/>
          <w:sz w:val="22"/>
          <w:lang w:val="fr-FR" w:eastAsia="fr-FR"/>
        </w:rPr>
        <w:t>Lecture des analogues.</w:t>
      </w:r>
      <w:r>
        <w:rPr>
          <w:rFonts w:ascii="Times New Roman" w:hAnsi="Times New Roman" w:eastAsia="Times New Roman"/>
          <w:sz w:val="22"/>
          <w:lang w:val="fr-FR" w:eastAsia="fr-FR"/>
        </w:rPr>
        <w:t xml:space="preserve"> Le cluster Magic Pass actuel le plus proche est </w:t>
      </w:r>
      <w:r>
        <w:rPr>
          <w:rFonts w:ascii="Courier New" w:hAnsi="Courier New" w:eastAsia="Courier New"/>
          <w:sz w:val="19"/>
          <w:lang w:val="fr-FR" w:eastAsia="fr-FR"/>
        </w:rPr>
        <w:t>SKI_CLUSTER_016</w:t>
      </w:r>
      <w:r>
        <w:rPr>
          <w:rFonts w:ascii="Times New Roman" w:hAnsi="Times New Roman" w:eastAsia="Times New Roman"/>
          <w:sz w:val="22"/>
          <w:lang w:val="fr-FR" w:eastAsia="fr-FR"/>
        </w:rPr>
        <w:t xml:space="preserve"> (Gstaad / Rougemont Rougemont - La Videmanette), tandis que la référence traitée examinée la plus proche est </w:t>
      </w:r>
      <w:r>
        <w:rPr>
          <w:rFonts w:ascii="Courier New" w:hAnsi="Courier New" w:eastAsia="Courier New"/>
          <w:sz w:val="19"/>
          <w:lang w:val="fr-FR" w:eastAsia="fr-FR"/>
        </w:rPr>
        <w:t>anniviers_magic_portfolio</w:t>
      </w:r>
      <w:r>
        <w:rPr>
          <w:rFonts w:ascii="Times New Roman" w:hAnsi="Times New Roman" w:eastAsia="Times New Roman"/>
          <w:sz w:val="22"/>
          <w:lang w:val="fr-FR" w:eastAsia="fr-FR"/>
        </w:rPr>
        <w:t xml:space="preserve"> (portefeuille Magic Pass d'Anniviers). Il s'agit de voisins géométriques dans l'espace des trois variables structurelles, et non de témoins contrefactuels.</w:t>
      </w:r>
    </w:p>
    <w:p>
      <w:pPr>
        <w:widowControl/>
      </w:pPr>
      <w:r>
        <w:rPr>
          <w:rFonts w:ascii="Times New Roman" w:hAnsi="Times New Roman" w:eastAsia="Times New Roman"/>
          <w:b/>
          <w:sz w:val="22"/>
          <w:lang w:val="fr-FR" w:eastAsia="fr-FR"/>
        </w:rPr>
        <w:t>Limites des données.</w:t>
      </w:r>
      <w:r>
        <w:rPr>
          <w:rFonts w:ascii="Times New Roman" w:hAnsi="Times New Roman" w:eastAsia="Times New Roman"/>
          <w:sz w:val="22"/>
          <w:lang w:val="fr-FR" w:eastAsia="fr-FR"/>
        </w:rPr>
        <w:t xml:space="preserve"> Le contexte touristique est </w:t>
      </w:r>
      <w:r>
        <w:rPr>
          <w:rFonts w:ascii="Courier New" w:hAnsi="Courier New" w:eastAsia="Courier New"/>
          <w:sz w:val="19"/>
          <w:lang w:val="fr-FR" w:eastAsia="fr-FR"/>
        </w:rPr>
        <w:t>population_only_no_complete_hotel_context</w:t>
      </w:r>
      <w:r>
        <w:rPr>
          <w:rFonts w:ascii="Times New Roman" w:hAnsi="Times New Roman" w:eastAsia="Times New Roman"/>
          <w:sz w:val="22"/>
          <w:lang w:val="fr-FR" w:eastAsia="fr-FR"/>
        </w:rPr>
        <w:t xml:space="preserve"> et aucun bassin touristique n'est validé. L'affectation NPVM est </w:t>
      </w:r>
      <w:r>
        <w:rPr>
          <w:rFonts w:ascii="Courier New" w:hAnsi="Courier New" w:eastAsia="Courier New"/>
          <w:sz w:val="19"/>
          <w:lang w:val="fr-FR" w:eastAsia="fr-FR"/>
        </w:rPr>
        <w:t>partial_foreign_or_unresolved_listing_points</w:t>
      </w:r>
      <w:r>
        <w:rPr>
          <w:rFonts w:ascii="Times New Roman" w:hAnsi="Times New Roman" w:eastAsia="Times New Roman"/>
          <w:sz w:val="22"/>
          <w:lang w:val="fr-FR" w:eastAsia="fr-FR"/>
        </w:rPr>
        <w:t xml:space="preserve"> ; le contexte actuel des arrêts est </w:t>
      </w:r>
      <w:r>
        <w:rPr>
          <w:rFonts w:ascii="Courier New" w:hAnsi="Courier New" w:eastAsia="Courier New"/>
          <w:sz w:val="19"/>
          <w:lang w:val="fr-FR" w:eastAsia="fr-FR"/>
        </w:rPr>
        <w:t>partial_listing_points_outside_swiss_scope</w:t>
      </w:r>
      <w:r>
        <w:rPr>
          <w:rFonts w:ascii="Times New Roman" w:hAnsi="Times New Roman" w:eastAsia="Times New Roman"/>
          <w:sz w:val="22"/>
          <w:lang w:val="fr-FR" w:eastAsia="fr-FR"/>
        </w:rPr>
        <w:t xml:space="preserve"> et celui des axes routiers est </w:t>
      </w:r>
      <w:r>
        <w:rPr>
          <w:rFonts w:ascii="Courier New" w:hAnsi="Courier New" w:eastAsia="Courier New"/>
          <w:sz w:val="19"/>
          <w:lang w:val="fr-FR" w:eastAsia="fr-FR"/>
        </w:rPr>
        <w:t>partial_listing_points_outside_swiss_scope</w:t>
      </w:r>
      <w:r>
        <w:rPr>
          <w:rFonts w:ascii="Times New Roman" w:hAnsi="Times New Roman" w:eastAsia="Times New Roman"/>
          <w:sz w:val="22"/>
          <w:lang w:val="fr-FR" w:eastAsia="fr-FR"/>
        </w:rPr>
        <w:t xml:space="preserve">. Le périmètre des pass actuels est </w:t>
      </w:r>
      <w:r>
        <w:rPr>
          <w:rFonts w:ascii="Courier New" w:hAnsi="Courier New" w:eastAsia="Courier New"/>
          <w:sz w:val="19"/>
          <w:lang w:val="fr-FR" w:eastAsia="fr-FR"/>
        </w:rPr>
        <w:t>all_listing_points_linked_to_one_or_more_reviewed_rosters</w:t>
      </w:r>
      <w:r>
        <w:rPr>
          <w:rFonts w:ascii="Times New Roman" w:hAnsi="Times New Roman" w:eastAsia="Times New Roman"/>
          <w:sz w:val="22"/>
          <w:lang w:val="fr-FR" w:eastAsia="fr-FR"/>
        </w:rPr>
        <w:t xml:space="preserve"> et celui de la présence positive historique est </w:t>
      </w:r>
      <w:r>
        <w:rPr>
          <w:rFonts w:ascii="Courier New" w:hAnsi="Courier New" w:eastAsia="Courier New"/>
          <w:sz w:val="19"/>
          <w:lang w:val="fr-FR" w:eastAsia="fr-FR"/>
        </w:rPr>
        <w:t>no_documented_link_in_reviewed_products</w:t>
      </w:r>
      <w:r>
        <w:rPr>
          <w:rFonts w:ascii="Times New Roman" w:hAnsi="Times New Roman" w:eastAsia="Times New Roman"/>
          <w:sz w:val="22"/>
          <w:lang w:val="fr-FR" w:eastAsia="fr-FR"/>
        </w:rPr>
        <w:t xml:space="preserve"> ; l'absence historique du marché n'est pas vérifiée.</w:t>
      </w:r>
    </w:p>
    <w:p>
      <w:pPr>
        <w:widowControl/>
      </w:pPr>
      <w:r>
        <w:rPr>
          <w:rFonts w:ascii="Times New Roman" w:hAnsi="Times New Roman" w:eastAsia="Times New Roman"/>
          <w:b/>
          <w:sz w:val="22"/>
          <w:lang w:val="fr-FR" w:eastAsia="fr-FR"/>
        </w:rPr>
        <w:t>Conclusion autorisée.</w:t>
      </w:r>
      <w:r>
        <w:rPr>
          <w:rFonts w:ascii="Times New Roman" w:hAnsi="Times New Roman" w:eastAsia="Times New Roman"/>
          <w:sz w:val="22"/>
          <w:lang w:val="fr-FR" w:eastAsia="fr-FR"/>
        </w:rPr>
        <w:t xml:space="preserve"> Cette ligne illustre la manière de présenter la solidité des données et l'incertitude pour un identifiant stable. Elle ne constitue ni une recommandation d'admission, ni une estimation causale, ni une valeur d'effet incrémental attendu, ni un jugement de mérite relatif.</w:t>
      </w:r>
    </w:p>
    <w:p>
      <w:pPr>
        <w:pStyle w:val="Heading2"/>
      </w:pPr>
      <w:r>
        <w:rPr>
          <w:rFonts w:ascii="Times New Roman" w:hAnsi="Times New Roman" w:eastAsia="Times New Roman"/>
          <w:sz w:val="22"/>
          <w:lang w:val="fr-FR" w:eastAsia="fr-FR"/>
        </w:rPr>
        <w:t>Utilisation dans le mémoire</w:t>
      </w:r>
    </w:p>
    <w:p>
      <w:pPr>
        <w:widowControl/>
      </w:pPr>
      <w:r>
        <w:rPr>
          <w:rFonts w:ascii="Times New Roman" w:hAnsi="Times New Roman" w:eastAsia="Times New Roman"/>
          <w:sz w:val="22"/>
          <w:lang w:val="fr-FR" w:eastAsia="fr-FR"/>
        </w:rPr>
        <w:t>Utiliser au maximum ces exemples sous la forme d'un bref encadré illustratif ou d'une annexe. Conserver ensemble les identifiants stables, les règles de sélection et les paragraphes sur les limites. Ne pas les réordonner selon un signal d'opportunité, ne pas ajouter d'étiquette de recommandation et ne pas interpréter l'analogue le plus proche comme un témoin causal. Toute évaluation managériale nécessiterait encore un périmètre de destination validé, des pondérations de décision définies par les parties prenantes et des données propres à la décision que le projet actuel ne contient pas.</w:t>
      </w:r>
    </w:p>
    <w:p>
      <w:pPr>
        <w:pStyle w:val="Heading1"/>
      </w:pPr>
      <w:r>
        <w:rPr>
          <w:rFonts w:ascii="Times New Roman" w:hAnsi="Times New Roman" w:eastAsia="Times New Roman"/>
          <w:sz w:val="22"/>
          <w:lang w:val="fr-FR" w:eastAsia="fr-FR"/>
        </w:rPr>
        <w:t>7 Guide des sources et des citations</w:t>
      </w:r>
    </w:p>
    <w:p>
      <w:pPr>
        <w:pStyle w:val="ListBullet"/>
      </w:pPr>
      <w:r>
        <w:rPr>
          <w:rFonts w:ascii="Courier New" w:hAnsi="Courier New" w:eastAsia="Courier New"/>
          <w:sz w:val="19"/>
          <w:lang w:val="fr-FR" w:eastAsia="fr-FR"/>
        </w:rPr>
        <w:t>reports/46_THESIS_CITATION_MAP.md</w:t>
      </w:r>
      <w:r>
        <w:rPr>
          <w:rFonts w:ascii="Times New Roman" w:hAnsi="Times New Roman" w:eastAsia="Times New Roman"/>
          <w:sz w:val="22"/>
          <w:lang w:val="fr-FR" w:eastAsia="fr-FR"/>
        </w:rPr>
        <w:t xml:space="preserve"> relie 21 affirmations centrales à 62 sources enregistrées.</w:t>
      </w:r>
    </w:p>
    <w:p>
      <w:pPr>
        <w:pStyle w:val="ListBullet"/>
      </w:pPr>
      <w:r>
        <w:rPr>
          <w:rFonts w:ascii="Courier New" w:hAnsi="Courier New" w:eastAsia="Courier New"/>
          <w:sz w:val="19"/>
          <w:lang w:val="fr-FR" w:eastAsia="fr-FR"/>
        </w:rPr>
        <w:t>reports/thesis_source_bibliography_worklist.csv</w:t>
      </w:r>
      <w:r>
        <w:rPr>
          <w:rFonts w:ascii="Times New Roman" w:hAnsi="Times New Roman" w:eastAsia="Times New Roman"/>
          <w:sz w:val="22"/>
          <w:lang w:val="fr-FR" w:eastAsia="fr-FR"/>
        </w:rPr>
        <w:t xml:space="preserve"> contient 59 références officielles ou scientifiques externes et 3 références internes de filiation.</w:t>
      </w:r>
    </w:p>
    <w:p>
      <w:pPr>
        <w:pStyle w:val="ListBullet"/>
      </w:pPr>
      <w:r>
        <w:rPr>
          <w:rFonts w:ascii="Courier New" w:hAnsi="Courier New" w:eastAsia="Courier New"/>
          <w:sz w:val="19"/>
          <w:lang w:val="fr-FR" w:eastAsia="fr-FR"/>
        </w:rPr>
        <w:t>reports/47_METHODOLOGICAL_LITERATURE.md</w:t>
      </w:r>
      <w:r>
        <w:rPr>
          <w:rFonts w:ascii="Times New Roman" w:hAnsi="Times New Roman" w:eastAsia="Times New Roman"/>
          <w:sz w:val="22"/>
          <w:lang w:val="fr-FR" w:eastAsia="fr-FR"/>
        </w:rPr>
        <w:t xml:space="preserve"> contient les sept références méthodologiques évaluées par les pairs et vérifiées.</w:t>
      </w:r>
    </w:p>
    <w:p>
      <w:pPr>
        <w:pStyle w:val="ListBullet"/>
      </w:pPr>
      <w:r>
        <w:rPr>
          <w:rFonts w:ascii="Courier New" w:hAnsi="Courier New" w:eastAsia="Courier New"/>
          <w:sz w:val="19"/>
          <w:lang w:val="fr-FR" w:eastAsia="fr-FR"/>
        </w:rPr>
        <w:t>metadata/data_sources_master.csv</w:t>
      </w:r>
      <w:r>
        <w:rPr>
          <w:rFonts w:ascii="Times New Roman" w:hAnsi="Times New Roman" w:eastAsia="Times New Roman"/>
          <w:sz w:val="22"/>
          <w:lang w:val="fr-FR" w:eastAsia="fr-FR"/>
        </w:rPr>
        <w:t xml:space="preserve"> est le registre de provenance faisant autorité ; </w:t>
      </w:r>
      <w:r>
        <w:rPr>
          <w:rFonts w:ascii="Courier New" w:hAnsi="Courier New" w:eastAsia="Courier New"/>
          <w:sz w:val="19"/>
          <w:lang w:val="fr-FR" w:eastAsia="fr-FR"/>
        </w:rPr>
        <w:t>reports/DATA_SOURCES.md</w:t>
      </w:r>
      <w:r>
        <w:rPr>
          <w:rFonts w:ascii="Times New Roman" w:hAnsi="Times New Roman" w:eastAsia="Times New Roman"/>
          <w:sz w:val="22"/>
          <w:lang w:val="fr-FR" w:eastAsia="fr-FR"/>
        </w:rPr>
        <w:t xml:space="preserve"> en constitue la version lisible.</w:t>
      </w:r>
    </w:p>
    <w:p>
      <w:pPr>
        <w:pStyle w:val="ListBullet"/>
      </w:pPr>
      <w:r>
        <w:rPr>
          <w:rFonts w:ascii="Times New Roman" w:hAnsi="Times New Roman" w:eastAsia="Times New Roman"/>
          <w:sz w:val="22"/>
          <w:lang w:val="fr-FR" w:eastAsia="fr-FR"/>
        </w:rPr>
        <w:t>La mise en forme finale auteur-date doit attendre que le style universitaire soit connu. Les métadonnées d'auteur ou d'année manquantes doivent rester manquantes plutôt que d'être supposées.</w:t>
      </w:r>
    </w:p>
    <w:p>
      <w:pPr>
        <w:pStyle w:val="Heading1"/>
      </w:pPr>
      <w:r>
        <w:rPr>
          <w:rFonts w:ascii="Times New Roman" w:hAnsi="Times New Roman" w:eastAsia="Times New Roman"/>
          <w:sz w:val="22"/>
          <w:lang w:val="fr-FR" w:eastAsia="fr-FR"/>
        </w:rPr>
        <w:t>8 Interprétation actuelle et prochaines révisions</w:t>
      </w:r>
    </w:p>
    <w:p>
      <w:pPr>
        <w:widowControl/>
      </w:pPr>
      <w:r>
        <w:rPr>
          <w:rFonts w:ascii="Times New Roman" w:hAnsi="Times New Roman" w:eastAsia="Times New Roman"/>
          <w:sz w:val="22"/>
          <w:lang w:val="fr-FR" w:eastAsia="fr-FR"/>
        </w:rPr>
        <w:t>Le manuscrit est suffisamment complet pour examiner la logique de recherche, les principaux effectifs empiriques, le rejet méthodologique et la contribution défendable de la voie C. Les prochaines révisions devraient porter sur la formulation, le positionnement dans la littérature et le récit du mémoire, plutôt que sur la collecte de données marginales supplémentaires. La mise en page finale nécessitera ensuite le modèle et le style de citation de l'université. Toute extension empirique future ne devrait être ajoutée que si elle est nécessaire à une affirmation précise et devrait préserver les distinctions actuelles entre fiches, clusters, unités de destination, communes et périmètres d'exposition.</w:t>
      </w:r>
    </w:p>
    <w:p>
      <w:pPr>
        <w:pStyle w:val="Heading2"/>
      </w:pPr>
      <w:r>
        <w:rPr>
          <w:rFonts w:ascii="Times New Roman" w:hAnsi="Times New Roman" w:eastAsia="Times New Roman"/>
          <w:sz w:val="22"/>
          <w:lang w:val="fr-FR" w:eastAsia="fr-FR"/>
        </w:rPr>
        <w:t>Affirmations qui doivent rester interdites</w:t>
      </w:r>
    </w:p>
    <w:p>
      <w:pPr>
        <w:pStyle w:val="ListBullet"/>
      </w:pPr>
      <w:r>
        <w:rPr>
          <w:rFonts w:ascii="Times New Roman" w:hAnsi="Times New Roman" w:eastAsia="Times New Roman"/>
          <w:sz w:val="22"/>
          <w:lang w:val="fr-FR" w:eastAsia="fr-FR"/>
        </w:rPr>
        <w:t>Aucun effet causal de l'adhésion au Magic Pass n'est estimé.</w:t>
      </w:r>
    </w:p>
    <w:p>
      <w:pPr>
        <w:pStyle w:val="ListBullet"/>
      </w:pPr>
      <w:r>
        <w:rPr>
          <w:rFonts w:ascii="Times New Roman" w:hAnsi="Times New Roman" w:eastAsia="Times New Roman"/>
          <w:sz w:val="22"/>
          <w:lang w:val="fr-FR" w:eastAsia="fr-FR"/>
        </w:rPr>
        <w:t>Aucun candidat ne reçoit d'effet incrémental prédit, de niveau de confiance d'une recommandation ou de score composite d'opportunité.</w:t>
      </w:r>
    </w:p>
    <w:p>
      <w:pPr>
        <w:pStyle w:val="ListBullet"/>
      </w:pPr>
      <w:r>
        <w:rPr>
          <w:rFonts w:ascii="Times New Roman" w:hAnsi="Times New Roman" w:eastAsia="Times New Roman"/>
          <w:sz w:val="22"/>
          <w:lang w:val="fr-FR" w:eastAsia="fr-FR"/>
        </w:rPr>
        <w:t>L'absence d'un lien historique avec un pass ne prouve pas l'absence du marché.</w:t>
      </w:r>
    </w:p>
    <w:p>
      <w:pPr>
        <w:pStyle w:val="ListBullet"/>
      </w:pPr>
      <w:r>
        <w:rPr>
          <w:rFonts w:ascii="Times New Roman" w:hAnsi="Times New Roman" w:eastAsia="Times New Roman"/>
          <w:sz w:val="22"/>
          <w:lang w:val="fr-FR" w:eastAsia="fr-FR"/>
        </w:rPr>
        <w:t>Les communes contenant un point ou sélectionnées par un rayon ne sont pas des bassins touristiques validés.</w:t>
      </w:r>
    </w:p>
    <w:p>
      <w:pPr>
        <w:pStyle w:val="ListBullet"/>
      </w:pPr>
      <w:r>
        <w:rPr>
          <w:rFonts w:ascii="Times New Roman" w:hAnsi="Times New Roman" w:eastAsia="Times New Roman"/>
          <w:sz w:val="22"/>
          <w:lang w:val="fr-FR" w:eastAsia="fr-FR"/>
        </w:rPr>
        <w:t>Les variables structurelles ou d'accessibilité actuelles ne sont pas silencieusement renommées comme prédicteurs antérieurs au traitement.</w:t>
      </w:r>
    </w:p>
    <w:p>
      <w:pPr>
        <w:pStyle w:val="ListBullet"/>
      </w:pPr>
      <w:r>
        <w:rPr>
          <w:rFonts w:ascii="Times New Roman" w:hAnsi="Times New Roman" w:eastAsia="Times New Roman"/>
          <w:sz w:val="22"/>
          <w:lang w:val="fr-FR" w:eastAsia="fr-FR"/>
        </w:rPr>
        <w:t>Les quatre candidats illustratifs ne constituent ni une liste restreinte, ni un classement, ni une recommandation.</w:t>
      </w:r>
    </w:p>
    <w:p>
      <w:pPr>
        <w:pStyle w:val="Heading1"/>
      </w:pPr>
      <w:r>
        <w:rPr>
          <w:rFonts w:ascii="Times New Roman" w:hAnsi="Times New Roman" w:eastAsia="Times New Roman"/>
          <w:sz w:val="22"/>
          <w:lang w:val="fr-FR" w:eastAsia="fr-FR"/>
        </w:rPr>
        <w:t>9 Figure d'audit complémentaire</w:t>
      </w:r>
    </w:p>
    <w:p>
      <w:pPr>
        <w:pStyle w:val="Heading2"/>
      </w:pPr>
      <w:r>
        <w:rPr>
          <w:rFonts w:ascii="Times New Roman" w:hAnsi="Times New Roman" w:eastAsia="Times New Roman"/>
          <w:sz w:val="22"/>
          <w:lang w:val="fr-FR" w:eastAsia="fr-FR"/>
        </w:rPr>
        <w:t>Indicateurs existants d'affectation aux clusters</w:t>
      </w:r>
    </w:p>
    <w:p>
      <w:pPr>
        <w:widowControl/>
      </w:pPr>
      <w:r>
        <w:rPr>
          <w:rFonts w:ascii="Times New Roman" w:hAnsi="Times New Roman" w:eastAsia="Times New Roman"/>
          <w:sz w:val="22"/>
          <w:lang w:val="fr-FR" w:eastAsia="fr-FR"/>
        </w:rPr>
        <w:t>Cette première figure d'audit appartient à l'étape de validation des données plutôt qu'aux résultats finaux de la voie C. Elle est incluse ici afin que les quatre figures existantes du projet puissent être examinées dans un seul document. Elle ne certifie pas que les clusters de remontées préservés correspondent à des destinations commerciales indépendantes.</w:t>
      </w:r>
    </w:p>
    <w:p>
      <w:pPr>
        <w:keepNext/>
        <w:jc w:val="center"/>
      </w:pPr>
      <w:r>
        <w:rPr>
          <w:lang w:val="fr-FR" w:eastAsia="fr-FR"/>
        </w:rPr>
        <w:drawing>
          <wp:inline xmlns:a="http://schemas.openxmlformats.org/drawingml/2006/main" xmlns:pic="http://schemas.openxmlformats.org/drawingml/2006/picture">
            <wp:extent cx="5623560" cy="3374136"/>
            <wp:docPr id="4" name="Picture 4"/>
            <wp:cNvGraphicFramePr>
              <a:graphicFrameLocks noChangeAspect="1"/>
            </wp:cNvGraphicFramePr>
            <a:graphic>
              <a:graphicData uri="http://schemas.openxmlformats.org/drawingml/2006/picture">
                <pic:pic>
                  <pic:nvPicPr>
                    <pic:cNvPr id="0" name="existing_assignment_flags_fr.png"/>
                    <pic:cNvPicPr/>
                  </pic:nvPicPr>
                  <pic:blipFill>
                    <a:blip r:embed="rId13"/>
                    <a:stretch>
                      <a:fillRect/>
                    </a:stretch>
                  </pic:blipFill>
                  <pic:spPr>
                    <a:xfrm>
                      <a:off x="0" y="0"/>
                      <a:ext cx="5623560" cy="3374136"/>
                    </a:xfrm>
                    <a:prstGeom prst="rect"/>
                  </pic:spPr>
                </pic:pic>
              </a:graphicData>
            </a:graphic>
          </wp:inline>
        </w:drawing>
      </w:r>
    </w:p>
    <w:p>
      <w:pPr>
        <w:spacing w:after="180"/>
        <w:jc w:val="center"/>
      </w:pPr>
      <w:r>
        <w:rPr>
          <w:rFonts w:ascii="Times New Roman" w:hAnsi="Times New Roman" w:eastAsia="Times New Roman"/>
          <w:i/>
          <w:sz w:val="19"/>
          <w:lang w:val="fr-FR" w:eastAsia="fr-FR"/>
        </w:rPr>
        <w:t>Indicateurs existants d'affectation</w:t>
      </w:r>
    </w:p>
    <w:p>
      <w:pPr>
        <w:pStyle w:val="Heading1"/>
      </w:pPr>
      <w:r>
        <w:rPr>
          <w:rFonts w:ascii="Times New Roman" w:hAnsi="Times New Roman" w:eastAsia="Times New Roman"/>
          <w:sz w:val="22"/>
          <w:lang w:val="fr-FR" w:eastAsia="fr-FR"/>
        </w:rPr>
        <w:t>10 Fiche de commentaires du lecteur</w:t>
      </w:r>
    </w:p>
    <w:tbl>
      <w:tblPr>
        <w:tblW w:type="auto" w:w="0"/>
        <w:jc w:val="center"/>
        <w:tblLayout w:type="autofit"/>
        <w:tblLook w:firstColumn="1" w:firstRow="1" w:lastColumn="0" w:lastRow="0" w:noHBand="0" w:noVBand="1" w:val="04A0"/>
      </w:tblPr>
      <w:tblGrid>
        <w:gridCol w:w="3135"/>
        <w:gridCol w:w="3135"/>
        <w:gridCol w:w="3135"/>
      </w:tblGrid>
      <w:tr>
        <w:trPr>
          <w:tblHeader w:val="true"/>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lang w:val="fr-FR" w:eastAsia="fr-FR"/>
              </w:rPr>
              <w:t>Thème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lang w:val="fr-FR" w:eastAsia="fr-FR"/>
              </w:rPr>
              <w:t>Question destinée au lecteur</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404040"/>
          </w:tcPr>
          <w:p>
            <w:pPr>
              <w:spacing w:after="0"/>
            </w:pPr>
            <w:r>
              <w:rPr>
                <w:rFonts w:ascii="Times New Roman" w:hAnsi="Times New Roman" w:eastAsia="Times New Roman"/>
                <w:b/>
                <w:color w:val="FFFFFF"/>
                <w:sz w:val="19"/>
                <w:lang w:val="fr-FR" w:eastAsia="fr-FR"/>
              </w:rPr>
              <w:t>Commentaire</w:t>
            </w: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Positionnement de la recherche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Le mémoire apporte-t-il une contribution convaincante malgré l'échec des critères causaux et prédictifs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Définition des entités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Les distinctions entre fiche, cluster, unité de destination et commune restent-elles compréhensibles dans tout le document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Faisabilité causale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La conclusion de zéro traitement et zéro témoin est-elle suffisamment documentée et proportionnée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Contribution de la voie C</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Le tableau de bord à sept dimensions est-il utile et clairement distinct d'un système de classement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Accessibilité</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Le résultat comparant distance et transports publics devrait-il être davantage mis en avant dans le mémoire final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Climat et neige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La limite de représentativité entre station de mesure et station de ski est-elle expliquée avec le bon niveau de détail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Exemples de candidats</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rFonts w:ascii="Times New Roman" w:hAnsi="Times New Roman" w:eastAsia="Times New Roman"/>
                <w:b w:val="0"/>
                <w:sz w:val="19"/>
                <w:lang w:val="fr-FR" w:eastAsia="fr-FR"/>
              </w:rPr>
              <w:t>Les quatre cas illustrent-ils l'incertitude sans donner l'impression de recommander certaines stations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pPr>
          </w:p>
        </w:tc>
      </w:tr>
      <w:tr>
        <w:trPr>
          <w:cantSplit/>
        </w:trPr>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Rédaction finale</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r>
              <w:rPr>
                <w:rFonts w:ascii="Times New Roman" w:hAnsi="Times New Roman" w:eastAsia="Times New Roman"/>
                <w:b w:val="0"/>
                <w:sz w:val="19"/>
                <w:lang w:val="fr-FR" w:eastAsia="fr-FR"/>
              </w:rPr>
              <w:t>Quelles sections sont trop techniques, répétitives ou insuffisamment développées ?</w:t>
            </w:r>
          </w:p>
        </w:tc>
        <w:tc>
          <w:tcPr>
            <w:tcW w:type="dxa" w:w="31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after="0"/>
            </w:pPr>
          </w:p>
        </w:tc>
      </w:tr>
    </w:tbl>
    <w:p>
      <w:pPr>
        <w:spacing w:after="0"/>
      </w:pPr>
    </w:p>
    <w:p>
      <w:pPr>
        <w:pStyle w:val="Heading2"/>
      </w:pPr>
      <w:r>
        <w:rPr>
          <w:rFonts w:ascii="Times New Roman" w:hAnsi="Times New Roman" w:eastAsia="Times New Roman"/>
          <w:sz w:val="22"/>
          <w:lang w:val="fr-FR" w:eastAsia="fr-FR"/>
        </w:rPr>
        <w:t>Décision globale</w:t>
      </w:r>
    </w:p>
    <w:p>
      <w:pPr>
        <w:pStyle w:val="ListBullet"/>
      </w:pPr>
      <w:r>
        <w:rPr>
          <w:rFonts w:ascii="Times New Roman" w:hAnsi="Times New Roman" w:eastAsia="Times New Roman"/>
          <w:b/>
          <w:sz w:val="22"/>
          <w:lang w:val="fr-FR" w:eastAsia="fr-FR"/>
        </w:rPr>
        <w:t>Sections déjà claires :</w:t>
      </w:r>
    </w:p>
    <w:p>
      <w:pPr>
        <w:pStyle w:val="ListBullet"/>
      </w:pPr>
      <w:r>
        <w:rPr>
          <w:rFonts w:ascii="Times New Roman" w:hAnsi="Times New Roman" w:eastAsia="Times New Roman"/>
          <w:b/>
          <w:sz w:val="22"/>
          <w:lang w:val="fr-FR" w:eastAsia="fr-FR"/>
        </w:rPr>
        <w:t>Sections à réécrire :</w:t>
      </w:r>
    </w:p>
    <w:p>
      <w:pPr>
        <w:pStyle w:val="ListBullet"/>
      </w:pPr>
      <w:r>
        <w:rPr>
          <w:rFonts w:ascii="Times New Roman" w:hAnsi="Times New Roman" w:eastAsia="Times New Roman"/>
          <w:b/>
          <w:sz w:val="22"/>
          <w:lang w:val="fr-FR" w:eastAsia="fr-FR"/>
        </w:rPr>
        <w:t>Résultats ou figures à ajouter :</w:t>
      </w:r>
    </w:p>
    <w:p>
      <w:pPr>
        <w:pStyle w:val="ListBullet"/>
      </w:pPr>
      <w:r>
        <w:rPr>
          <w:rFonts w:ascii="Times New Roman" w:hAnsi="Times New Roman" w:eastAsia="Times New Roman"/>
          <w:b/>
          <w:sz w:val="22"/>
          <w:lang w:val="fr-FR" w:eastAsia="fr-FR"/>
        </w:rPr>
        <w:t>Affirmations qui paraissent trop fortes :</w:t>
      </w:r>
    </w:p>
    <w:p>
      <w:pPr>
        <w:pStyle w:val="ListBullet"/>
      </w:pPr>
      <w:r>
        <w:rPr>
          <w:rFonts w:ascii="Times New Roman" w:hAnsi="Times New Roman" w:eastAsia="Times New Roman"/>
          <w:b/>
          <w:sz w:val="22"/>
          <w:lang w:val="fr-FR" w:eastAsia="fr-FR"/>
        </w:rPr>
        <w:t>Éléments qui pourraient être déplacés en annexe :</w:t>
      </w:r>
    </w:p>
    <w:p>
      <w:pPr>
        <w:pStyle w:val="ListBullet"/>
      </w:pPr>
      <w:r>
        <w:rPr>
          <w:rFonts w:ascii="Times New Roman" w:hAnsi="Times New Roman" w:eastAsia="Times New Roman"/>
          <w:b/>
          <w:sz w:val="22"/>
          <w:lang w:val="fr-FR" w:eastAsia="fr-FR"/>
        </w:rPr>
        <w:t>Autres commentaires :</w:t>
      </w:r>
    </w:p>
    <w:sectPr w:rsidR="00FC693F" w:rsidRPr="0006063C" w:rsidSect="00034616">
      <w:footerReference w:type="default" r:id="rId9"/>
      <w:headerReference w:type="default" r:id="rId14"/>
      <w:pgSz w:w="12240" w:h="15840"/>
      <w:pgMar w:top="1304"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lang w:val="fr-FR" w:eastAsia="fr-FR"/>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détaillée du mémoire pour relecture</dc:title>
  <dc:subject>Mémoire de master sur le Magic Pass</dc:subject>
  <dc:creator>Thibaud</dc:creator>
  <cp:keywords/>
  <dc:description>generated by python-docx</dc:description>
  <cp:lastModifiedBy/>
  <cp:revision>1</cp:revision>
  <dcterms:created xsi:type="dcterms:W3CDTF">2013-12-23T23:15:00Z</dcterms:created>
  <dcterms:modified xsi:type="dcterms:W3CDTF">2013-12-23T23:15:00Z</dcterms:modified>
  <cp:category/>
</cp:coreProperties>
</file>