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40"/>
        </w:rPr>
        <w:t>Detailed thesis review draft</w:t>
      </w:r>
    </w:p>
    <w:p>
      <w:pPr>
        <w:ind w:left="397" w:right="397"/>
      </w:pPr>
      <w:r>
        <w:rPr>
          <w:rFonts w:ascii="Times New Roman" w:hAnsi="Times New Roman" w:eastAsia="Times New Roman"/>
          <w:b/>
          <w:i/>
          <w:sz w:val="22"/>
        </w:rPr>
        <w:t>Status:</w:t>
      </w:r>
      <w:r>
        <w:rPr>
          <w:rFonts w:ascii="Times New Roman" w:hAnsi="Times New Roman" w:eastAsia="Times New Roman"/>
          <w:i/>
          <w:sz w:val="22"/>
        </w:rPr>
        <w:t xml:space="preserve"> Path C v0.31 detailed content-review document. It assembles validated results and full methodological answers for substantive feedback. It is not final UNIL typesetting and it does not authorise causal, predictive-uplift, profitability or ranking claims.</w:t>
      </w:r>
    </w:p>
    <w:p>
      <w:pPr>
        <w:pStyle w:val="Heading1"/>
      </w:pPr>
      <w:r>
        <w:rPr>
          <w:rFonts w:ascii="Times New Roman" w:hAnsi="Times New Roman" w:eastAsia="Times New Roman"/>
          <w:sz w:val="22"/>
        </w:rPr>
        <w:t>Review guide</w:t>
      </w:r>
    </w:p>
    <w:p>
      <w:pPr>
        <w:widowControl/>
      </w:pPr>
      <w:r>
        <w:rPr>
          <w:rFonts w:ascii="Times New Roman" w:hAnsi="Times New Roman" w:eastAsia="Times New Roman"/>
          <w:sz w:val="22"/>
        </w:rPr>
        <w:t xml:space="preserve">This document is deliberately more detailed than </w:t>
      </w:r>
      <w:r>
        <w:rPr>
          <w:rFonts w:ascii="Courier New" w:hAnsi="Courier New" w:eastAsia="Courier New"/>
          <w:sz w:val="19"/>
        </w:rPr>
        <w:t>reports/50_THESIS_READING_DRAFT.md</w:t>
      </w:r>
      <w:r>
        <w:rPr>
          <w:rFonts w:ascii="Times New Roman" w:hAnsi="Times New Roman" w:eastAsia="Times New Roman"/>
          <w:sz w:val="22"/>
        </w:rPr>
        <w:t xml:space="preserve">. The shorter manuscript remains the compact reading version; this version expands all 18 mission questions, links each answer to its evidence and provides explicit places for comments. Comments can be typed directly after any </w:t>
      </w:r>
      <w:r>
        <w:rPr>
          <w:rFonts w:ascii="Times New Roman" w:hAnsi="Times New Roman" w:eastAsia="Times New Roman"/>
          <w:b/>
          <w:sz w:val="22"/>
        </w:rPr>
        <w:t>Your comment:</w:t>
      </w:r>
      <w:r>
        <w:rPr>
          <w:rFonts w:ascii="Times New Roman" w:hAnsi="Times New Roman" w:eastAsia="Times New Roman"/>
          <w:sz w:val="22"/>
        </w:rPr>
        <w:t xml:space="preserve"> label or collected in the final review sheet.</w:t>
      </w:r>
    </w:p>
    <w:p>
      <w:pPr>
        <w:widowControl/>
      </w:pPr>
      <w:r>
        <w:rPr>
          <w:rFonts w:ascii="Times New Roman" w:hAnsi="Times New Roman" w:eastAsia="Times New Roman"/>
          <w:sz w:val="22"/>
        </w:rPr>
        <w:t>The most important judgments for the reviewer are:</w:t>
      </w:r>
    </w:p>
    <w:p>
      <w:pPr>
        <w:ind w:left="397" w:hanging="255"/>
      </w:pPr>
      <w:r>
        <w:rPr>
          <w:rFonts w:ascii="Times New Roman" w:hAnsi="Times New Roman" w:eastAsia="Times New Roman"/>
          <w:sz w:val="22"/>
        </w:rPr>
        <w:t xml:space="preserve">1.  </w:t>
      </w:r>
      <w:r>
        <w:rPr>
          <w:rFonts w:ascii="Times New Roman" w:hAnsi="Times New Roman" w:eastAsia="Times New Roman"/>
          <w:sz w:val="22"/>
        </w:rPr>
        <w:t>whether the entity and denominator distinctions are understandable;</w:t>
      </w:r>
    </w:p>
    <w:p>
      <w:pPr>
        <w:ind w:left="397" w:hanging="255"/>
      </w:pPr>
      <w:r>
        <w:rPr>
          <w:rFonts w:ascii="Times New Roman" w:hAnsi="Times New Roman" w:eastAsia="Times New Roman"/>
          <w:sz w:val="22"/>
        </w:rPr>
        <w:t xml:space="preserve">2.  </w:t>
      </w:r>
      <w:r>
        <w:rPr>
          <w:rFonts w:ascii="Times New Roman" w:hAnsi="Times New Roman" w:eastAsia="Times New Roman"/>
          <w:sz w:val="22"/>
        </w:rPr>
        <w:t>whether the rejection of causal and predictive modelling is convincing;</w:t>
      </w:r>
    </w:p>
    <w:p>
      <w:pPr>
        <w:ind w:left="397" w:hanging="255"/>
      </w:pPr>
      <w:r>
        <w:rPr>
          <w:rFonts w:ascii="Times New Roman" w:hAnsi="Times New Roman" w:eastAsia="Times New Roman"/>
          <w:sz w:val="22"/>
        </w:rPr>
        <w:t xml:space="preserve">3.  </w:t>
      </w:r>
      <w:r>
        <w:rPr>
          <w:rFonts w:ascii="Times New Roman" w:hAnsi="Times New Roman" w:eastAsia="Times New Roman"/>
          <w:sz w:val="22"/>
        </w:rPr>
        <w:t>whether Path C is framed as a defensible analytical contribution;</w:t>
      </w:r>
    </w:p>
    <w:p>
      <w:pPr>
        <w:ind w:left="397" w:hanging="255"/>
      </w:pPr>
      <w:r>
        <w:rPr>
          <w:rFonts w:ascii="Times New Roman" w:hAnsi="Times New Roman" w:eastAsia="Times New Roman"/>
          <w:sz w:val="22"/>
        </w:rPr>
        <w:t xml:space="preserve">4.  </w:t>
      </w:r>
      <w:r>
        <w:rPr>
          <w:rFonts w:ascii="Times New Roman" w:hAnsi="Times New Roman" w:eastAsia="Times New Roman"/>
          <w:sz w:val="22"/>
        </w:rPr>
        <w:t>whether the balance between technical detail and readability is appropriate;</w:t>
      </w:r>
    </w:p>
    <w:p>
      <w:pPr>
        <w:ind w:left="397" w:hanging="255"/>
      </w:pPr>
      <w:r>
        <w:rPr>
          <w:rFonts w:ascii="Times New Roman" w:hAnsi="Times New Roman" w:eastAsia="Times New Roman"/>
          <w:sz w:val="22"/>
        </w:rPr>
        <w:t xml:space="preserve">5.  </w:t>
      </w:r>
      <w:r>
        <w:rPr>
          <w:rFonts w:ascii="Times New Roman" w:hAnsi="Times New Roman" w:eastAsia="Times New Roman"/>
          <w:sz w:val="22"/>
        </w:rPr>
        <w:t>which results and figures should receive more emphasis in the final manuscript.</w:t>
      </w:r>
    </w:p>
    <w:p>
      <w:pPr>
        <w:pStyle w:val="Heading1"/>
      </w:pPr>
      <w:r>
        <w:rPr>
          <w:rFonts w:ascii="Times New Roman" w:hAnsi="Times New Roman" w:eastAsia="Times New Roman"/>
          <w:sz w:val="22"/>
        </w:rPr>
        <w:t>Abstract</w:t>
      </w:r>
    </w:p>
    <w:p>
      <w:pPr>
        <w:widowControl/>
      </w:pPr>
      <w:r>
        <w:rPr>
          <w:rFonts w:ascii="Times New Roman" w:hAnsi="Times New Roman" w:eastAsia="Times New Roman"/>
          <w:sz w:val="22"/>
        </w:rPr>
        <w:t>This thesis examines whether Swiss ski-resort, hotel-demand, Magic Pass, snow/climate and accessibility data can support causal evaluation and strategic decision support for potential pass expansion. A reproducible pipeline audits 271 directory listings, 242 preserved lift clusters, 186 hotel municipalities and 14 manually reviewed Magic Pass destination units. Although seven units have the joint 24-month pre/post coverage used for diagnostic screening, no treatment or control passes the combined identification gates. Causal Difference-in-Differences, heterogeneous-effect learners and neural networks are therefore rejected. The supported fallback is a seven-dimension exploratory dashboard for 104 apparent candidates. It separates structural similarity, analogue context, snow vulnerability, tourism context, accessibility, competition/network context and evidence gaps. The system produces no predicted uplift, composite score or admission ranking. Its contribution is a transparent Business Analytics architecture that shows what the evidence can support, where it is fragile and what additional data would be required for stronger causal or managerial claims.</w:t>
      </w:r>
    </w:p>
    <w:p>
      <w:pPr>
        <w:pStyle w:val="Heading1"/>
      </w:pPr>
      <w:r>
        <w:rPr>
          <w:rFonts w:ascii="Times New Roman" w:hAnsi="Times New Roman" w:eastAsia="Times New Roman"/>
          <w:sz w:val="22"/>
        </w:rPr>
        <w:t>How to read this draft</w:t>
      </w:r>
    </w:p>
    <w:p>
      <w:pPr>
        <w:ind w:left="397" w:hanging="255"/>
      </w:pPr>
      <w:r>
        <w:rPr>
          <w:rFonts w:ascii="Times New Roman" w:hAnsi="Times New Roman" w:eastAsia="Times New Roman"/>
          <w:sz w:val="22"/>
        </w:rPr>
        <w:t xml:space="preserve">1.  </w:t>
      </w:r>
      <w:r>
        <w:rPr>
          <w:rFonts w:ascii="Times New Roman" w:hAnsi="Times New Roman" w:eastAsia="Times New Roman"/>
          <w:sz w:val="22"/>
        </w:rPr>
        <w:t>The executive summary states the research decision in plain language.</w:t>
      </w:r>
    </w:p>
    <w:p>
      <w:pPr>
        <w:ind w:left="397" w:hanging="255"/>
      </w:pPr>
      <w:r>
        <w:rPr>
          <w:rFonts w:ascii="Times New Roman" w:hAnsi="Times New Roman" w:eastAsia="Times New Roman"/>
          <w:sz w:val="22"/>
        </w:rPr>
        <w:t xml:space="preserve">2.  </w:t>
      </w:r>
      <w:r>
        <w:rPr>
          <w:rFonts w:ascii="Times New Roman" w:hAnsi="Times New Roman" w:eastAsia="Times New Roman"/>
          <w:sz w:val="22"/>
        </w:rPr>
        <w:t>Methods, results and discussion are generated from the same validated summaries used by the tests.</w:t>
      </w:r>
    </w:p>
    <w:p>
      <w:pPr>
        <w:ind w:left="397" w:hanging="255"/>
      </w:pPr>
      <w:r>
        <w:rPr>
          <w:rFonts w:ascii="Times New Roman" w:hAnsi="Times New Roman" w:eastAsia="Times New Roman"/>
          <w:sz w:val="22"/>
        </w:rPr>
        <w:t xml:space="preserve">3.  </w:t>
      </w:r>
      <w:r>
        <w:rPr>
          <w:rFonts w:ascii="Times New Roman" w:hAnsi="Times New Roman" w:eastAsia="Times New Roman"/>
          <w:sz w:val="22"/>
        </w:rPr>
        <w:t>Section 5 provides the full answers to all 18 questions from the original project mission, with an evidence trail and a review prompt.</w:t>
      </w:r>
    </w:p>
    <w:p>
      <w:pPr>
        <w:ind w:left="397" w:hanging="255"/>
      </w:pPr>
      <w:r>
        <w:rPr>
          <w:rFonts w:ascii="Times New Roman" w:hAnsi="Times New Roman" w:eastAsia="Times New Roman"/>
          <w:sz w:val="22"/>
        </w:rPr>
        <w:t xml:space="preserve">4.  </w:t>
      </w:r>
      <w:r>
        <w:rPr>
          <w:rFonts w:ascii="Times New Roman" w:hAnsi="Times New Roman" w:eastAsia="Times New Roman"/>
          <w:sz w:val="22"/>
        </w:rPr>
        <w:t>The candidate examples illustrate uncertainty categories only. Their order is not a ranking.</w:t>
      </w:r>
    </w:p>
    <w:p>
      <w:pPr>
        <w:ind w:left="397" w:hanging="255"/>
      </w:pPr>
      <w:r>
        <w:rPr>
          <w:rFonts w:ascii="Times New Roman" w:hAnsi="Times New Roman" w:eastAsia="Times New Roman"/>
          <w:sz w:val="22"/>
        </w:rPr>
        <w:t xml:space="preserve">5.  </w:t>
      </w:r>
      <w:r>
        <w:rPr>
          <w:rFonts w:ascii="Times New Roman" w:hAnsi="Times New Roman" w:eastAsia="Times New Roman"/>
          <w:sz w:val="22"/>
        </w:rPr>
        <w:t xml:space="preserve">Temporary </w:t>
      </w:r>
      <w:r>
        <w:rPr>
          <w:rFonts w:ascii="Courier New" w:hAnsi="Courier New" w:eastAsia="Courier New"/>
          <w:sz w:val="19"/>
        </w:rPr>
        <w:t>source_id</w:t>
      </w:r>
      <w:r>
        <w:rPr>
          <w:rFonts w:ascii="Times New Roman" w:hAnsi="Times New Roman" w:eastAsia="Times New Roman"/>
          <w:sz w:val="22"/>
        </w:rPr>
        <w:t xml:space="preserve"> keys and the bibliography worklist remain separate until the final citation style is chosen.</w:t>
      </w:r>
    </w:p>
    <w:p>
      <w:pPr>
        <w:pStyle w:val="Heading1"/>
      </w:pPr>
      <w:r>
        <w:rPr>
          <w:rFonts w:ascii="Times New Roman" w:hAnsi="Times New Roman" w:eastAsia="Times New Roman"/>
          <w:sz w:val="22"/>
        </w:rPr>
        <w:t>1. Executive summary</w:t>
      </w:r>
    </w:p>
    <w:p>
      <w:pPr>
        <w:pStyle w:val="Heading2"/>
      </w:pPr>
      <w:r>
        <w:rPr>
          <w:rFonts w:ascii="Times New Roman" w:hAnsi="Times New Roman" w:eastAsia="Times New Roman"/>
          <w:sz w:val="22"/>
        </w:rPr>
        <w:t>Research decision</w:t>
      </w:r>
    </w:p>
    <w:p>
      <w:pPr>
        <w:widowControl/>
      </w:pPr>
      <w:r>
        <w:rPr>
          <w:rFonts w:ascii="Times New Roman" w:hAnsi="Times New Roman" w:eastAsia="Times New Roman"/>
          <w:sz w:val="22"/>
        </w:rPr>
        <w:t xml:space="preserve">This thesis evaluates whether the available Swiss ski-resort, hotel-demand, Magic Pass, snow/climate and accessibility evidence can support causal effect estimation and strategic decision support. The central conclusion is deliberately narrower than the initial ambition: the evidence does </w:t>
      </w:r>
      <w:r>
        <w:rPr>
          <w:rFonts w:ascii="Times New Roman" w:hAnsi="Times New Roman" w:eastAsia="Times New Roman"/>
          <w:b/>
          <w:sz w:val="22"/>
        </w:rPr>
        <w:t>not</w:t>
      </w:r>
      <w:r>
        <w:rPr>
          <w:rFonts w:ascii="Times New Roman" w:hAnsi="Times New Roman" w:eastAsia="Times New Roman"/>
          <w:sz w:val="22"/>
        </w:rPr>
        <w:t xml:space="preserve"> support a credible causal estimate of Magic Pass membership, heterogeneous treatment-effect modelling or a ranked admission recommendation. It does support a reproducible exploratory framework that makes structural comparability, contextual evidence and uncertainty visible without combining them into a misleading score.</w:t>
      </w:r>
    </w:p>
    <w:p>
      <w:pPr>
        <w:pStyle w:val="Heading2"/>
      </w:pPr>
      <w:r>
        <w:rPr>
          <w:rFonts w:ascii="Times New Roman" w:hAnsi="Times New Roman" w:eastAsia="Times New Roman"/>
          <w:sz w:val="22"/>
        </w:rPr>
        <w:t>Evidence base</w:t>
      </w:r>
    </w:p>
    <w:p>
      <w:pPr>
        <w:widowControl/>
      </w:pPr>
      <w:r>
        <w:rPr>
          <w:rFonts w:ascii="Times New Roman" w:hAnsi="Times New Roman" w:eastAsia="Times New Roman"/>
          <w:sz w:val="22"/>
        </w:rPr>
        <w:t xml:space="preserve">The supplied universe contains </w:t>
      </w:r>
      <w:r>
        <w:rPr>
          <w:rFonts w:ascii="Times New Roman" w:hAnsi="Times New Roman" w:eastAsia="Times New Roman"/>
          <w:b/>
          <w:sz w:val="22"/>
        </w:rPr>
        <w:t>271 directory listings</w:t>
      </w:r>
      <w:r>
        <w:rPr>
          <w:rFonts w:ascii="Times New Roman" w:hAnsi="Times New Roman" w:eastAsia="Times New Roman"/>
          <w:sz w:val="22"/>
        </w:rPr>
        <w:t xml:space="preserve">, </w:t>
      </w:r>
      <w:r>
        <w:rPr>
          <w:rFonts w:ascii="Times New Roman" w:hAnsi="Times New Roman" w:eastAsia="Times New Roman"/>
          <w:b/>
          <w:sz w:val="22"/>
        </w:rPr>
        <w:t>242 preserved lift clusters</w:t>
      </w:r>
      <w:r>
        <w:rPr>
          <w:rFonts w:ascii="Times New Roman" w:hAnsi="Times New Roman" w:eastAsia="Times New Roman"/>
          <w:sz w:val="22"/>
        </w:rPr>
        <w:t xml:space="preserve"> and </w:t>
      </w:r>
      <w:r>
        <w:rPr>
          <w:rFonts w:ascii="Times New Roman" w:hAnsi="Times New Roman" w:eastAsia="Times New Roman"/>
          <w:b/>
          <w:sz w:val="22"/>
        </w:rPr>
        <w:t>162 clusters linked to at least one listing</w:t>
      </w:r>
      <w:r>
        <w:rPr>
          <w:rFonts w:ascii="Times New Roman" w:hAnsi="Times New Roman" w:eastAsia="Times New Roman"/>
          <w:sz w:val="22"/>
        </w:rPr>
        <w:t>. These are not certified independent commercial resorts. The hotel panel contains 31,248 municipality-month rows for 186 municipalities from January 2013 through March 2026. Fourteen Magic Pass destination units were manually reviewed, 11 have an explicit hotel-outcome scope and seven have the joint 24-month pre/post coverage required for the adjacent-window diagnostic.</w:t>
      </w:r>
    </w:p>
    <w:p>
      <w:pPr>
        <w:pStyle w:val="Heading2"/>
      </w:pPr>
      <w:r>
        <w:rPr>
          <w:rFonts w:ascii="Times New Roman" w:hAnsi="Times New Roman" w:eastAsia="Times New Roman"/>
          <w:sz w:val="22"/>
        </w:rPr>
        <w:t>Why causal and predictive modelling were rejected</w:t>
      </w:r>
    </w:p>
    <w:p>
      <w:pPr>
        <w:widowControl/>
      </w:pPr>
      <w:r>
        <w:rPr>
          <w:rFonts w:ascii="Times New Roman" w:hAnsi="Times New Roman" w:eastAsia="Times New Roman"/>
          <w:sz w:val="22"/>
        </w:rPr>
        <w:t>The donor process screened 315 descriptive treatment-donor pairs and shortlisted 35. Twenty-eight shortlisted pairs were at or within 50 km of another resolved Magic Pass point; every one of the seven remote pairs had an independently documented contemporaneous local shock. Zero causal treatments and zero controls were approved. With at most 14 reviewed treated destinations, only seven passing the 24/24 coverage screen and no identified causal target, causal forests, meta-learners, standard uplift models and neural networks are not statistically defensible.</w:t>
      </w:r>
    </w:p>
    <w:p>
      <w:pPr>
        <w:pStyle w:val="Heading2"/>
      </w:pPr>
      <w:r>
        <w:rPr>
          <w:rFonts w:ascii="Times New Roman" w:hAnsi="Times New Roman" w:eastAsia="Times New Roman"/>
          <w:sz w:val="22"/>
        </w:rPr>
        <w:t>Final analytical architecture</w:t>
      </w:r>
    </w:p>
    <w:p>
      <w:pPr>
        <w:widowControl/>
      </w:pPr>
      <w:r>
        <w:rPr>
          <w:rFonts w:ascii="Times New Roman" w:hAnsi="Times New Roman" w:eastAsia="Times New Roman"/>
          <w:sz w:val="22"/>
        </w:rPr>
        <w:t xml:space="preserve">Checkpoint 6 selects a </w:t>
      </w:r>
      <w:r>
        <w:rPr>
          <w:rFonts w:ascii="Times New Roman" w:hAnsi="Times New Roman" w:eastAsia="Times New Roman"/>
          <w:b/>
          <w:sz w:val="22"/>
        </w:rPr>
        <w:t>seven-dimension separated evidence dashboard</w:t>
      </w:r>
      <w:r>
        <w:rPr>
          <w:rFonts w:ascii="Times New Roman" w:hAnsi="Times New Roman" w:eastAsia="Times New Roman"/>
          <w:sz w:val="22"/>
        </w:rPr>
        <w:t xml:space="preserve"> for 104 apparent candidates. The 19 evidence groups cover structural similarity, analogue opportunity, snow vulnerability, tourism context, accessibility, competition/network context and evidence gaps. Thirteen groups have complete candidate coverage, two are partial and four lack a candidate feature. Coverage is not permission: only structural similarity is approved for exploratory matching, while zero groups are approved as pre-treatment predictors, causal covariates, recommendation inputs or composite-score components.</w:t>
      </w:r>
    </w:p>
    <w:p>
      <w:pPr>
        <w:widowControl/>
      </w:pPr>
      <w:r>
        <w:rPr>
          <w:rFonts w:ascii="Times New Roman" w:hAnsi="Times New Roman" w:eastAsia="Times New Roman"/>
          <w:sz w:val="22"/>
        </w:rPr>
        <w:t>The structural solution uses top altitude, ski-area kilometres and lift count. Among 156 complete clusters, k=2 achieves silhouette 0.514 and median subsample ARI 0.987. Yet only 11 of 104 candidates preserve every recorded segment, analogue and support criterion across minimum, median and maximum within-cluster aggregation. Twenty-five candidates are strong extrapolations from the eight reviewed treated references. These diagnostics prevent structural resemblance from being mistaken for predicted benefit.</w:t>
      </w:r>
    </w:p>
    <w:p>
      <w:pPr>
        <w:pStyle w:val="Heading2"/>
      </w:pPr>
      <w:r>
        <w:rPr>
          <w:rFonts w:ascii="Times New Roman" w:hAnsi="Times New Roman" w:eastAsia="Times New Roman"/>
          <w:sz w:val="22"/>
        </w:rPr>
        <w:t>Business interpretation</w:t>
      </w:r>
    </w:p>
    <w:p>
      <w:pPr>
        <w:widowControl/>
      </w:pPr>
      <w:r>
        <w:rPr>
          <w:rFonts w:ascii="Times New Roman" w:hAnsi="Times New Roman" w:eastAsia="Times New Roman"/>
          <w:sz w:val="22"/>
        </w:rPr>
        <w:t>The framework is useful for organising due diligence, not deciding admission. It can show whether a candidate lies inside the observed structural support, where snow or access context may be relevant and which evidence is incomplete. It cannot estimate expected overnight-stay gains, financial profitability or the causal effect of joining Magic Pass. The four fixed examples in the uncertainty appendix demonstrate how the same evidence system communicates stability, aggregation sensitivity and extrapolation without ranking candidates.</w:t>
      </w:r>
    </w:p>
    <w:p>
      <w:pPr>
        <w:pStyle w:val="Heading2"/>
      </w:pPr>
      <w:r>
        <w:rPr>
          <w:rFonts w:ascii="Times New Roman" w:hAnsi="Times New Roman" w:eastAsia="Times New Roman"/>
          <w:sz w:val="22"/>
        </w:rPr>
        <w:t>Priority next evidence</w:t>
      </w:r>
    </w:p>
    <w:p>
      <w:pPr>
        <w:widowControl/>
      </w:pPr>
      <w:r>
        <w:rPr>
          <w:rFonts w:ascii="Times New Roman" w:hAnsi="Times New Roman" w:eastAsia="Times New Roman"/>
          <w:sz w:val="22"/>
        </w:rPr>
        <w:t>The most valuable future inputs are externally validated destination catchments and municipality exposure weights, exact treatment timing and intensity, a larger uncontaminated donor/treatment universe, and pre-treatment histories for hotel capacity, access, lift/infrastructure investment and snowmaking. Historical timetable and pass details are secondary unless required for a specific claim. Stakeholder-defined decision weights would be required before any composite business score could be considered.</w:t>
      </w:r>
    </w:p>
    <w:p>
      <w:pPr>
        <w:pStyle w:val="Heading2"/>
      </w:pPr>
      <w:r>
        <w:rPr>
          <w:rFonts w:ascii="Times New Roman" w:hAnsi="Times New Roman" w:eastAsia="Times New Roman"/>
          <w:sz w:val="22"/>
        </w:rPr>
        <w:t>Final classification</w:t>
      </w:r>
    </w:p>
    <w:p>
      <w:pPr>
        <w:widowControl/>
      </w:pPr>
      <w:r>
        <w:rPr>
          <w:rFonts w:ascii="Times New Roman" w:hAnsi="Times New Roman" w:eastAsia="Times New Roman"/>
          <w:sz w:val="22"/>
        </w:rPr>
        <w:t xml:space="preserve">The completed system is </w:t>
      </w:r>
      <w:r>
        <w:rPr>
          <w:rFonts w:ascii="Times New Roman" w:hAnsi="Times New Roman" w:eastAsia="Times New Roman"/>
          <w:b/>
          <w:sz w:val="22"/>
        </w:rPr>
        <w:t>exploratory and decision-support oriented</w:t>
      </w:r>
      <w:r>
        <w:rPr>
          <w:rFonts w:ascii="Times New Roman" w:hAnsi="Times New Roman" w:eastAsia="Times New Roman"/>
          <w:sz w:val="22"/>
        </w:rPr>
        <w:t>. It is not causal, not an uplift predictor, not a profitability model and not a candidate ranking. This boundary is the principal methodological result of the thesis.</w:t>
      </w:r>
    </w:p>
    <w:p>
      <w:pPr>
        <w:pStyle w:val="Heading1"/>
      </w:pPr>
      <w:r>
        <w:rPr>
          <w:rFonts w:ascii="Times New Roman" w:hAnsi="Times New Roman" w:eastAsia="Times New Roman"/>
          <w:sz w:val="22"/>
        </w:rPr>
        <w:t>2. Methods</w:t>
      </w:r>
    </w:p>
    <w:p>
      <w:pPr>
        <w:ind w:left="397" w:right="397"/>
      </w:pPr>
      <w:r>
        <w:rPr>
          <w:rFonts w:ascii="Times New Roman" w:hAnsi="Times New Roman" w:eastAsia="Times New Roman"/>
          <w:i/>
          <w:sz w:val="22"/>
        </w:rPr>
        <w:t>Draft generated from the validated Path C v0.31 outputs. Adapt numbering and citation style to the final thesis template. Counts are pipeline-derived and must remain linked to the cited repository outputs.</w:t>
      </w:r>
    </w:p>
    <w:p>
      <w:pPr>
        <w:pStyle w:val="Heading2"/>
      </w:pPr>
      <w:r>
        <w:rPr>
          <w:rFonts w:ascii="Times New Roman" w:hAnsi="Times New Roman" w:eastAsia="Times New Roman"/>
          <w:sz w:val="22"/>
        </w:rPr>
        <w:t>1. Research design</w:t>
      </w:r>
    </w:p>
    <w:p>
      <w:pPr>
        <w:widowControl/>
      </w:pPr>
      <w:r>
        <w:rPr>
          <w:rFonts w:ascii="Times New Roman" w:hAnsi="Times New Roman" w:eastAsia="Times New Roman"/>
          <w:sz w:val="22"/>
        </w:rPr>
        <w:t>The study followed a sequential, feasibility-gated Business Analytics design. The initial objective was to estimate whether Magic Pass participation affected hotel overnight stays and, if identification proved credible, to study heterogeneous effects and transfer the resulting evidence to non-member ski destinations. The design did not assume that a particular causal or machine-learning method would be suitable. Instead, six checkpoints progressively assessed the existing data, treatment definition, panel coverage, causal identification, machine-learning feasibility and final decision-support architecture.</w:t>
      </w:r>
    </w:p>
    <w:p>
      <w:pPr>
        <w:widowControl/>
      </w:pPr>
      <w:r>
        <w:rPr>
          <w:rFonts w:ascii="Times New Roman" w:hAnsi="Times New Roman" w:eastAsia="Times New Roman"/>
          <w:sz w:val="22"/>
        </w:rPr>
        <w:t>Checkpoints 1–3 constructed and audited the empirical foundation. Checkpoints 4–5 treated causal inference and heterogeneous-effect modelling as hypotheses to be accepted only if treatment, outcome, donor and temporal-support conditions were met. Because those gates failed, Checkpoint 6 selected Path C: an exploratory structural-analogue dashboard in which descriptive opportunity, vulnerability, tourism context, accessibility, competition and uncertainty remain separate. This fallback was precluded from producing treatment-effect predictions, a composite score or a candidate ranking.</w:t>
      </w:r>
    </w:p>
    <w:p>
      <w:pPr>
        <w:pStyle w:val="Heading2"/>
      </w:pPr>
      <w:r>
        <w:rPr>
          <w:rFonts w:ascii="Times New Roman" w:hAnsi="Times New Roman" w:eastAsia="Times New Roman"/>
          <w:sz w:val="22"/>
        </w:rPr>
        <w:t>2. Units of analysis and entity resolution</w:t>
      </w:r>
    </w:p>
    <w:p>
      <w:pPr>
        <w:widowControl/>
      </w:pPr>
      <w:r>
        <w:rPr>
          <w:rFonts w:ascii="Times New Roman" w:hAnsi="Times New Roman" w:eastAsia="Times New Roman"/>
          <w:sz w:val="22"/>
        </w:rPr>
        <w:t xml:space="preserve">The supplied directory contained </w:t>
      </w:r>
      <w:r>
        <w:rPr>
          <w:rFonts w:ascii="Times New Roman" w:hAnsi="Times New Roman" w:eastAsia="Times New Roman"/>
          <w:b/>
          <w:sz w:val="22"/>
        </w:rPr>
        <w:t>271 resort listings</w:t>
      </w:r>
      <w:r>
        <w:rPr>
          <w:rFonts w:ascii="Times New Roman" w:hAnsi="Times New Roman" w:eastAsia="Times New Roman"/>
          <w:sz w:val="22"/>
        </w:rPr>
        <w:t xml:space="preserve">. These listings were not assumed to represent independent ski destinations because several names can refer to components of one domain and one preserved lift cluster can contain multiple directory rows. The existing geographic clustering was therefore audited rather than rebuilt. It contains </w:t>
      </w:r>
      <w:r>
        <w:rPr>
          <w:rFonts w:ascii="Times New Roman" w:hAnsi="Times New Roman" w:eastAsia="Times New Roman"/>
          <w:b/>
          <w:sz w:val="22"/>
        </w:rPr>
        <w:t>242 lift clusters</w:t>
      </w:r>
      <w:r>
        <w:rPr>
          <w:rFonts w:ascii="Times New Roman" w:hAnsi="Times New Roman" w:eastAsia="Times New Roman"/>
          <w:sz w:val="22"/>
        </w:rPr>
        <w:t xml:space="preserve">, of which </w:t>
      </w:r>
      <w:r>
        <w:rPr>
          <w:rFonts w:ascii="Times New Roman" w:hAnsi="Times New Roman" w:eastAsia="Times New Roman"/>
          <w:b/>
          <w:sz w:val="22"/>
        </w:rPr>
        <w:t>162</w:t>
      </w:r>
      <w:r>
        <w:rPr>
          <w:rFonts w:ascii="Times New Roman" w:hAnsi="Times New Roman" w:eastAsia="Times New Roman"/>
          <w:sz w:val="22"/>
        </w:rPr>
        <w:t xml:space="preserve"> link to at least one supplied listing. Stable </w:t>
      </w:r>
      <w:r>
        <w:rPr>
          <w:rFonts w:ascii="Courier New" w:hAnsi="Courier New" w:eastAsia="Courier New"/>
          <w:sz w:val="19"/>
        </w:rPr>
        <w:t>resort_id</w:t>
      </w:r>
      <w:r>
        <w:rPr>
          <w:rFonts w:ascii="Times New Roman" w:hAnsi="Times New Roman" w:eastAsia="Times New Roman"/>
          <w:sz w:val="22"/>
        </w:rPr>
        <w:t xml:space="preserve">, </w:t>
      </w:r>
      <w:r>
        <w:rPr>
          <w:rFonts w:ascii="Courier New" w:hAnsi="Courier New" w:eastAsia="Courier New"/>
          <w:sz w:val="19"/>
        </w:rPr>
        <w:t>cluster_id</w:t>
      </w:r>
      <w:r>
        <w:rPr>
          <w:rFonts w:ascii="Times New Roman" w:hAnsi="Times New Roman" w:eastAsia="Times New Roman"/>
          <w:sz w:val="22"/>
        </w:rPr>
        <w:t xml:space="preserve">, </w:t>
      </w:r>
      <w:r>
        <w:rPr>
          <w:rFonts w:ascii="Courier New" w:hAnsi="Courier New" w:eastAsia="Courier New"/>
          <w:sz w:val="19"/>
        </w:rPr>
        <w:t>destination_unit_id</w:t>
      </w:r>
      <w:r>
        <w:rPr>
          <w:rFonts w:ascii="Times New Roman" w:hAnsi="Times New Roman" w:eastAsia="Times New Roman"/>
          <w:sz w:val="22"/>
        </w:rPr>
        <w:t xml:space="preserve"> and BFS municipality identifiers were retained throughout.</w:t>
      </w:r>
    </w:p>
    <w:p>
      <w:pPr>
        <w:widowControl/>
      </w:pPr>
      <w:r>
        <w:rPr>
          <w:rFonts w:ascii="Times New Roman" w:hAnsi="Times New Roman" w:eastAsia="Times New Roman"/>
          <w:sz w:val="22"/>
        </w:rPr>
        <w:t xml:space="preserve">Magic Pass evidence was resolved from official dated publications. Candidate links were reviewed conservatively and ambiguous labels were not forced into one-to-one matches. Eighteen candidate-linked entry components were collapsed into </w:t>
      </w:r>
      <w:r>
        <w:rPr>
          <w:rFonts w:ascii="Times New Roman" w:hAnsi="Times New Roman" w:eastAsia="Times New Roman"/>
          <w:b/>
          <w:sz w:val="22"/>
        </w:rPr>
        <w:t>14 reviewed destination units</w:t>
      </w:r>
      <w:r>
        <w:rPr>
          <w:rFonts w:ascii="Times New Roman" w:hAnsi="Times New Roman" w:eastAsia="Times New Roman"/>
          <w:sz w:val="22"/>
        </w:rPr>
        <w:t xml:space="preserve">. </w:t>
      </w:r>
      <w:r>
        <w:rPr>
          <w:rFonts w:ascii="Times New Roman" w:hAnsi="Times New Roman" w:eastAsia="Times New Roman"/>
          <w:b/>
          <w:sz w:val="22"/>
        </w:rPr>
        <w:t>11</w:t>
      </w:r>
      <w:r>
        <w:rPr>
          <w:rFonts w:ascii="Times New Roman" w:hAnsi="Times New Roman" w:eastAsia="Times New Roman"/>
          <w:sz w:val="22"/>
        </w:rPr>
        <w:t xml:space="preserve"> had an explicit hotel-outcome scope; three composite destinations were excluded because the available municipality panel covered only part of their geography. Membership continuity and winter/summer modality were stored separately. All 14 reviewed units have documented active seasons, while modality evidence exists for 58 active unit-seasons.</w:t>
      </w:r>
    </w:p>
    <w:p>
      <w:pPr>
        <w:pStyle w:val="Heading2"/>
      </w:pPr>
      <w:r>
        <w:rPr>
          <w:rFonts w:ascii="Times New Roman" w:hAnsi="Times New Roman" w:eastAsia="Times New Roman"/>
          <w:sz w:val="22"/>
        </w:rPr>
        <w:t>3. Hotel outcome and capacity panel</w:t>
      </w:r>
    </w:p>
    <w:p>
      <w:pPr>
        <w:widowControl/>
      </w:pPr>
      <w:r>
        <w:rPr>
          <w:rFonts w:ascii="Times New Roman" w:hAnsi="Times New Roman" w:eastAsia="Times New Roman"/>
          <w:sz w:val="22"/>
        </w:rPr>
        <w:t xml:space="preserve">The main outcome was monthly hotel overnight stays at municipality level. The processed panel contains </w:t>
      </w:r>
      <w:r>
        <w:rPr>
          <w:rFonts w:ascii="Times New Roman" w:hAnsi="Times New Roman" w:eastAsia="Times New Roman"/>
          <w:b/>
          <w:sz w:val="22"/>
        </w:rPr>
        <w:t>31248 municipality-month rows</w:t>
      </w:r>
      <w:r>
        <w:rPr>
          <w:rFonts w:ascii="Times New Roman" w:hAnsi="Times New Roman" w:eastAsia="Times New Roman"/>
          <w:sz w:val="22"/>
        </w:rPr>
        <w:t xml:space="preserve"> for </w:t>
      </w:r>
      <w:r>
        <w:rPr>
          <w:rFonts w:ascii="Times New Roman" w:hAnsi="Times New Roman" w:eastAsia="Times New Roman"/>
          <w:b/>
          <w:sz w:val="22"/>
        </w:rPr>
        <w:t>186 municipalities</w:t>
      </w:r>
      <w:r>
        <w:rPr>
          <w:rFonts w:ascii="Times New Roman" w:hAnsi="Times New Roman" w:eastAsia="Times New Roman"/>
          <w:sz w:val="22"/>
        </w:rPr>
        <w:t xml:space="preserve">, with </w:t>
      </w:r>
      <w:r>
        <w:rPr>
          <w:rFonts w:ascii="Times New Roman" w:hAnsi="Times New Roman" w:eastAsia="Times New Roman"/>
          <w:b/>
          <w:sz w:val="22"/>
        </w:rPr>
        <w:t>28455 observed overnight-stay cells</w:t>
      </w:r>
      <w:r>
        <w:rPr>
          <w:rFonts w:ascii="Times New Roman" w:hAnsi="Times New Roman" w:eastAsia="Times New Roman"/>
          <w:sz w:val="22"/>
        </w:rPr>
        <w:t xml:space="preserve"> between January 2013 and March 2026. Suppressed source values remained missing and were not imputed. Establishments, rooms and beds were retained as supply-side context. For multi-municipality destination units, count variables were summed only when every municipality in the reviewed scope was observed; published occupancy rates were not averaged across municipalities.</w:t>
      </w:r>
    </w:p>
    <w:p>
      <w:pPr>
        <w:widowControl/>
      </w:pPr>
      <w:r>
        <w:rPr>
          <w:rFonts w:ascii="Times New Roman" w:hAnsi="Times New Roman" w:eastAsia="Times New Roman"/>
          <w:sz w:val="22"/>
        </w:rPr>
        <w:t xml:space="preserve">The reviewed destination panel contains </w:t>
      </w:r>
      <w:r>
        <w:rPr>
          <w:rFonts w:ascii="Times New Roman" w:hAnsi="Times New Roman" w:eastAsia="Times New Roman"/>
          <w:b/>
          <w:sz w:val="22"/>
        </w:rPr>
        <w:t>1848 destination-month rows</w:t>
      </w:r>
      <w:r>
        <w:rPr>
          <w:rFonts w:ascii="Times New Roman" w:hAnsi="Times New Roman" w:eastAsia="Times New Roman"/>
          <w:sz w:val="22"/>
        </w:rPr>
        <w:t xml:space="preserve">, including </w:t>
      </w:r>
      <w:r>
        <w:rPr>
          <w:rFonts w:ascii="Times New Roman" w:hAnsi="Times New Roman" w:eastAsia="Times New Roman"/>
          <w:b/>
          <w:sz w:val="22"/>
        </w:rPr>
        <w:t>1581 observed outcomes</w:t>
      </w:r>
      <w:r>
        <w:rPr>
          <w:rFonts w:ascii="Times New Roman" w:hAnsi="Times New Roman" w:eastAsia="Times New Roman"/>
          <w:sz w:val="22"/>
        </w:rPr>
        <w:t xml:space="preserve"> and </w:t>
      </w:r>
      <w:r>
        <w:rPr>
          <w:rFonts w:ascii="Times New Roman" w:hAnsi="Times New Roman" w:eastAsia="Times New Roman"/>
          <w:b/>
          <w:sz w:val="22"/>
        </w:rPr>
        <w:t>1637 complete capacity rows</w:t>
      </w:r>
      <w:r>
        <w:rPr>
          <w:rFonts w:ascii="Times New Roman" w:hAnsi="Times New Roman" w:eastAsia="Times New Roman"/>
          <w:sz w:val="22"/>
        </w:rPr>
        <w:t>. Entry seasons provided diagnostic anchors rather than exact treatment dates. The carry-forward membership rule was explicitly treated as a diagnostic coding assumption, not causal exposure validation.</w:t>
      </w:r>
    </w:p>
    <w:p>
      <w:pPr>
        <w:pStyle w:val="Heading2"/>
      </w:pPr>
      <w:r>
        <w:rPr>
          <w:rFonts w:ascii="Times New Roman" w:hAnsi="Times New Roman" w:eastAsia="Times New Roman"/>
          <w:sz w:val="22"/>
        </w:rPr>
        <w:t>4. Climate, snow and temporal context</w:t>
      </w:r>
    </w:p>
    <w:p>
      <w:pPr>
        <w:widowControl/>
      </w:pPr>
      <w:r>
        <w:rPr>
          <w:rFonts w:ascii="Times New Roman" w:hAnsi="Times New Roman" w:eastAsia="Times New Roman"/>
          <w:sz w:val="22"/>
        </w:rPr>
        <w:t xml:space="preserve">Snow conditions were represented first through the nearest eligible long-running SLF station, retaining distance, elevation difference, winter coverage and proxy quality. A next-nearest-station sensitivity test was run for all </w:t>
      </w:r>
      <w:r>
        <w:rPr>
          <w:rFonts w:ascii="Times New Roman" w:hAnsi="Times New Roman" w:eastAsia="Times New Roman"/>
          <w:b/>
          <w:sz w:val="22"/>
        </w:rPr>
        <w:t>15 reviewed components</w:t>
      </w:r>
      <w:r>
        <w:rPr>
          <w:rFonts w:ascii="Times New Roman" w:hAnsi="Times New Roman" w:eastAsia="Times New Roman"/>
          <w:sz w:val="22"/>
        </w:rPr>
        <w:t xml:space="preserve">. It yielded 6 high, 5 moderate and 4 low comparisons, with a median winter-depth correlation of </w:t>
      </w:r>
      <w:r>
        <w:rPr>
          <w:rFonts w:ascii="Times New Roman" w:hAnsi="Times New Roman" w:eastAsia="Times New Roman"/>
          <w:b/>
          <w:sz w:val="22"/>
        </w:rPr>
        <w:t>0.864</w:t>
      </w:r>
      <w:r>
        <w:rPr>
          <w:rFonts w:ascii="Times New Roman" w:hAnsi="Times New Roman" w:eastAsia="Times New Roman"/>
          <w:sz w:val="22"/>
        </w:rPr>
        <w:t xml:space="preserve">. A second sensitivity used the SPASS 1 km modelled snow product at resort and station locations. All </w:t>
      </w:r>
      <w:r>
        <w:rPr>
          <w:rFonts w:ascii="Times New Roman" w:hAnsi="Times New Roman" w:eastAsia="Times New Roman"/>
          <w:b/>
          <w:sz w:val="22"/>
        </w:rPr>
        <w:t>150 component-winter rows</w:t>
      </w:r>
      <w:r>
        <w:rPr>
          <w:rFonts w:ascii="Times New Roman" w:hAnsi="Times New Roman" w:eastAsia="Times New Roman"/>
          <w:sz w:val="22"/>
        </w:rPr>
        <w:t xml:space="preserve"> were complete, but resort-centred disagreement remained material.</w:t>
      </w:r>
    </w:p>
    <w:p>
      <w:pPr>
        <w:widowControl/>
      </w:pPr>
      <w:r>
        <w:rPr>
          <w:rFonts w:ascii="Times New Roman" w:hAnsi="Times New Roman" w:eastAsia="Times New Roman"/>
          <w:sz w:val="22"/>
        </w:rPr>
        <w:t xml:space="preserve">Regional temperature and precipitation context used eligible SwissMetNet stations and calendar-month anomalies. The next-nearest-station comparison produced median component correlations of </w:t>
      </w:r>
      <w:r>
        <w:rPr>
          <w:rFonts w:ascii="Times New Roman" w:hAnsi="Times New Roman" w:eastAsia="Times New Roman"/>
          <w:b/>
          <w:sz w:val="22"/>
        </w:rPr>
        <w:t>0.967</w:t>
      </w:r>
      <w:r>
        <w:rPr>
          <w:rFonts w:ascii="Times New Roman" w:hAnsi="Times New Roman" w:eastAsia="Times New Roman"/>
          <w:sz w:val="22"/>
        </w:rPr>
        <w:t xml:space="preserve"> for temperature and </w:t>
      </w:r>
      <w:r>
        <w:rPr>
          <w:rFonts w:ascii="Times New Roman" w:hAnsi="Times New Roman" w:eastAsia="Times New Roman"/>
          <w:b/>
          <w:sz w:val="22"/>
        </w:rPr>
        <w:t>0.815</w:t>
      </w:r>
      <w:r>
        <w:rPr>
          <w:rFonts w:ascii="Times New Roman" w:hAnsi="Times New Roman" w:eastAsia="Times New Roman"/>
          <w:sz w:val="22"/>
        </w:rPr>
        <w:t xml:space="preserve"> for precipitation. Official 1 km TabsM/RhiresM grids supplied an additional spatial sensitivity. These products were treated as regional proxies, not direct piste measurements or automatically valid causal covariates. Deterministic month, winter/summer, peak-season, Easter and broad COVID-sensitivity indicators were generated for the full panel.</w:t>
      </w:r>
    </w:p>
    <w:p>
      <w:pPr>
        <w:pStyle w:val="Heading2"/>
      </w:pPr>
      <w:r>
        <w:rPr>
          <w:rFonts w:ascii="Times New Roman" w:hAnsi="Times New Roman" w:eastAsia="Times New Roman"/>
          <w:sz w:val="22"/>
        </w:rPr>
        <w:t>5. Accessibility, tourism and competitive context</w:t>
      </w:r>
    </w:p>
    <w:p>
      <w:pPr>
        <w:widowControl/>
      </w:pPr>
      <w:r>
        <w:rPr>
          <w:rFonts w:ascii="Times New Roman" w:hAnsi="Times New Roman" w:eastAsia="Times New Roman"/>
          <w:sz w:val="22"/>
        </w:rPr>
        <w:t xml:space="preserve">Accessibility was deliberately measured in several non-equivalent ways: straight-line population context, cross-border population grids, modelled NPVM travel time, distance to official passenger stops and national-road axes, and scheduled public-transport journeys. The GTFS calculation sampled five outbound departure times from 08:00–10:00 and seven return times from 15:00–18:00 on one winter weekday and one Saturday. It produced </w:t>
      </w:r>
      <w:r>
        <w:rPr>
          <w:rFonts w:ascii="Times New Roman" w:hAnsi="Times New Roman" w:eastAsia="Times New Roman"/>
          <w:b/>
          <w:sz w:val="22"/>
        </w:rPr>
        <w:t>49104 journey samples</w:t>
      </w:r>
      <w:r>
        <w:rPr>
          <w:rFonts w:ascii="Times New Roman" w:hAnsi="Times New Roman" w:eastAsia="Times New Roman"/>
          <w:sz w:val="22"/>
        </w:rPr>
        <w:t xml:space="preserve"> for </w:t>
      </w:r>
      <w:r>
        <w:rPr>
          <w:rFonts w:ascii="Times New Roman" w:hAnsi="Times New Roman" w:eastAsia="Times New Roman"/>
          <w:b/>
          <w:sz w:val="22"/>
        </w:rPr>
        <w:t>2046 destination–municipality pairs</w:t>
      </w:r>
      <w:r>
        <w:rPr>
          <w:rFonts w:ascii="Times New Roman" w:hAnsi="Times New Roman" w:eastAsia="Times New Roman"/>
          <w:sz w:val="22"/>
        </w:rPr>
        <w:t>. The measure is a winter-2026 timetable snapshot; historical stability was not assumed.</w:t>
      </w:r>
    </w:p>
    <w:p>
      <w:pPr>
        <w:widowControl/>
      </w:pPr>
      <w:r>
        <w:rPr>
          <w:rFonts w:ascii="Times New Roman" w:hAnsi="Times New Roman" w:eastAsia="Times New Roman"/>
          <w:sz w:val="22"/>
        </w:rPr>
        <w:t>Tourism dependence was reported for the reviewed outcome scopes and, separately, for municipalities containing candidate component points. Candidate rules based on 0, 5 and 10 km municipality buffers were evaluated against the independently reviewed complete destination scopes. These rules were sensitivity analyses rather than definitions of a visitor catchment.</w:t>
      </w:r>
    </w:p>
    <w:p>
      <w:pPr>
        <w:widowControl/>
      </w:pPr>
      <w:r>
        <w:rPr>
          <w:rFonts w:ascii="Times New Roman" w:hAnsi="Times New Roman" w:eastAsia="Times New Roman"/>
          <w:sz w:val="22"/>
        </w:rPr>
        <w:t xml:space="preserve">Competitive context combined three current multi-area-pass rosters with dated positive-presence evidence for Top4, Meilenweiss, Schneepass Zentralschweiz, TopCard and SnowPass Graubünden. The historical table contains </w:t>
      </w:r>
      <w:r>
        <w:rPr>
          <w:rFonts w:ascii="Times New Roman" w:hAnsi="Times New Roman" w:eastAsia="Times New Roman"/>
          <w:b/>
          <w:sz w:val="22"/>
        </w:rPr>
        <w:t>155 area-season rows</w:t>
      </w:r>
      <w:r>
        <w:rPr>
          <w:rFonts w:ascii="Times New Roman" w:hAnsi="Times New Roman" w:eastAsia="Times New Roman"/>
          <w:sz w:val="22"/>
        </w:rPr>
        <w:t xml:space="preserve"> and </w:t>
      </w:r>
      <w:r>
        <w:rPr>
          <w:rFonts w:ascii="Times New Roman" w:hAnsi="Times New Roman" w:eastAsia="Times New Roman"/>
          <w:b/>
          <w:sz w:val="22"/>
        </w:rPr>
        <w:t>184 positive listing-season links</w:t>
      </w:r>
      <w:r>
        <w:rPr>
          <w:rFonts w:ascii="Times New Roman" w:hAnsi="Times New Roman" w:eastAsia="Times New Roman"/>
          <w:sz w:val="22"/>
        </w:rPr>
        <w:t>. A missing link means only that no reviewed positive evidence was found; it does not establish historical absence.</w:t>
      </w:r>
    </w:p>
    <w:p>
      <w:pPr>
        <w:pStyle w:val="Heading2"/>
      </w:pPr>
      <w:r>
        <w:rPr>
          <w:rFonts w:ascii="Times New Roman" w:hAnsi="Times New Roman" w:eastAsia="Times New Roman"/>
          <w:sz w:val="22"/>
        </w:rPr>
        <w:t>6. Causal feasibility assessment</w:t>
      </w:r>
    </w:p>
    <w:p>
      <w:pPr>
        <w:widowControl/>
      </w:pPr>
      <w:r>
        <w:rPr>
          <w:rFonts w:ascii="Times New Roman" w:hAnsi="Times New Roman" w:eastAsia="Times New Roman"/>
          <w:sz w:val="22"/>
        </w:rPr>
        <w:t xml:space="preserve">The causal screen required an explicit destination scope, documented membership continuity, sufficient pre/post outcomes, historically credible non-treated donors, limited spillover risk and no major contemporaneous donor-specific shock. This is stricter than selecting an available estimator: staggered Difference-in-Differences still requires a credible parallel-trends comparison and careful treatment of heterogeneous timing and effects (Callaway and Sant'Anna, 2021; Sun and Abraham, 2021), while connected ski markets make interference a substantive threat rather than a technical footnote (Hudgens and Halloran, 2008). Seven treatments supported a 36-month descriptive pre-period screen. Among </w:t>
      </w:r>
      <w:r>
        <w:rPr>
          <w:rFonts w:ascii="Times New Roman" w:hAnsi="Times New Roman" w:eastAsia="Times New Roman"/>
          <w:b/>
          <w:sz w:val="22"/>
        </w:rPr>
        <w:t>315 provisional pairs</w:t>
      </w:r>
      <w:r>
        <w:rPr>
          <w:rFonts w:ascii="Times New Roman" w:hAnsi="Times New Roman" w:eastAsia="Times New Roman"/>
          <w:sz w:val="22"/>
        </w:rPr>
        <w:t xml:space="preserve">, 35 top-five pairs were shortlisted for manual review. Network proximity deprioritised </w:t>
      </w:r>
      <w:r>
        <w:rPr>
          <w:rFonts w:ascii="Times New Roman" w:hAnsi="Times New Roman" w:eastAsia="Times New Roman"/>
          <w:b/>
          <w:sz w:val="22"/>
        </w:rPr>
        <w:t>15 pairs within 30 km</w:t>
      </w:r>
      <w:r>
        <w:rPr>
          <w:rFonts w:ascii="Times New Roman" w:hAnsi="Times New Roman" w:eastAsia="Times New Roman"/>
          <w:sz w:val="22"/>
        </w:rPr>
        <w:t xml:space="preserve"> and </w:t>
      </w:r>
      <w:r>
        <w:rPr>
          <w:rFonts w:ascii="Times New Roman" w:hAnsi="Times New Roman" w:eastAsia="Times New Roman"/>
          <w:b/>
          <w:sz w:val="22"/>
        </w:rPr>
        <w:t>13 pairs between 30 and 50 km</w:t>
      </w:r>
      <w:r>
        <w:rPr>
          <w:rFonts w:ascii="Times New Roman" w:hAnsi="Times New Roman" w:eastAsia="Times New Roman"/>
          <w:sz w:val="22"/>
        </w:rPr>
        <w:t>. The seven pairs beyond 50 km were all excluded because official evidence documented a contemporaneous donor-specific tourism, pricing, access or infrastructure shock. Consequently, zero treatments and zero controls were approved for causal estimation.</w:t>
      </w:r>
    </w:p>
    <w:p>
      <w:pPr>
        <w:pStyle w:val="Heading2"/>
      </w:pPr>
      <w:r>
        <w:rPr>
          <w:rFonts w:ascii="Times New Roman" w:hAnsi="Times New Roman" w:eastAsia="Times New Roman"/>
          <w:sz w:val="22"/>
        </w:rPr>
        <w:t>7. Path C structural segmentation and analogues</w:t>
      </w:r>
    </w:p>
    <w:p>
      <w:pPr>
        <w:widowControl/>
      </w:pPr>
      <w:r>
        <w:rPr>
          <w:rFonts w:ascii="Times New Roman" w:hAnsi="Times New Roman" w:eastAsia="Times New Roman"/>
          <w:sz w:val="22"/>
        </w:rPr>
        <w:t>Path C used only three structural directory fields: median published top altitude, median published ski-area kilometres and median published lift count. Ski area and lift count were log-transformed before standardisation. Geography, membership, hotel outcomes, tourism dependence and snow vulnerability were excluded from the similarity model so that labels, outcomes and strategic dimensions did not define structural resemblance.</w:t>
      </w:r>
    </w:p>
    <w:p>
      <w:pPr>
        <w:widowControl/>
      </w:pPr>
      <w:r>
        <w:rPr>
          <w:rFonts w:ascii="Times New Roman" w:hAnsi="Times New Roman" w:eastAsia="Times New Roman"/>
          <w:sz w:val="22"/>
        </w:rPr>
        <w:t xml:space="preserve">Deterministic k-means solutions from k=2 to k=8 were compared using average silhouette width (Rousseeuw, 1987), minimum segment size and 80% subsample adjusted Rand stability, whose chance-corrected partition-comparison foundation follows Hubert and Arabie (1985). The selected </w:t>
      </w:r>
      <w:r>
        <w:rPr>
          <w:rFonts w:ascii="Times New Roman" w:hAnsi="Times New Roman" w:eastAsia="Times New Roman"/>
          <w:b/>
          <w:sz w:val="22"/>
        </w:rPr>
        <w:t>k=2</w:t>
      </w:r>
      <w:r>
        <w:rPr>
          <w:rFonts w:ascii="Times New Roman" w:hAnsi="Times New Roman" w:eastAsia="Times New Roman"/>
          <w:sz w:val="22"/>
        </w:rPr>
        <w:t xml:space="preserve"> solution had silhouette </w:t>
      </w:r>
      <w:r>
        <w:rPr>
          <w:rFonts w:ascii="Times New Roman" w:hAnsi="Times New Roman" w:eastAsia="Times New Roman"/>
          <w:b/>
          <w:sz w:val="22"/>
        </w:rPr>
        <w:t>0.514</w:t>
      </w:r>
      <w:r>
        <w:rPr>
          <w:rFonts w:ascii="Times New Roman" w:hAnsi="Times New Roman" w:eastAsia="Times New Roman"/>
          <w:sz w:val="22"/>
        </w:rPr>
        <w:t xml:space="preserve">, median bootstrap ARI </w:t>
      </w:r>
      <w:r>
        <w:rPr>
          <w:rFonts w:ascii="Times New Roman" w:hAnsi="Times New Roman" w:eastAsia="Times New Roman"/>
          <w:b/>
          <w:sz w:val="22"/>
        </w:rPr>
        <w:t>0.987</w:t>
      </w:r>
      <w:r>
        <w:rPr>
          <w:rFonts w:ascii="Times New Roman" w:hAnsi="Times New Roman" w:eastAsia="Times New Roman"/>
          <w:sz w:val="22"/>
        </w:rPr>
        <w:t xml:space="preserve"> and 10th-percentile ARI </w:t>
      </w:r>
      <w:r>
        <w:rPr>
          <w:rFonts w:ascii="Times New Roman" w:hAnsi="Times New Roman" w:eastAsia="Times New Roman"/>
          <w:b/>
          <w:sz w:val="22"/>
        </w:rPr>
        <w:t>0.924</w:t>
      </w:r>
      <w:r>
        <w:rPr>
          <w:rFonts w:ascii="Times New Roman" w:hAnsi="Times New Roman" w:eastAsia="Times New Roman"/>
          <w:sz w:val="22"/>
        </w:rPr>
        <w:t>. Apparent non-member candidates were compared with structurally complete current Magic Pass clusters and with eight reviewed treated reference units. The resulting analogue signal is the median unadjusted post-versus-pre diagnostic of the three nearest reviewed treated references; it is not predicted uplift.</w:t>
      </w:r>
    </w:p>
    <w:p>
      <w:pPr>
        <w:widowControl/>
      </w:pPr>
      <w:r>
        <w:rPr>
          <w:rFonts w:ascii="Times New Roman" w:hAnsi="Times New Roman" w:eastAsia="Times New Roman"/>
          <w:sz w:val="22"/>
        </w:rPr>
        <w:t>Within-cluster minimum, median and maximum aggregation rules were then compared. All selected k=2, but assignment and nearest-analogue stability varied. Candidate-level stability flags were retained rather than selecting the most favourable aggregation.</w:t>
      </w:r>
    </w:p>
    <w:p>
      <w:pPr>
        <w:pStyle w:val="Heading2"/>
      </w:pPr>
      <w:r>
        <w:rPr>
          <w:rFonts w:ascii="Times New Roman" w:hAnsi="Times New Roman" w:eastAsia="Times New Roman"/>
          <w:sz w:val="22"/>
        </w:rPr>
        <w:t>8. Decision framework and reproducibility</w:t>
      </w:r>
    </w:p>
    <w:p>
      <w:pPr>
        <w:widowControl/>
      </w:pPr>
      <w:r>
        <w:rPr>
          <w:rFonts w:ascii="Times New Roman" w:hAnsi="Times New Roman" w:eastAsia="Times New Roman"/>
          <w:sz w:val="22"/>
        </w:rPr>
        <w:t xml:space="preserve">The final dashboard assigns </w:t>
      </w:r>
      <w:r>
        <w:rPr>
          <w:rFonts w:ascii="Times New Roman" w:hAnsi="Times New Roman" w:eastAsia="Times New Roman"/>
          <w:b/>
          <w:sz w:val="22"/>
        </w:rPr>
        <w:t>19 feature groups</w:t>
      </w:r>
      <w:r>
        <w:rPr>
          <w:rFonts w:ascii="Times New Roman" w:hAnsi="Times New Roman" w:eastAsia="Times New Roman"/>
          <w:sz w:val="22"/>
        </w:rPr>
        <w:t xml:space="preserve"> exactly once across seven decision dimensions. Candidate coverage and permitted use are separate fields. Only structural similarity is authorised for exploratory matching. Zero groups are approved as pre-treatment predictors, causal covariates, recommendation inputs or composite-score inputs. Candidate rows remain sorted by stable cluster ID.</w:t>
      </w:r>
    </w:p>
    <w:p>
      <w:pPr>
        <w:widowControl/>
      </w:pPr>
      <w:r>
        <w:rPr>
          <w:rFonts w:ascii="Times New Roman" w:hAnsi="Times New Roman" w:eastAsia="Times New Roman"/>
          <w:sz w:val="22"/>
        </w:rPr>
        <w:t>All source files are checksum-audited, external evidence is registered in the provenance table, and analytical variables are described in the data dictionary. The offline pipeline regenerates processed tables, diagnostics, reports, figures and automated tests from the project root. Raw inputs are never overwritten.</w:t>
      </w:r>
    </w:p>
    <w:p>
      <w:pPr>
        <w:pStyle w:val="Heading1"/>
      </w:pPr>
      <w:r>
        <w:rPr>
          <w:rFonts w:ascii="Times New Roman" w:hAnsi="Times New Roman" w:eastAsia="Times New Roman"/>
          <w:sz w:val="22"/>
        </w:rPr>
        <w:t>3. Results</w:t>
      </w:r>
    </w:p>
    <w:p>
      <w:pPr>
        <w:ind w:left="397" w:right="397"/>
      </w:pPr>
      <w:r>
        <w:rPr>
          <w:rFonts w:ascii="Times New Roman" w:hAnsi="Times New Roman" w:eastAsia="Times New Roman"/>
          <w:i/>
          <w:sz w:val="22"/>
        </w:rPr>
        <w:t>Draft generated from the validated Path C v0.31 outputs. This chapter reports feasibility and descriptive evidence; it does not report a Magic Pass treatment effect.</w:t>
      </w:r>
    </w:p>
    <w:p>
      <w:pPr>
        <w:pStyle w:val="Heading2"/>
      </w:pPr>
      <w:r>
        <w:rPr>
          <w:rFonts w:ascii="Times New Roman" w:hAnsi="Times New Roman" w:eastAsia="Times New Roman"/>
          <w:sz w:val="22"/>
        </w:rPr>
        <w:t>1. Data foundation and treatment panel</w:t>
      </w:r>
    </w:p>
    <w:p>
      <w:pPr>
        <w:widowControl/>
      </w:pPr>
      <w:r>
        <w:rPr>
          <w:rFonts w:ascii="Times New Roman" w:hAnsi="Times New Roman" w:eastAsia="Times New Roman"/>
          <w:sz w:val="22"/>
        </w:rPr>
        <w:t xml:space="preserve">The audit retained </w:t>
      </w:r>
      <w:r>
        <w:rPr>
          <w:rFonts w:ascii="Times New Roman" w:hAnsi="Times New Roman" w:eastAsia="Times New Roman"/>
          <w:b/>
          <w:sz w:val="22"/>
        </w:rPr>
        <w:t>271 directory listings</w:t>
      </w:r>
      <w:r>
        <w:rPr>
          <w:rFonts w:ascii="Times New Roman" w:hAnsi="Times New Roman" w:eastAsia="Times New Roman"/>
          <w:sz w:val="22"/>
        </w:rPr>
        <w:t xml:space="preserve">, </w:t>
      </w:r>
      <w:r>
        <w:rPr>
          <w:rFonts w:ascii="Times New Roman" w:hAnsi="Times New Roman" w:eastAsia="Times New Roman"/>
          <w:b/>
          <w:sz w:val="22"/>
        </w:rPr>
        <w:t>242 preserved lift clusters</w:t>
      </w:r>
      <w:r>
        <w:rPr>
          <w:rFonts w:ascii="Times New Roman" w:hAnsi="Times New Roman" w:eastAsia="Times New Roman"/>
          <w:sz w:val="22"/>
        </w:rPr>
        <w:t xml:space="preserve"> and </w:t>
      </w:r>
      <w:r>
        <w:rPr>
          <w:rFonts w:ascii="Times New Roman" w:hAnsi="Times New Roman" w:eastAsia="Times New Roman"/>
          <w:b/>
          <w:sz w:val="22"/>
        </w:rPr>
        <w:t>186 hotel municipalities</w:t>
      </w:r>
      <w:r>
        <w:rPr>
          <w:rFonts w:ascii="Times New Roman" w:hAnsi="Times New Roman" w:eastAsia="Times New Roman"/>
          <w:sz w:val="22"/>
        </w:rPr>
        <w:t>. Of the lift clusters, 162 were linked to at least one directory listing and 156 had complete structural fields for segmentation. The hotel panel covered January 2013 to March 2026 and contained 28455 observed monthly overnight-stay values.</w:t>
      </w:r>
    </w:p>
    <w:p>
      <w:pPr>
        <w:widowControl/>
      </w:pPr>
      <w:r>
        <w:rPr>
          <w:rFonts w:ascii="Times New Roman" w:hAnsi="Times New Roman" w:eastAsia="Times New Roman"/>
          <w:sz w:val="22"/>
        </w:rPr>
        <w:t xml:space="preserve">Official Magic Pass material yielded </w:t>
      </w:r>
      <w:r>
        <w:rPr>
          <w:rFonts w:ascii="Times New Roman" w:hAnsi="Times New Roman" w:eastAsia="Times New Roman"/>
          <w:b/>
          <w:sz w:val="22"/>
        </w:rPr>
        <w:t>88 documented base-entry events</w:t>
      </w:r>
      <w:r>
        <w:rPr>
          <w:rFonts w:ascii="Times New Roman" w:hAnsi="Times New Roman" w:eastAsia="Times New Roman"/>
          <w:sz w:val="22"/>
        </w:rPr>
        <w:t>. After conservative entity resolution and destination-scope review, 14 destination units were retained and 11 entered the hotel panel. All reviewed units had documented active-season continuity, but only 7 panel units combined that evidence with at least 24 observed pre and 24 active-post months. No destination was approved as a causal treatment unit.</w:t>
      </w:r>
    </w:p>
    <w:p>
      <w:pPr>
        <w:pStyle w:val="Heading2"/>
      </w:pPr>
      <w:r>
        <w:rPr>
          <w:rFonts w:ascii="Times New Roman" w:hAnsi="Times New Roman" w:eastAsia="Times New Roman"/>
          <w:sz w:val="22"/>
        </w:rPr>
        <w:t>2. Causal and machine-learning feasibility</w:t>
      </w:r>
    </w:p>
    <w:p>
      <w:pPr>
        <w:widowControl/>
      </w:pPr>
      <w:r>
        <w:rPr>
          <w:rFonts w:ascii="Times New Roman" w:hAnsi="Times New Roman" w:eastAsia="Times New Roman"/>
          <w:sz w:val="22"/>
        </w:rPr>
        <w:t>The donor screen initially considered 814 treatment–municipality combinations. Mechanical distance and coverage rules retained 404 pairs under the 30 km screen and 366 under the 50 km sensitivity. The descriptive pre-trend stage ranked 315 pairs and retained 35 for manual review.</w:t>
      </w:r>
    </w:p>
    <w:p>
      <w:pPr>
        <w:widowControl/>
      </w:pPr>
      <w:r>
        <w:rPr>
          <w:rFonts w:ascii="Times New Roman" w:hAnsi="Times New Roman" w:eastAsia="Times New Roman"/>
          <w:sz w:val="22"/>
        </w:rPr>
        <w:t xml:space="preserve">The network audit showed that 28 of the 35 shortlisted pairs lay within 50 km of another resolved Magic Pass point. Of the seven remote pairs, every donor had an independently documented contemporaneous local shock. No shortlisted donor survived the combined proximity and external-shock review, leaving </w:t>
      </w:r>
      <w:r>
        <w:rPr>
          <w:rFonts w:ascii="Times New Roman" w:hAnsi="Times New Roman" w:eastAsia="Times New Roman"/>
          <w:b/>
          <w:sz w:val="22"/>
        </w:rPr>
        <w:t>0 deep-audit pairs, 0 approved controls and 0 approved causal treatments</w:t>
      </w:r>
      <w:r>
        <w:rPr>
          <w:rFonts w:ascii="Times New Roman" w:hAnsi="Times New Roman" w:eastAsia="Times New Roman"/>
          <w:sz w:val="22"/>
        </w:rPr>
        <w:t>.</w:t>
      </w:r>
    </w:p>
    <w:p>
      <w:pPr>
        <w:widowControl/>
      </w:pPr>
      <w:r>
        <w:rPr>
          <w:rFonts w:ascii="Times New Roman" w:hAnsi="Times New Roman" w:eastAsia="Times New Roman"/>
          <w:sz w:val="22"/>
        </w:rPr>
        <w:t>Checkpoint 4 therefore rejected causal estimation. Checkpoint 5 also rejected causal forests, meta-learners and neural networks because there was no defensible causal target and the effective treated sample was at most 14 reviewed units, only seven with the required 24/24 continuity and outcome coverage. No CATE, uplift or treatment-effect prediction was produced.</w:t>
      </w:r>
    </w:p>
    <w:p>
      <w:pPr>
        <w:pStyle w:val="Heading2"/>
      </w:pPr>
      <w:r>
        <w:rPr>
          <w:rFonts w:ascii="Times New Roman" w:hAnsi="Times New Roman" w:eastAsia="Times New Roman"/>
          <w:sz w:val="22"/>
        </w:rPr>
        <w:t>3. Structural segmentation and support</w:t>
      </w:r>
    </w:p>
    <w:p>
      <w:pPr>
        <w:widowControl/>
      </w:pPr>
      <w:r>
        <w:rPr>
          <w:rFonts w:ascii="Times New Roman" w:hAnsi="Times New Roman" w:eastAsia="Times New Roman"/>
          <w:sz w:val="22"/>
        </w:rPr>
        <w:t xml:space="preserve">The selected two-segment structural solution achieved silhouette </w:t>
      </w:r>
      <w:r>
        <w:rPr>
          <w:rFonts w:ascii="Times New Roman" w:hAnsi="Times New Roman" w:eastAsia="Times New Roman"/>
          <w:b/>
          <w:sz w:val="22"/>
        </w:rPr>
        <w:t>0.514</w:t>
      </w:r>
      <w:r>
        <w:rPr>
          <w:rFonts w:ascii="Times New Roman" w:hAnsi="Times New Roman" w:eastAsia="Times New Roman"/>
          <w:sz w:val="22"/>
        </w:rPr>
        <w:t xml:space="preserve"> and high subsample stability (median ARI </w:t>
      </w:r>
      <w:r>
        <w:rPr>
          <w:rFonts w:ascii="Times New Roman" w:hAnsi="Times New Roman" w:eastAsia="Times New Roman"/>
          <w:b/>
          <w:sz w:val="22"/>
        </w:rPr>
        <w:t>0.987</w:t>
      </w:r>
      <w:r>
        <w:rPr>
          <w:rFonts w:ascii="Times New Roman" w:hAnsi="Times New Roman" w:eastAsia="Times New Roman"/>
          <w:sz w:val="22"/>
        </w:rPr>
        <w:t xml:space="preserve">, 10th percentile </w:t>
      </w:r>
      <w:r>
        <w:rPr>
          <w:rFonts w:ascii="Times New Roman" w:hAnsi="Times New Roman" w:eastAsia="Times New Roman"/>
          <w:b/>
          <w:sz w:val="22"/>
        </w:rPr>
        <w:t>0.924</w:t>
      </w:r>
      <w:r>
        <w:rPr>
          <w:rFonts w:ascii="Times New Roman" w:hAnsi="Times New Roman" w:eastAsia="Times New Roman"/>
          <w:sz w:val="22"/>
        </w:rPr>
        <w:t xml:space="preserve">). Among </w:t>
      </w:r>
      <w:r>
        <w:rPr>
          <w:rFonts w:ascii="Times New Roman" w:hAnsi="Times New Roman" w:eastAsia="Times New Roman"/>
          <w:b/>
          <w:sz w:val="22"/>
        </w:rPr>
        <w:t>104 apparent candidates</w:t>
      </w:r>
      <w:r>
        <w:rPr>
          <w:rFonts w:ascii="Times New Roman" w:hAnsi="Times New Roman" w:eastAsia="Times New Roman"/>
          <w:sz w:val="22"/>
        </w:rPr>
        <w:t>, 74 had good support relative to the reviewed treated references, 5 were moderate extrapolations and 25 were strong extrapolations.</w:t>
      </w:r>
    </w:p>
    <w:p>
      <w:pPr>
        <w:widowControl/>
      </w:pPr>
      <w:r>
        <w:rPr>
          <w:rFonts w:ascii="Times New Roman" w:hAnsi="Times New Roman" w:eastAsia="Times New Roman"/>
          <w:sz w:val="22"/>
        </w:rPr>
        <w:t xml:space="preserve">Sensitivity to within-cluster aggregation was substantial. Although minimum, median and maximum rules all selected k=2, segment ARI relative to the median solution fell to </w:t>
      </w:r>
      <w:r>
        <w:rPr>
          <w:rFonts w:ascii="Times New Roman" w:hAnsi="Times New Roman" w:eastAsia="Times New Roman"/>
          <w:b/>
          <w:sz w:val="22"/>
        </w:rPr>
        <w:t>0.827</w:t>
      </w:r>
      <w:r>
        <w:rPr>
          <w:rFonts w:ascii="Times New Roman" w:hAnsi="Times New Roman" w:eastAsia="Times New Roman"/>
          <w:sz w:val="22"/>
        </w:rPr>
        <w:t xml:space="preserve"> under minimum aggregation and </w:t>
      </w:r>
      <w:r>
        <w:rPr>
          <w:rFonts w:ascii="Times New Roman" w:hAnsi="Times New Roman" w:eastAsia="Times New Roman"/>
          <w:b/>
          <w:sz w:val="22"/>
        </w:rPr>
        <w:t>0.714</w:t>
      </w:r>
      <w:r>
        <w:rPr>
          <w:rFonts w:ascii="Times New Roman" w:hAnsi="Times New Roman" w:eastAsia="Times New Roman"/>
          <w:sz w:val="22"/>
        </w:rPr>
        <w:t xml:space="preserve"> under maximum aggregation. Only </w:t>
      </w:r>
      <w:r>
        <w:rPr>
          <w:rFonts w:ascii="Times New Roman" w:hAnsi="Times New Roman" w:eastAsia="Times New Roman"/>
          <w:b/>
          <w:sz w:val="22"/>
        </w:rPr>
        <w:t>11 of 104 candidates</w:t>
      </w:r>
      <w:r>
        <w:rPr>
          <w:rFonts w:ascii="Times New Roman" w:hAnsi="Times New Roman" w:eastAsia="Times New Roman"/>
          <w:sz w:val="22"/>
        </w:rPr>
        <w:t xml:space="preserve"> preserved every recorded segment, nearest-analogue and treated-support criterion. Seventy-one retained the same closest reviewed treated analogue and 60 retained the same treated-reference support category. These results justify reporting candidate-specific stability rather than a single league table.</w:t>
      </w:r>
    </w:p>
    <w:p>
      <w:pPr>
        <w:pStyle w:val="Heading2"/>
      </w:pPr>
      <w:r>
        <w:rPr>
          <w:rFonts w:ascii="Times New Roman" w:hAnsi="Times New Roman" w:eastAsia="Times New Roman"/>
          <w:sz w:val="22"/>
        </w:rPr>
        <w:t>4. Tourism-scope evidence</w:t>
      </w:r>
    </w:p>
    <w:p>
      <w:pPr>
        <w:widowControl/>
      </w:pPr>
      <w:r>
        <w:rPr>
          <w:rFonts w:ascii="Times New Roman" w:hAnsi="Times New Roman" w:eastAsia="Times New Roman"/>
          <w:sz w:val="22"/>
        </w:rPr>
        <w:t>Component-point municipalities exactly reproduced 10 of 11 reviewed outcome municipality sets, but seven of those matches were core-municipality proxies defined from the same component logic. Among the four independently reviewed complete municipal scopes, only three matched exactly and component points recovered four of five municipalities. Meiringen-Hasliberg supplied the principal mismatch because the resort point lies in Hasliberg while the reviewed outcome scope also includes Meiringen.</w:t>
      </w:r>
    </w:p>
    <w:p>
      <w:pPr>
        <w:widowControl/>
      </w:pPr>
      <w:r>
        <w:rPr>
          <w:rFonts w:ascii="Times New Roman" w:hAnsi="Times New Roman" w:eastAsia="Times New Roman"/>
          <w:sz w:val="22"/>
        </w:rPr>
        <w:t xml:space="preserve">The radius sensitivity confirmed a precision–recall trade-off. Point containment recovered four of five links with no extras. A 5 km rule recovered all five but added </w:t>
      </w:r>
      <w:r>
        <w:rPr>
          <w:rFonts w:ascii="Times New Roman" w:hAnsi="Times New Roman" w:eastAsia="Times New Roman"/>
          <w:b/>
          <w:sz w:val="22"/>
        </w:rPr>
        <w:t>25 municipalities</w:t>
      </w:r>
      <w:r>
        <w:rPr>
          <w:rFonts w:ascii="Times New Roman" w:hAnsi="Times New Roman" w:eastAsia="Times New Roman"/>
          <w:sz w:val="22"/>
        </w:rPr>
        <w:t xml:space="preserve">, and a 10 km rule added </w:t>
      </w:r>
      <w:r>
        <w:rPr>
          <w:rFonts w:ascii="Times New Roman" w:hAnsi="Times New Roman" w:eastAsia="Times New Roman"/>
          <w:b/>
          <w:sz w:val="22"/>
        </w:rPr>
        <w:t>60</w:t>
      </w:r>
      <w:r>
        <w:rPr>
          <w:rFonts w:ascii="Times New Roman" w:hAnsi="Times New Roman" w:eastAsia="Times New Roman"/>
          <w:sz w:val="22"/>
        </w:rPr>
        <w:t>. Although 99 candidates obtained an observed HESTA ratio under at least one rule, only 39 had complete hotel context under any rule and zero catchments were validated.</w:t>
      </w:r>
    </w:p>
    <w:p>
      <w:pPr>
        <w:pStyle w:val="Heading2"/>
      </w:pPr>
      <w:r>
        <w:rPr>
          <w:rFonts w:ascii="Times New Roman" w:hAnsi="Times New Roman" w:eastAsia="Times New Roman"/>
          <w:sz w:val="22"/>
        </w:rPr>
        <w:t>5. Climate and snow robustness</w:t>
      </w:r>
    </w:p>
    <w:p>
      <w:pPr>
        <w:widowControl/>
      </w:pPr>
      <w:r>
        <w:rPr>
          <w:rFonts w:ascii="Times New Roman" w:hAnsi="Times New Roman" w:eastAsia="Times New Roman"/>
          <w:sz w:val="22"/>
        </w:rPr>
        <w:t xml:space="preserve">The alternative SLF-station test classified 11 of 15 component comparisons as high or moderate and four as low. Median winter-depth correlation was </w:t>
      </w:r>
      <w:r>
        <w:rPr>
          <w:rFonts w:ascii="Times New Roman" w:hAnsi="Times New Roman" w:eastAsia="Times New Roman"/>
          <w:b/>
          <w:sz w:val="22"/>
        </w:rPr>
        <w:t>0.864</w:t>
      </w:r>
      <w:r>
        <w:rPr>
          <w:rFonts w:ascii="Times New Roman" w:hAnsi="Times New Roman" w:eastAsia="Times New Roman"/>
          <w:sz w:val="22"/>
        </w:rPr>
        <w:t xml:space="preserve">, while the median relative absolute depth difference was </w:t>
      </w:r>
      <w:r>
        <w:rPr>
          <w:rFonts w:ascii="Times New Roman" w:hAnsi="Times New Roman" w:eastAsia="Times New Roman"/>
          <w:b/>
          <w:sz w:val="22"/>
        </w:rPr>
        <w:t>47.2%</w:t>
      </w:r>
      <w:r>
        <w:rPr>
          <w:rFonts w:ascii="Times New Roman" w:hAnsi="Times New Roman" w:eastAsia="Times New Roman"/>
          <w:sz w:val="22"/>
        </w:rPr>
        <w:t>. SPASS comparison at station locations was uniformly high or moderate, but resort-centred comparison was low for 8 of 15 components. This pattern identifies station-to-resort location and elevation mismatch as the principal limitation of the snow proxy.</w:t>
      </w:r>
    </w:p>
    <w:p>
      <w:pPr>
        <w:widowControl/>
      </w:pPr>
      <w:r>
        <w:rPr>
          <w:rFonts w:ascii="Times New Roman" w:hAnsi="Times New Roman" w:eastAsia="Times New Roman"/>
          <w:sz w:val="22"/>
        </w:rPr>
        <w:t xml:space="preserve">Weather anomalies were more robust to station choice. All 15 alternative-station comparisons were high or moderate; median temperature- and precipitation-anomaly correlations were </w:t>
      </w:r>
      <w:r>
        <w:rPr>
          <w:rFonts w:ascii="Times New Roman" w:hAnsi="Times New Roman" w:eastAsia="Times New Roman"/>
          <w:b/>
          <w:sz w:val="22"/>
        </w:rPr>
        <w:t>0.967</w:t>
      </w:r>
      <w:r>
        <w:rPr>
          <w:rFonts w:ascii="Times New Roman" w:hAnsi="Times New Roman" w:eastAsia="Times New Roman"/>
          <w:sz w:val="22"/>
        </w:rPr>
        <w:t xml:space="preserve"> and </w:t>
      </w:r>
      <w:r>
        <w:rPr>
          <w:rFonts w:ascii="Times New Roman" w:hAnsi="Times New Roman" w:eastAsia="Times New Roman"/>
          <w:b/>
          <w:sz w:val="22"/>
        </w:rPr>
        <w:t>0.815</w:t>
      </w:r>
      <w:r>
        <w:rPr>
          <w:rFonts w:ascii="Times New Roman" w:hAnsi="Times New Roman" w:eastAsia="Times New Roman"/>
          <w:sz w:val="22"/>
        </w:rPr>
        <w:t xml:space="preserve">. The official 1 km grids produced median correlations of </w:t>
      </w:r>
      <w:r>
        <w:rPr>
          <w:rFonts w:ascii="Times New Roman" w:hAnsi="Times New Roman" w:eastAsia="Times New Roman"/>
          <w:b/>
          <w:sz w:val="22"/>
        </w:rPr>
        <w:t>0.983</w:t>
      </w:r>
      <w:r>
        <w:rPr>
          <w:rFonts w:ascii="Times New Roman" w:hAnsi="Times New Roman" w:eastAsia="Times New Roman"/>
          <w:sz w:val="22"/>
        </w:rPr>
        <w:t xml:space="preserve"> and </w:t>
      </w:r>
      <w:r>
        <w:rPr>
          <w:rFonts w:ascii="Times New Roman" w:hAnsi="Times New Roman" w:eastAsia="Times New Roman"/>
          <w:b/>
          <w:sz w:val="22"/>
        </w:rPr>
        <w:t>0.942</w:t>
      </w:r>
      <w:r>
        <w:rPr>
          <w:rFonts w:ascii="Times New Roman" w:hAnsi="Times New Roman" w:eastAsia="Times New Roman"/>
          <w:sz w:val="22"/>
        </w:rPr>
        <w:t>, although two component comparisons were low. None of these sensitivities converted a climate field into an approved causal covariate.</w:t>
      </w:r>
    </w:p>
    <w:p>
      <w:pPr>
        <w:pStyle w:val="Heading2"/>
      </w:pPr>
      <w:r>
        <w:rPr>
          <w:rFonts w:ascii="Times New Roman" w:hAnsi="Times New Roman" w:eastAsia="Times New Roman"/>
          <w:sz w:val="22"/>
        </w:rPr>
        <w:t>6. Accessibility and transport</w:t>
      </w:r>
    </w:p>
    <w:p>
      <w:pPr>
        <w:widowControl/>
      </w:pPr>
      <w:r>
        <w:rPr>
          <w:rFonts w:ascii="Times New Roman" w:hAnsi="Times New Roman" w:eastAsia="Times New Roman"/>
          <w:sz w:val="22"/>
        </w:rPr>
        <w:t xml:space="preserve">The scheduled GTFS analysis produced </w:t>
      </w:r>
      <w:r>
        <w:rPr>
          <w:rFonts w:ascii="Times New Roman" w:hAnsi="Times New Roman" w:eastAsia="Times New Roman"/>
          <w:b/>
          <w:sz w:val="22"/>
        </w:rPr>
        <w:t>49104 samples</w:t>
      </w:r>
      <w:r>
        <w:rPr>
          <w:rFonts w:ascii="Times New Roman" w:hAnsi="Times New Roman" w:eastAsia="Times New Roman"/>
          <w:sz w:val="22"/>
        </w:rPr>
        <w:t xml:space="preserve">, of which 38504 were feasible under the six-vehicle and eight-hour limits. Across 2046 destination–municipality pairs, 1104 were feasible at every sampled time. Median outbound and return generalized times were </w:t>
      </w:r>
      <w:r>
        <w:rPr>
          <w:rFonts w:ascii="Times New Roman" w:hAnsi="Times New Roman" w:eastAsia="Times New Roman"/>
          <w:b/>
          <w:sz w:val="22"/>
        </w:rPr>
        <w:t>246.3</w:t>
      </w:r>
      <w:r>
        <w:rPr>
          <w:rFonts w:ascii="Times New Roman" w:hAnsi="Times New Roman" w:eastAsia="Times New Roman"/>
          <w:sz w:val="22"/>
        </w:rPr>
        <w:t xml:space="preserve"> and </w:t>
      </w:r>
      <w:r>
        <w:rPr>
          <w:rFonts w:ascii="Times New Roman" w:hAnsi="Times New Roman" w:eastAsia="Times New Roman"/>
          <w:b/>
          <w:sz w:val="22"/>
        </w:rPr>
        <w:t>243.1 minutes</w:t>
      </w:r>
      <w:r>
        <w:rPr>
          <w:rFonts w:ascii="Times New Roman" w:hAnsi="Times New Roman" w:eastAsia="Times New Roman"/>
          <w:sz w:val="22"/>
        </w:rPr>
        <w:t>.</w:t>
      </w:r>
    </w:p>
    <w:p>
      <w:pPr>
        <w:widowControl/>
      </w:pPr>
      <w:r>
        <w:rPr>
          <w:rFonts w:ascii="Times New Roman" w:hAnsi="Times New Roman" w:eastAsia="Times New Roman"/>
          <w:sz w:val="22"/>
        </w:rPr>
        <w:t xml:space="preserve">Ten destinations supported a bidirectional distance/time rank correlation. The median correlation was </w:t>
      </w:r>
      <w:r>
        <w:rPr>
          <w:rFonts w:ascii="Times New Roman" w:hAnsi="Times New Roman" w:eastAsia="Times New Roman"/>
          <w:b/>
          <w:sz w:val="22"/>
        </w:rPr>
        <w:t>0.743</w:t>
      </w:r>
      <w:r>
        <w:rPr>
          <w:rFonts w:ascii="Times New Roman" w:hAnsi="Times New Roman" w:eastAsia="Times New Roman"/>
          <w:sz w:val="22"/>
        </w:rPr>
        <w:t>, ranging from 0.607 to 0.869. At the 0.25 rank-gap threshold, 225 pairs had worse transit access than straight-line distance suggested and 171 had better access. Distance is therefore informative but not interchangeable with scheduled travel time.</w:t>
      </w:r>
    </w:p>
    <w:p>
      <w:pPr>
        <w:pStyle w:val="Heading2"/>
      </w:pPr>
      <w:r>
        <w:rPr>
          <w:rFonts w:ascii="Times New Roman" w:hAnsi="Times New Roman" w:eastAsia="Times New Roman"/>
          <w:sz w:val="22"/>
        </w:rPr>
        <w:t>7. Competition and network context</w:t>
      </w:r>
    </w:p>
    <w:p>
      <w:pPr>
        <w:widowControl/>
      </w:pPr>
      <w:r>
        <w:rPr>
          <w:rFonts w:ascii="Times New Roman" w:hAnsi="Times New Roman" w:eastAsia="Times New Roman"/>
          <w:sz w:val="22"/>
        </w:rPr>
        <w:t xml:space="preserve">The historical multi-area-pass register covered five products over 21 product-seasons. It contained </w:t>
      </w:r>
      <w:r>
        <w:rPr>
          <w:rFonts w:ascii="Times New Roman" w:hAnsi="Times New Roman" w:eastAsia="Times New Roman"/>
          <w:b/>
          <w:sz w:val="22"/>
        </w:rPr>
        <w:t>155 area-season rows</w:t>
      </w:r>
      <w:r>
        <w:rPr>
          <w:rFonts w:ascii="Times New Roman" w:hAnsi="Times New Roman" w:eastAsia="Times New Roman"/>
          <w:sz w:val="22"/>
        </w:rPr>
        <w:t xml:space="preserve"> and </w:t>
      </w:r>
      <w:r>
        <w:rPr>
          <w:rFonts w:ascii="Times New Roman" w:hAnsi="Times New Roman" w:eastAsia="Times New Roman"/>
          <w:b/>
          <w:sz w:val="22"/>
        </w:rPr>
        <w:t>184 positive listing-season links</w:t>
      </w:r>
      <w:r>
        <w:rPr>
          <w:rFonts w:ascii="Times New Roman" w:hAnsi="Times New Roman" w:eastAsia="Times New Roman"/>
          <w:sz w:val="22"/>
        </w:rPr>
        <w:t>, reaching 52 listings and 37 lift clusters. Thirty candidates had at least one documented historical link; 19 had every cluster listing linked in at least one reviewed product-season and 11 were partial mixed-listing clusters. SnowPass remained winter-only, and product-level summer statements were not widened to individual areas.</w:t>
      </w:r>
    </w:p>
    <w:p>
      <w:pPr>
        <w:widowControl/>
      </w:pPr>
      <w:r>
        <w:rPr>
          <w:rFonts w:ascii="Times New Roman" w:hAnsi="Times New Roman" w:eastAsia="Times New Roman"/>
          <w:sz w:val="22"/>
        </w:rPr>
        <w:t>This reconstruction improved positive-presence coverage but did not produce a full historical market panel. Zero non-links were verified as market absence, so historical competition remained descriptive context rather than a treatment, predictor or ranking feature.</w:t>
      </w:r>
    </w:p>
    <w:p>
      <w:pPr>
        <w:pStyle w:val="Heading2"/>
      </w:pPr>
      <w:r>
        <w:rPr>
          <w:rFonts w:ascii="Times New Roman" w:hAnsi="Times New Roman" w:eastAsia="Times New Roman"/>
          <w:sz w:val="22"/>
        </w:rPr>
        <w:t>8. Final decision framework</w:t>
      </w:r>
    </w:p>
    <w:p>
      <w:pPr>
        <w:widowControl/>
      </w:pPr>
      <w:r>
        <w:rPr>
          <w:rFonts w:ascii="Times New Roman" w:hAnsi="Times New Roman" w:eastAsia="Times New Roman"/>
          <w:sz w:val="22"/>
        </w:rPr>
        <w:t xml:space="preserve">Checkpoint 6 assigned 19 evidence groups to seven dimensions. Thirteen groups had complete candidate coverage, two were partial and four had no candidate feature. Only structural similarity was approved for exploratory use. </w:t>
      </w:r>
      <w:r>
        <w:rPr>
          <w:rFonts w:ascii="Times New Roman" w:hAnsi="Times New Roman" w:eastAsia="Times New Roman"/>
          <w:b/>
          <w:sz w:val="22"/>
        </w:rPr>
        <w:t>Zero groups</w:t>
      </w:r>
      <w:r>
        <w:rPr>
          <w:rFonts w:ascii="Times New Roman" w:hAnsi="Times New Roman" w:eastAsia="Times New Roman"/>
          <w:sz w:val="22"/>
        </w:rPr>
        <w:t xml:space="preserve"> were approved as pre-treatment predictors, causal covariates, recommendation inputs or composite-score inputs.</w:t>
      </w:r>
    </w:p>
    <w:p>
      <w:pPr>
        <w:widowControl/>
      </w:pPr>
      <w:r>
        <w:rPr>
          <w:rFonts w:ascii="Times New Roman" w:hAnsi="Times New Roman" w:eastAsia="Times New Roman"/>
          <w:sz w:val="22"/>
        </w:rPr>
        <w:t xml:space="preserve">The final dashboard contains 104 candidate clusters. It produces </w:t>
      </w:r>
      <w:r>
        <w:rPr>
          <w:rFonts w:ascii="Times New Roman" w:hAnsi="Times New Roman" w:eastAsia="Times New Roman"/>
          <w:b/>
          <w:sz w:val="22"/>
        </w:rPr>
        <w:t>0 predicted-uplift values, 0 recommendations, 0 composite scores and 0 causal approvals</w:t>
      </w:r>
      <w:r>
        <w:rPr>
          <w:rFonts w:ascii="Times New Roman" w:hAnsi="Times New Roman" w:eastAsia="Times New Roman"/>
          <w:sz w:val="22"/>
        </w:rPr>
        <w:t>. No candidate meets the complete Opportunity × Strategic Need gate. The empirical result is therefore a qualified multidimensional evidence system, not a ranked expansion recommendation.</w:t>
      </w:r>
    </w:p>
    <w:p>
      <w:pPr>
        <w:pStyle w:val="Heading2"/>
      </w:pPr>
      <w:r>
        <w:rPr>
          <w:rFonts w:ascii="Times New Roman" w:hAnsi="Times New Roman" w:eastAsia="Times New Roman"/>
          <w:sz w:val="22"/>
        </w:rPr>
        <w:t>Visual summary of evidence coverage</w:t>
      </w:r>
    </w:p>
    <w:p>
      <w:pPr>
        <w:keepNext/>
        <w:jc w:val="center"/>
      </w:pPr>
      <w:r>
        <w:drawing>
          <wp:inline xmlns:a="http://schemas.openxmlformats.org/drawingml/2006/main" xmlns:pic="http://schemas.openxmlformats.org/drawingml/2006/picture">
            <wp:extent cx="5623560" cy="3228340"/>
            <wp:docPr id="1" name="Picture 1"/>
            <wp:cNvGraphicFramePr>
              <a:graphicFrameLocks noChangeAspect="1"/>
            </wp:cNvGraphicFramePr>
            <a:graphic>
              <a:graphicData uri="http://schemas.openxmlformats.org/drawingml/2006/picture">
                <pic:pic>
                  <pic:nvPicPr>
                    <pic:cNvPr id="0" name="path_c_evidence_coverage.png"/>
                    <pic:cNvPicPr/>
                  </pic:nvPicPr>
                  <pic:blipFill>
                    <a:blip r:embed="rId10"/>
                    <a:stretch>
                      <a:fillRect/>
                    </a:stretch>
                  </pic:blipFill>
                  <pic:spPr>
                    <a:xfrm>
                      <a:off x="0" y="0"/>
                      <a:ext cx="5623560" cy="3228340"/>
                    </a:xfrm>
                    <a:prstGeom prst="rect"/>
                  </pic:spPr>
                </pic:pic>
              </a:graphicData>
            </a:graphic>
          </wp:inline>
        </w:drawing>
      </w:r>
    </w:p>
    <w:p>
      <w:pPr>
        <w:spacing w:after="180"/>
        <w:jc w:val="center"/>
      </w:pPr>
      <w:r>
        <w:rPr>
          <w:rFonts w:ascii="Times New Roman" w:hAnsi="Times New Roman" w:eastAsia="Times New Roman"/>
          <w:i/>
          <w:sz w:val="19"/>
        </w:rPr>
        <w:t>Path C evidence coverage</w:t>
      </w:r>
    </w:p>
    <w:p>
      <w:pPr>
        <w:pStyle w:val="Heading2"/>
      </w:pPr>
      <w:r>
        <w:rPr>
          <w:rFonts w:ascii="Times New Roman" w:hAnsi="Times New Roman" w:eastAsia="Times New Roman"/>
          <w:sz w:val="22"/>
        </w:rPr>
        <w:t>Structural segments</w:t>
      </w:r>
    </w:p>
    <w:p>
      <w:pPr>
        <w:keepNext/>
        <w:jc w:val="center"/>
      </w:pPr>
      <w:r>
        <w:drawing>
          <wp:inline xmlns:a="http://schemas.openxmlformats.org/drawingml/2006/main" xmlns:pic="http://schemas.openxmlformats.org/drawingml/2006/picture">
            <wp:extent cx="5623560" cy="3789790"/>
            <wp:docPr id="2" name="Picture 2"/>
            <wp:cNvGraphicFramePr>
              <a:graphicFrameLocks noChangeAspect="1"/>
            </wp:cNvGraphicFramePr>
            <a:graphic>
              <a:graphicData uri="http://schemas.openxmlformats.org/drawingml/2006/picture">
                <pic:pic>
                  <pic:nvPicPr>
                    <pic:cNvPr id="0" name="path_c_structural_segments.png"/>
                    <pic:cNvPicPr/>
                  </pic:nvPicPr>
                  <pic:blipFill>
                    <a:blip r:embed="rId11"/>
                    <a:stretch>
                      <a:fillRect/>
                    </a:stretch>
                  </pic:blipFill>
                  <pic:spPr>
                    <a:xfrm>
                      <a:off x="0" y="0"/>
                      <a:ext cx="5623560" cy="3789790"/>
                    </a:xfrm>
                    <a:prstGeom prst="rect"/>
                  </pic:spPr>
                </pic:pic>
              </a:graphicData>
            </a:graphic>
          </wp:inline>
        </w:drawing>
      </w:r>
    </w:p>
    <w:p>
      <w:pPr>
        <w:spacing w:after="180"/>
        <w:jc w:val="center"/>
      </w:pPr>
      <w:r>
        <w:rPr>
          <w:rFonts w:ascii="Times New Roman" w:hAnsi="Times New Roman" w:eastAsia="Times New Roman"/>
          <w:i/>
          <w:sz w:val="19"/>
        </w:rPr>
        <w:t>Path C structural segments</w:t>
      </w:r>
    </w:p>
    <w:p>
      <w:pPr>
        <w:pStyle w:val="Heading2"/>
      </w:pPr>
      <w:r>
        <w:rPr>
          <w:rFonts w:ascii="Times New Roman" w:hAnsi="Times New Roman" w:eastAsia="Times New Roman"/>
          <w:sz w:val="22"/>
        </w:rPr>
        <w:t>Opportunity and snow dimensions kept separate</w:t>
      </w:r>
    </w:p>
    <w:p>
      <w:pPr>
        <w:keepNext/>
        <w:jc w:val="center"/>
      </w:pPr>
      <w:r>
        <w:drawing>
          <wp:inline xmlns:a="http://schemas.openxmlformats.org/drawingml/2006/main" xmlns:pic="http://schemas.openxmlformats.org/drawingml/2006/picture">
            <wp:extent cx="5623560" cy="4686300"/>
            <wp:docPr id="3" name="Picture 3"/>
            <wp:cNvGraphicFramePr>
              <a:graphicFrameLocks noChangeAspect="1"/>
            </wp:cNvGraphicFramePr>
            <a:graphic>
              <a:graphicData uri="http://schemas.openxmlformats.org/drawingml/2006/picture">
                <pic:pic>
                  <pic:nvPicPr>
                    <pic:cNvPr id="0" name="path_c_opportunity_snow_matrix.png"/>
                    <pic:cNvPicPr/>
                  </pic:nvPicPr>
                  <pic:blipFill>
                    <a:blip r:embed="rId12"/>
                    <a:stretch>
                      <a:fillRect/>
                    </a:stretch>
                  </pic:blipFill>
                  <pic:spPr>
                    <a:xfrm>
                      <a:off x="0" y="0"/>
                      <a:ext cx="5623560" cy="4686300"/>
                    </a:xfrm>
                    <a:prstGeom prst="rect"/>
                  </pic:spPr>
                </pic:pic>
              </a:graphicData>
            </a:graphic>
          </wp:inline>
        </w:drawing>
      </w:r>
    </w:p>
    <w:p>
      <w:pPr>
        <w:spacing w:after="180"/>
        <w:jc w:val="center"/>
      </w:pPr>
      <w:r>
        <w:rPr>
          <w:rFonts w:ascii="Times New Roman" w:hAnsi="Times New Roman" w:eastAsia="Times New Roman"/>
          <w:i/>
          <w:sz w:val="19"/>
        </w:rPr>
        <w:t>Path C opportunity and snow matrix</w:t>
      </w:r>
    </w:p>
    <w:p>
      <w:pPr>
        <w:pStyle w:val="Heading1"/>
      </w:pPr>
      <w:r>
        <w:rPr>
          <w:rFonts w:ascii="Times New Roman" w:hAnsi="Times New Roman" w:eastAsia="Times New Roman"/>
          <w:sz w:val="22"/>
        </w:rPr>
        <w:t>4. Discussion and limitations</w:t>
      </w:r>
    </w:p>
    <w:p>
      <w:pPr>
        <w:ind w:left="397" w:right="397"/>
      </w:pPr>
      <w:r>
        <w:rPr>
          <w:rFonts w:ascii="Times New Roman" w:hAnsi="Times New Roman" w:eastAsia="Times New Roman"/>
          <w:i/>
          <w:sz w:val="22"/>
        </w:rPr>
        <w:t>Draft generated from the validated Path C v0.31 outputs. It interprets the research design and findings without converting descriptive evidence into causal or managerial certainty.</w:t>
      </w:r>
    </w:p>
    <w:p>
      <w:pPr>
        <w:pStyle w:val="Heading2"/>
      </w:pPr>
      <w:r>
        <w:rPr>
          <w:rFonts w:ascii="Times New Roman" w:hAnsi="Times New Roman" w:eastAsia="Times New Roman"/>
          <w:sz w:val="22"/>
        </w:rPr>
        <w:t>1. Main interpretation</w:t>
      </w:r>
    </w:p>
    <w:p>
      <w:pPr>
        <w:widowControl/>
      </w:pPr>
      <w:r>
        <w:rPr>
          <w:rFonts w:ascii="Times New Roman" w:hAnsi="Times New Roman" w:eastAsia="Times New Roman"/>
          <w:sz w:val="22"/>
        </w:rPr>
        <w:t>The project demonstrates that the available Swiss ski-destination data are rich enough to support a reproducible, multidimensional descriptive decision system, but not a credible estimate of the causal effect of Magic Pass participation. This distinction is the central finding. The absence of a causal estimate is not a computational failure: it follows from explicit evidence gates that exposed unresolved treatment intensity, destination scope, donor contamination, local shocks, spillovers and insufficient effective sample size.</w:t>
      </w:r>
    </w:p>
    <w:p>
      <w:pPr>
        <w:widowControl/>
      </w:pPr>
      <w:r>
        <w:rPr>
          <w:rFonts w:ascii="Times New Roman" w:hAnsi="Times New Roman" w:eastAsia="Times New Roman"/>
          <w:sz w:val="22"/>
        </w:rPr>
        <w:t>Path C preserves analytical usefulness after that rejection. Structural segmentation, analogue distance, snow vulnerability, tourism context, accessibility and competition can inform structured investigation when kept separate. The architecture is particularly useful for identifying where evidence is strong, where a candidate is an extrapolation and which additional information would be required before a strategic decision. It is not suitable for estimating expected overnight-stay gains or ranking destinations for admission.</w:t>
      </w:r>
    </w:p>
    <w:p>
      <w:pPr>
        <w:pStyle w:val="Heading2"/>
      </w:pPr>
      <w:r>
        <w:rPr>
          <w:rFonts w:ascii="Times New Roman" w:hAnsi="Times New Roman" w:eastAsia="Times New Roman"/>
          <w:sz w:val="22"/>
        </w:rPr>
        <w:t>2. Implications for causal inference and machine learning</w:t>
      </w:r>
    </w:p>
    <w:p>
      <w:pPr>
        <w:widowControl/>
      </w:pPr>
      <w:r>
        <w:rPr>
          <w:rFonts w:ascii="Times New Roman" w:hAnsi="Times New Roman" w:eastAsia="Times New Roman"/>
          <w:sz w:val="22"/>
        </w:rPr>
        <w:t>The donor audit illustrates why a superficially adequate panel can still be unsuitable for causal inference. Seven treatments had sufficient continuity and 24/24 outcome coverage, and 315 pairs passed the descriptive pre-trend data screen. Yet 28 of the 35 shortlisted pairs were within 50 km of another resolved Magic Pass point, and all seven remote pairs had contemporaneous donor-specific shocks. Promoting one of these pairs would have replaced an explicit identification failure with an untestable assumption.</w:t>
      </w:r>
    </w:p>
    <w:p>
      <w:pPr>
        <w:widowControl/>
      </w:pPr>
      <w:r>
        <w:rPr>
          <w:rFonts w:ascii="Times New Roman" w:hAnsi="Times New Roman" w:eastAsia="Times New Roman"/>
          <w:sz w:val="22"/>
        </w:rPr>
        <w:t>The same logic applies to causal machine learning. Causal forests are developed under explicit causal assumptions including unconfoundedness (Wager and Athey, 2018), while meta-learners organise flexible supervised models around a conditional treatment-effect target rather than identifying that target automatically (Künzel et al., 2019). Neither can compensate for an invalid treatment/control design, and 14 reviewed destinations are not an adequate effective sample for stable heterogeneous-effect estimation. Rejecting complex models therefore improves scientific credibility. The contribution shifts from algorithmic novelty to disciplined integration, scope control and uncertainty communication.</w:t>
      </w:r>
    </w:p>
    <w:p>
      <w:pPr>
        <w:pStyle w:val="Heading2"/>
      </w:pPr>
      <w:r>
        <w:rPr>
          <w:rFonts w:ascii="Times New Roman" w:hAnsi="Times New Roman" w:eastAsia="Times New Roman"/>
          <w:sz w:val="22"/>
        </w:rPr>
        <w:t>3. Managerial usefulness of Path C</w:t>
      </w:r>
    </w:p>
    <w:p>
      <w:pPr>
        <w:widowControl/>
      </w:pPr>
      <w:r>
        <w:rPr>
          <w:rFonts w:ascii="Times New Roman" w:hAnsi="Times New Roman" w:eastAsia="Times New Roman"/>
          <w:sz w:val="22"/>
        </w:rPr>
        <w:t>The dashboard can support a staged managerial conversation. Structural comparability identifies whether a candidate resembles existing Magic Pass clusters. The treated-reference support flag shows whether analogue interpretation is interpolation or extrapolation. Snow, access, tourism and competition layers identify distinct strategic considerations. The evidence-gap dimension prevents an attractive structural profile from being mistaken for a complete business case.</w:t>
      </w:r>
    </w:p>
    <w:p>
      <w:pPr>
        <w:widowControl/>
      </w:pPr>
      <w:r>
        <w:rPr>
          <w:rFonts w:ascii="Times New Roman" w:hAnsi="Times New Roman" w:eastAsia="Times New Roman"/>
          <w:sz w:val="22"/>
        </w:rPr>
        <w:t>However, candidate rows must remain examples for due diligence rather than recommendations. Only 11 of 104 candidates were stable across every aggregation check, 25 were strong extrapolations and only 39 had complete hotel context under any tested scope rule. A single weighted score would conceal these non-equivalent uncertainties and imply value judgements not established by the data.</w:t>
      </w:r>
    </w:p>
    <w:p>
      <w:pPr>
        <w:pStyle w:val="Heading2"/>
      </w:pPr>
      <w:r>
        <w:rPr>
          <w:rFonts w:ascii="Times New Roman" w:hAnsi="Times New Roman" w:eastAsia="Times New Roman"/>
          <w:sz w:val="22"/>
        </w:rPr>
        <w:t>4. Measurement and scope limitations</w:t>
      </w:r>
    </w:p>
    <w:p>
      <w:pPr>
        <w:pStyle w:val="Heading3"/>
      </w:pPr>
      <w:r>
        <w:rPr>
          <w:rFonts w:ascii="Times New Roman" w:hAnsi="Times New Roman" w:eastAsia="Times New Roman"/>
          <w:sz w:val="22"/>
        </w:rPr>
        <w:t>4.1 Resort and destination entities</w:t>
      </w:r>
    </w:p>
    <w:p>
      <w:pPr>
        <w:widowControl/>
      </w:pPr>
      <w:r>
        <w:rPr>
          <w:rFonts w:ascii="Times New Roman" w:hAnsi="Times New Roman" w:eastAsia="Times New Roman"/>
          <w:sz w:val="22"/>
        </w:rPr>
        <w:t>The supplied directory is a listing system rather than a certified inventory of independent commercial ski domains. The preserved lift clusters reduce duplication but do not solve ownership, joint-ticketing or destination-boundary questions. Fifty-three linked clusters contain multiple listings, and within-cluster structural aggregation changes many analogue results. Destination-level conclusions should therefore be phrased in terms of the reviewed units or preserved clusters used by the analysis.</w:t>
      </w:r>
    </w:p>
    <w:p>
      <w:pPr>
        <w:pStyle w:val="Heading3"/>
      </w:pPr>
      <w:r>
        <w:rPr>
          <w:rFonts w:ascii="Times New Roman" w:hAnsi="Times New Roman" w:eastAsia="Times New Roman"/>
          <w:sz w:val="22"/>
        </w:rPr>
        <w:t>4.2 Hotel-outcome geography</w:t>
      </w:r>
    </w:p>
    <w:p>
      <w:pPr>
        <w:widowControl/>
      </w:pPr>
      <w:r>
        <w:rPr>
          <w:rFonts w:ascii="Times New Roman" w:hAnsi="Times New Roman" w:eastAsia="Times New Roman"/>
          <w:sz w:val="22"/>
        </w:rPr>
        <w:t>Municipality hotel data do not automatically represent a ski destination's visitor catchment. Seven reviewed outcome scopes are core-municipality proxies, and the radius experiment shows that improving recall rapidly adds unrelated municipalities. Five kilometres recovered the one omitted reviewed link but added 25 others. Candidate tourism dependence must remain qualified point-container or radius-sensitivity context until external destination scopes are available.</w:t>
      </w:r>
    </w:p>
    <w:p>
      <w:pPr>
        <w:pStyle w:val="Heading3"/>
      </w:pPr>
      <w:r>
        <w:rPr>
          <w:rFonts w:ascii="Times New Roman" w:hAnsi="Times New Roman" w:eastAsia="Times New Roman"/>
          <w:sz w:val="22"/>
        </w:rPr>
        <w:t>4.3 Treatment definition and intensity</w:t>
      </w:r>
    </w:p>
    <w:p>
      <w:pPr>
        <w:widowControl/>
      </w:pPr>
      <w:r>
        <w:rPr>
          <w:rFonts w:ascii="Times New Roman" w:hAnsi="Times New Roman" w:eastAsia="Times New Roman"/>
          <w:sz w:val="22"/>
        </w:rPr>
        <w:t>Official publications support membership timing and continuity for the reviewed units, but treatment is not homogeneous. Winter-only and winter-plus-summer access differ, as do prices, supplements, product rules, local marketing and capacity responses. Entry is known mainly by season rather than exact activation date. The design therefore cannot assume a single binary treatment with constant intensity.</w:t>
      </w:r>
    </w:p>
    <w:p>
      <w:pPr>
        <w:pStyle w:val="Heading3"/>
      </w:pPr>
      <w:r>
        <w:rPr>
          <w:rFonts w:ascii="Times New Roman" w:hAnsi="Times New Roman" w:eastAsia="Times New Roman"/>
          <w:sz w:val="22"/>
        </w:rPr>
        <w:t>4.4 Donors, interference and common shocks</w:t>
      </w:r>
    </w:p>
    <w:p>
      <w:pPr>
        <w:widowControl/>
      </w:pPr>
      <w:r>
        <w:rPr>
          <w:rFonts w:ascii="Times New Roman" w:hAnsi="Times New Roman" w:eastAsia="Times New Roman"/>
          <w:sz w:val="22"/>
        </w:rPr>
        <w:t>Ski destinations operate in connected regional markets. Nearby resorts may experience diversion, complementarity or shared marketing effects, violating no-interference assumptions. Remote destinations are not automatically credible controls: every remote shortlisted donor had a documented concurrent shock. The COVID sensitivity interval, weather, capacity changes, infrastructure investment and flexible pricing further complicate parallel-trend claims.</w:t>
      </w:r>
    </w:p>
    <w:p>
      <w:pPr>
        <w:pStyle w:val="Heading3"/>
      </w:pPr>
      <w:r>
        <w:rPr>
          <w:rFonts w:ascii="Times New Roman" w:hAnsi="Times New Roman" w:eastAsia="Times New Roman"/>
          <w:sz w:val="22"/>
        </w:rPr>
        <w:t>4.5 Climate and snow proxies</w:t>
      </w:r>
    </w:p>
    <w:p>
      <w:pPr>
        <w:widowControl/>
      </w:pPr>
      <w:r>
        <w:rPr>
          <w:rFonts w:ascii="Times New Roman" w:hAnsi="Times New Roman" w:eastAsia="Times New Roman"/>
          <w:sz w:val="22"/>
        </w:rPr>
        <w:t>SLF stations are external point measurements and can differ materially from resort elevations. The resort-centred SPASS comparison was low for 8 of 15 components, even though station-location agreement was much stronger. SPASS and SLF are also not independent because the gridded product is modelled and quantile-mapped to an SLF snow target. SwissMetNet and official weather grids describe regional conditions rather than piste microclimates, snowmaking or operational decisions. Climate fields are appropriate for qualified vulnerability context, not causal adjustment without further design work.</w:t>
      </w:r>
    </w:p>
    <w:p>
      <w:pPr>
        <w:pStyle w:val="Heading3"/>
      </w:pPr>
      <w:r>
        <w:rPr>
          <w:rFonts w:ascii="Times New Roman" w:hAnsi="Times New Roman" w:eastAsia="Times New Roman"/>
          <w:sz w:val="22"/>
        </w:rPr>
        <w:t>4.6 Accessibility</w:t>
      </w:r>
    </w:p>
    <w:p>
      <w:pPr>
        <w:widowControl/>
      </w:pPr>
      <w:r>
        <w:rPr>
          <w:rFonts w:ascii="Times New Roman" w:hAnsi="Times New Roman" w:eastAsia="Times New Roman"/>
          <w:sz w:val="22"/>
        </w:rPr>
        <w:t>The GTFS analysis improves on straight-line distance by using departure-time-specific scheduled journeys, but it represents one weekday and one Saturday in winter 2026. It does not measure historical service at treatment entry, real-time reliability, fares, crowding, car access, hotel location or final walking time. Six destination nodes are village/local-centre proxies. The median distance/time rank correlation of 0.743 confirms that distance is informative, while the 225 materially worse-transit pairs show why it is insufficient.</w:t>
      </w:r>
    </w:p>
    <w:p>
      <w:pPr>
        <w:pStyle w:val="Heading3"/>
      </w:pPr>
      <w:r>
        <w:rPr>
          <w:rFonts w:ascii="Times New Roman" w:hAnsi="Times New Roman" w:eastAsia="Times New Roman"/>
          <w:sz w:val="22"/>
        </w:rPr>
        <w:t>4.7 Competing passes</w:t>
      </w:r>
    </w:p>
    <w:p>
      <w:pPr>
        <w:widowControl/>
      </w:pPr>
      <w:r>
        <w:rPr>
          <w:rFonts w:ascii="Times New Roman" w:hAnsi="Times New Roman" w:eastAsia="Times New Roman"/>
          <w:sz w:val="22"/>
        </w:rPr>
        <w:t>The historical register records positive presence, not a complete market census. Evidence scope varies by product and season, benefit tiers are not equivalent, and detailed small-lift boundaries remain incomplete. A candidate without a documented link cannot be called historically unserved by multi-area passes. Competition variables therefore remain contextual and cannot establish treatment contrast or market whitespace.</w:t>
      </w:r>
    </w:p>
    <w:p>
      <w:pPr>
        <w:pStyle w:val="Heading3"/>
      </w:pPr>
      <w:r>
        <w:rPr>
          <w:rFonts w:ascii="Times New Roman" w:hAnsi="Times New Roman" w:eastAsia="Times New Roman"/>
          <w:sz w:val="22"/>
        </w:rPr>
        <w:t>4.8 Temporal leakage and transportability</w:t>
      </w:r>
    </w:p>
    <w:p>
      <w:pPr>
        <w:widowControl/>
      </w:pPr>
      <w:r>
        <w:rPr>
          <w:rFonts w:ascii="Times New Roman" w:hAnsi="Times New Roman" w:eastAsia="Times New Roman"/>
          <w:sz w:val="22"/>
        </w:rPr>
        <w:t>Most candidate-side structural, accessibility, tourism and network layers are current or undated snapshots. They may encode post-treatment investment or market evolution and are not approved as pre-treatment predictors. The eight reviewed treated analogue references are too few to establish that structural proximity transports hotel-demand responses. The analogue signal must remain an unadjusted descriptive comparison.</w:t>
      </w:r>
    </w:p>
    <w:p>
      <w:pPr>
        <w:pStyle w:val="Heading2"/>
      </w:pPr>
      <w:r>
        <w:rPr>
          <w:rFonts w:ascii="Times New Roman" w:hAnsi="Times New Roman" w:eastAsia="Times New Roman"/>
          <w:sz w:val="22"/>
        </w:rPr>
        <w:t>5. Strengths</w:t>
      </w:r>
    </w:p>
    <w:p>
      <w:pPr>
        <w:widowControl/>
      </w:pPr>
      <w:r>
        <w:rPr>
          <w:rFonts w:ascii="Times New Roman" w:hAnsi="Times New Roman" w:eastAsia="Times New Roman"/>
          <w:sz w:val="22"/>
        </w:rPr>
        <w:t>The study nevertheless has several strengths. It preserves raw sources and stable identifiers, separates resort assignment from municipality exposure mapping, uses explicit positive-evidence rules, records source checksums and provenance, and encodes analytical permissions as executable flags. Sensitivity tests expose dependence on station choice, grid location, within-cluster aggregation, geographic distance rule and candidate municipality scope. Negative results and failed collection attempts remain documented rather than silently removed.</w:t>
      </w:r>
    </w:p>
    <w:p>
      <w:pPr>
        <w:widowControl/>
      </w:pPr>
      <w:r>
        <w:rPr>
          <w:rFonts w:ascii="Times New Roman" w:hAnsi="Times New Roman" w:eastAsia="Times New Roman"/>
          <w:sz w:val="22"/>
        </w:rPr>
        <w:t>The seven-dimension architecture is also a substantive Business Analytics contribution. It prevents structural attractiveness, vulnerability, accessibility and data quality from collapsing into one opaque score. The resulting system is auditable and communicates why a candidate cannot yet receive a defensible recommendation.</w:t>
      </w:r>
    </w:p>
    <w:p>
      <w:pPr>
        <w:pStyle w:val="Heading2"/>
      </w:pPr>
      <w:r>
        <w:rPr>
          <w:rFonts w:ascii="Times New Roman" w:hAnsi="Times New Roman" w:eastAsia="Times New Roman"/>
          <w:sz w:val="22"/>
        </w:rPr>
        <w:t>6. Prioritised future research</w:t>
      </w:r>
    </w:p>
    <w:p>
      <w:pPr>
        <w:widowControl/>
      </w:pPr>
      <w:r>
        <w:rPr>
          <w:rFonts w:ascii="Times New Roman" w:hAnsi="Times New Roman" w:eastAsia="Times New Roman"/>
          <w:sz w:val="22"/>
        </w:rPr>
        <w:t>Future work should follow the identification bottlenecks rather than add marginal variables indiscriminately:</w:t>
      </w:r>
    </w:p>
    <w:p>
      <w:pPr>
        <w:ind w:left="397" w:hanging="255"/>
      </w:pPr>
      <w:r>
        <w:rPr>
          <w:rFonts w:ascii="Times New Roman" w:hAnsi="Times New Roman" w:eastAsia="Times New Roman"/>
          <w:sz w:val="22"/>
        </w:rPr>
        <w:t xml:space="preserve">1.  </w:t>
      </w:r>
      <w:r>
        <w:rPr>
          <w:rFonts w:ascii="Times New Roman" w:hAnsi="Times New Roman" w:eastAsia="Times New Roman"/>
          <w:sz w:val="22"/>
        </w:rPr>
        <w:t>define destination exposure using externally validated tourism scopes and treatment intensity;</w:t>
      </w:r>
    </w:p>
    <w:p>
      <w:pPr>
        <w:ind w:left="397" w:hanging="255"/>
      </w:pPr>
      <w:r>
        <w:rPr>
          <w:rFonts w:ascii="Times New Roman" w:hAnsi="Times New Roman" w:eastAsia="Times New Roman"/>
          <w:sz w:val="22"/>
        </w:rPr>
        <w:t xml:space="preserve">2.  </w:t>
      </w:r>
      <w:r>
        <w:rPr>
          <w:rFonts w:ascii="Times New Roman" w:hAnsi="Times New Roman" w:eastAsia="Times New Roman"/>
          <w:sz w:val="22"/>
        </w:rPr>
        <w:t>redesign the donor strategy, potentially expanding beyond the supplied ski-resort municipality universe while retaining interference and shock audits;</w:t>
      </w:r>
    </w:p>
    <w:p>
      <w:pPr>
        <w:ind w:left="397" w:hanging="255"/>
      </w:pPr>
      <w:r>
        <w:rPr>
          <w:rFonts w:ascii="Times New Roman" w:hAnsi="Times New Roman" w:eastAsia="Times New Roman"/>
          <w:sz w:val="22"/>
        </w:rPr>
        <w:t xml:space="preserve">3.  </w:t>
      </w:r>
      <w:r>
        <w:rPr>
          <w:rFonts w:ascii="Times New Roman" w:hAnsi="Times New Roman" w:eastAsia="Times New Roman"/>
          <w:sz w:val="22"/>
        </w:rPr>
        <w:t>obtain historical transport and infrastructure measures only if they are needed as pre-treatment variables;</w:t>
      </w:r>
    </w:p>
    <w:p>
      <w:pPr>
        <w:ind w:left="397" w:hanging="255"/>
      </w:pPr>
      <w:r>
        <w:rPr>
          <w:rFonts w:ascii="Times New Roman" w:hAnsi="Times New Roman" w:eastAsia="Times New Roman"/>
          <w:sz w:val="22"/>
        </w:rPr>
        <w:t xml:space="preserve">4.  </w:t>
      </w:r>
      <w:r>
        <w:rPr>
          <w:rFonts w:ascii="Times New Roman" w:hAnsi="Times New Roman" w:eastAsia="Times New Roman"/>
          <w:sz w:val="22"/>
        </w:rPr>
        <w:t>collect operational snowmaking, investment and lift-capacity histories if climate adaptation is part of the causal question;</w:t>
      </w:r>
    </w:p>
    <w:p>
      <w:pPr>
        <w:ind w:left="397" w:hanging="255"/>
      </w:pPr>
      <w:r>
        <w:rPr>
          <w:rFonts w:ascii="Times New Roman" w:hAnsi="Times New Roman" w:eastAsia="Times New Roman"/>
          <w:sz w:val="22"/>
        </w:rPr>
        <w:t xml:space="preserve">5.  </w:t>
      </w:r>
      <w:r>
        <w:rPr>
          <w:rFonts w:ascii="Times New Roman" w:hAnsi="Times New Roman" w:eastAsia="Times New Roman"/>
          <w:sz w:val="22"/>
        </w:rPr>
        <w:t>expand the number of credibly treated destination units before reconsidering heterogeneous-effect models;</w:t>
      </w:r>
    </w:p>
    <w:p>
      <w:pPr>
        <w:ind w:left="397" w:hanging="255"/>
      </w:pPr>
      <w:r>
        <w:rPr>
          <w:rFonts w:ascii="Times New Roman" w:hAnsi="Times New Roman" w:eastAsia="Times New Roman"/>
          <w:sz w:val="22"/>
        </w:rPr>
        <w:t xml:space="preserve">6.  </w:t>
      </w:r>
      <w:r>
        <w:rPr>
          <w:rFonts w:ascii="Times New Roman" w:hAnsi="Times New Roman" w:eastAsia="Times New Roman"/>
          <w:sz w:val="22"/>
        </w:rPr>
        <w:t>validate decision weights with Magic Pass stakeholders before any composite business score is introduced.</w:t>
      </w:r>
    </w:p>
    <w:p>
      <w:pPr>
        <w:widowControl/>
      </w:pPr>
      <w:r>
        <w:rPr>
          <w:rFonts w:ascii="Times New Roman" w:hAnsi="Times New Roman" w:eastAsia="Times New Roman"/>
          <w:sz w:val="22"/>
        </w:rPr>
        <w:t>Detailed historical SnowPass schedules, additional regional-pass rosters and walking-access refinements are secondary unless a specific claim depends on them. They should not displace the higher-priority treatment, scope and donor problems.</w:t>
      </w:r>
    </w:p>
    <w:p>
      <w:pPr>
        <w:pStyle w:val="Heading2"/>
      </w:pPr>
      <w:r>
        <w:rPr>
          <w:rFonts w:ascii="Times New Roman" w:hAnsi="Times New Roman" w:eastAsia="Times New Roman"/>
          <w:sz w:val="22"/>
        </w:rPr>
        <w:t>7. Conclusion</w:t>
      </w:r>
    </w:p>
    <w:p>
      <w:pPr>
        <w:widowControl/>
      </w:pPr>
      <w:r>
        <w:rPr>
          <w:rFonts w:ascii="Times New Roman" w:hAnsi="Times New Roman" w:eastAsia="Times New Roman"/>
          <w:sz w:val="22"/>
        </w:rPr>
        <w:t xml:space="preserve">Under the available design, the project should be described as </w:t>
      </w:r>
      <w:r>
        <w:rPr>
          <w:rFonts w:ascii="Times New Roman" w:hAnsi="Times New Roman" w:eastAsia="Times New Roman"/>
          <w:b/>
          <w:sz w:val="22"/>
        </w:rPr>
        <w:t>exploratory and decision-support oriented</w:t>
      </w:r>
      <w:r>
        <w:rPr>
          <w:rFonts w:ascii="Times New Roman" w:hAnsi="Times New Roman" w:eastAsia="Times New Roman"/>
          <w:sz w:val="22"/>
        </w:rPr>
        <w:t>, not causal or predictive. The evidence supports structured comparison of 104 apparent candidates and transparent reporting of opportunity, vulnerability and uncertainty. It does not support expected-uplift estimates, a causal interpretation, or a ranked recommendation list. That boundary is a core result of the thesis rather than a caveat appended after modelling.</w:t>
      </w:r>
    </w:p>
    <w:p>
      <w:pPr>
        <w:pStyle w:val="Heading1"/>
      </w:pPr>
      <w:r>
        <w:rPr>
          <w:rFonts w:ascii="Times New Roman" w:hAnsi="Times New Roman" w:eastAsia="Times New Roman"/>
          <w:sz w:val="22"/>
        </w:rPr>
        <w:t>5. Detailed answers to the 18 mission questions</w:t>
      </w:r>
    </w:p>
    <w:p>
      <w:pPr>
        <w:widowControl/>
      </w:pPr>
      <w:r>
        <w:rPr>
          <w:rFonts w:ascii="Times New Roman" w:hAnsi="Times New Roman" w:eastAsia="Times New Roman"/>
          <w:sz w:val="22"/>
        </w:rPr>
        <w:t>The following answers reproduce the validated methodological conclusions in full. The evidence trail identifies the internal report or processed artifact supporting each answer. These links document project lineage; they are not substitutes for the final academic bibliography.</w:t>
      </w:r>
    </w:p>
    <w:p>
      <w:pPr>
        <w:pStyle w:val="Heading2"/>
      </w:pPr>
      <w:r>
        <w:rPr>
          <w:rFonts w:ascii="Times New Roman" w:hAnsi="Times New Roman" w:eastAsia="Times New Roman"/>
          <w:sz w:val="22"/>
        </w:rPr>
        <w:t>5.1. How many ski resorts are available?</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271 directory listings; not 271 independent resorts.</w:t>
      </w:r>
    </w:p>
    <w:p>
      <w:pPr>
        <w:widowControl/>
      </w:pPr>
      <w:r>
        <w:rPr>
          <w:rFonts w:ascii="Times New Roman" w:hAnsi="Times New Roman" w:eastAsia="Times New Roman"/>
          <w:sz w:val="22"/>
        </w:rPr>
        <w:t>The supplied directory contains 271 listings. The preserved lift layer contains 242 clusters, of which 162 link to at least one listing. Because 53 linked clusters contain multiple listings and commercial-domain boundaries are not certified, no single independent-resort count is claimed.</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reports/01_DATA_AUDIT.md</w:t>
      </w:r>
      <w:r>
        <w:rPr>
          <w:rFonts w:ascii="Times New Roman" w:hAnsi="Times New Roman" w:eastAsia="Times New Roman"/>
          <w:sz w:val="22"/>
        </w:rPr>
        <w:t xml:space="preserve">, </w:t>
      </w:r>
      <w:r>
        <w:rPr>
          <w:rFonts w:ascii="Times New Roman" w:hAnsi="Times New Roman" w:eastAsia="Times New Roman"/>
          <w:sz w:val="21"/>
          <w:u w:val="single"/>
        </w:rPr>
        <w:t>reports/EXISTING_CLUSTER_AUDIT.md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Is the distinction between listings, lift clusters and independent commercial destinations sufficiently clear?</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5.2. How many are Magic Pass members?</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95 official current destinations; 69 conservatively linked directory listings.</w:t>
      </w:r>
    </w:p>
    <w:p>
      <w:pPr>
        <w:widowControl/>
      </w:pPr>
      <w:r>
        <w:rPr>
          <w:rFonts w:ascii="Times New Roman" w:hAnsi="Times New Roman" w:eastAsia="Times New Roman"/>
          <w:sz w:val="22"/>
        </w:rPr>
        <w:t>The official current-map snapshot contains 95 destinations. Conservative entity resolution links 69 of those labels to supplied directory listings and leaves 26 unresolved. At the preserved cluster level, the Path C feature table contains 51 resolved current Magic clusters; 50 have complete structural fields and form the analogue reference pool. The counts are not interchangeable because destination labels, listings and clusters have different scope.</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data_processed/magic_pass_current_destinations.csv</w:t>
      </w:r>
      <w:r>
        <w:rPr>
          <w:rFonts w:ascii="Times New Roman" w:hAnsi="Times New Roman" w:eastAsia="Times New Roman"/>
          <w:sz w:val="22"/>
        </w:rPr>
        <w:t xml:space="preserve">, </w:t>
      </w:r>
      <w:r>
        <w:rPr>
          <w:rFonts w:ascii="Times New Roman" w:hAnsi="Times New Roman" w:eastAsia="Times New Roman"/>
          <w:sz w:val="21"/>
          <w:u w:val="single"/>
        </w:rPr>
        <w:t>reports/current_magic_pass_summary.json</w:t>
      </w:r>
      <w:r>
        <w:rPr>
          <w:rFonts w:ascii="Times New Roman" w:hAnsi="Times New Roman" w:eastAsia="Times New Roman"/>
          <w:sz w:val="22"/>
        </w:rPr>
        <w:t xml:space="preserve">, </w:t>
      </w:r>
      <w:r>
        <w:rPr>
          <w:rFonts w:ascii="Times New Roman" w:hAnsi="Times New Roman" w:eastAsia="Times New Roman"/>
          <w:sz w:val="21"/>
          <w:u w:val="single"/>
        </w:rPr>
        <w:t>reports/path_c_summary.json</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Which membership denominator should be emphasised in the final introduction and results chapter?</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5.3. How many treated resorts have reliable entry dates?</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14 reviewed destination units have documented entry seasons; none has an exact causal activation date.</w:t>
      </w:r>
    </w:p>
    <w:p>
      <w:pPr>
        <w:widowControl/>
      </w:pPr>
      <w:r>
        <w:rPr>
          <w:rFonts w:ascii="Times New Roman" w:hAnsi="Times New Roman" w:eastAsia="Times New Roman"/>
          <w:sz w:val="22"/>
        </w:rPr>
        <w:t>The review consolidates 18 component entry events into 14 destination units. All 14 have explicit positive evidence for their active seasons, but entry timing is mainly seasonal rather than an exact activation date and treatment intensity is not homogeneous. Eleven units have an explicit hotel-outcome scope. Zero units are approved as causal treatments.</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reports/08_MEMBERSHIP_EVIDENCE_REVIEW.md</w:t>
      </w:r>
      <w:r>
        <w:rPr>
          <w:rFonts w:ascii="Times New Roman" w:hAnsi="Times New Roman" w:eastAsia="Times New Roman"/>
          <w:sz w:val="22"/>
        </w:rPr>
        <w:t xml:space="preserve">, </w:t>
      </w:r>
      <w:r>
        <w:rPr>
          <w:rFonts w:ascii="Times New Roman" w:hAnsi="Times New Roman" w:eastAsia="Times New Roman"/>
          <w:sz w:val="21"/>
          <w:u w:val="single"/>
        </w:rPr>
        <w:t>reports/membership_continuity_audit.csv</w:t>
      </w:r>
      <w:r>
        <w:rPr>
          <w:rFonts w:ascii="Times New Roman" w:hAnsi="Times New Roman" w:eastAsia="Times New Roman"/>
          <w:sz w:val="22"/>
        </w:rPr>
        <w:t xml:space="preserve">, </w:t>
      </w:r>
      <w:r>
        <w:rPr>
          <w:rFonts w:ascii="Times New Roman" w:hAnsi="Times New Roman" w:eastAsia="Times New Roman"/>
          <w:sz w:val="21"/>
          <w:u w:val="single"/>
        </w:rPr>
        <w:t>reports/treatment_panel_summary.json</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Does the treatment-history explanation make the difference between documented entry and causal exposure clear?</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5.4. How many have sufficient pre-treatment observations?</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7 support the 24-month adjacent-window diagnostic; 6 support 36 months.</w:t>
      </w:r>
    </w:p>
    <w:p>
      <w:pPr>
        <w:widowControl/>
      </w:pPr>
      <w:r>
        <w:rPr>
          <w:rFonts w:ascii="Times New Roman" w:hAnsi="Times New Roman" w:eastAsia="Times New Roman"/>
          <w:sz w:val="22"/>
        </w:rPr>
        <w:t>Under the explicit season carry-forward diagnostic, 7 units have 24 observed pre and 24 active-post months, and 6 have 36 on each side. These are coverage counts, not causal-readiness approvals.</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reports/treatment_panel_summary.json</w:t>
      </w:r>
      <w:r>
        <w:rPr>
          <w:rFonts w:ascii="Times New Roman" w:hAnsi="Times New Roman" w:eastAsia="Times New Roman"/>
          <w:sz w:val="22"/>
        </w:rPr>
        <w:t xml:space="preserve">, </w:t>
      </w:r>
      <w:r>
        <w:rPr>
          <w:rFonts w:ascii="Times New Roman" w:hAnsi="Times New Roman" w:eastAsia="Times New Roman"/>
          <w:sz w:val="21"/>
          <w:u w:val="single"/>
        </w:rPr>
        <w:t>reports/17_CHECKPOINT_4_5_PATH_C_DECISION.md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Is the pre-treatment coverage threshold sufficiently justified for a feasibility screen?</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5.5. How many have sufficient post-treatment observations?</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The same 7 units have 24 active-post months; 6 have 36.</w:t>
      </w:r>
    </w:p>
    <w:p>
      <w:pPr>
        <w:widowControl/>
      </w:pPr>
      <w:r>
        <w:rPr>
          <w:rFonts w:ascii="Times New Roman" w:hAnsi="Times New Roman" w:eastAsia="Times New Roman"/>
          <w:sz w:val="22"/>
        </w:rPr>
        <w:t>The adjacent-window gate is joint: seven reviewed panel units have both 24 pre and 24 active-post months, while six have both 36 pre and 36 active-post months. Post-period coverage does not resolve treatment intensity, donors, spillovers or contemporaneous shocks.</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reports/treatment_panel_summary.json</w:t>
      </w:r>
      <w:r>
        <w:rPr>
          <w:rFonts w:ascii="Times New Roman" w:hAnsi="Times New Roman" w:eastAsia="Times New Roman"/>
          <w:sz w:val="22"/>
        </w:rPr>
        <w:t xml:space="preserve">, </w:t>
      </w:r>
      <w:r>
        <w:rPr>
          <w:rFonts w:ascii="Times New Roman" w:hAnsi="Times New Roman" w:eastAsia="Times New Roman"/>
          <w:sz w:val="21"/>
          <w:u w:val="single"/>
        </w:rPr>
        <w:t>reports/model_feasibility_report.md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Is the post-treatment coverage discussion clear about observed data versus validated treatment?</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5.6. Are parallel trends plausible?</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Not established for any approved treatment-control pair.</w:t>
      </w:r>
    </w:p>
    <w:p>
      <w:pPr>
        <w:widowControl/>
      </w:pPr>
      <w:r>
        <w:rPr>
          <w:rFonts w:ascii="Times New Roman" w:hAnsi="Times New Roman" w:eastAsia="Times New Roman"/>
          <w:sz w:val="22"/>
        </w:rPr>
        <w:t>A descriptive pre-period screen ranked 315 pairs and shortlisted 35. Twenty-eight shortlisted pairs were at or within 50 km of another resolved Magic point. All 7 remote pairs had documented contemporaneous donor-specific shocks. Pre-period similarity therefore did not establish a credible counterfactual trend.</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reports/11_DONOR_PRETREND_SCREEN.md</w:t>
      </w:r>
      <w:r>
        <w:rPr>
          <w:rFonts w:ascii="Times New Roman" w:hAnsi="Times New Roman" w:eastAsia="Times New Roman"/>
          <w:sz w:val="22"/>
        </w:rPr>
        <w:t xml:space="preserve">, </w:t>
      </w:r>
      <w:r>
        <w:rPr>
          <w:rFonts w:ascii="Times New Roman" w:hAnsi="Times New Roman" w:eastAsia="Times New Roman"/>
          <w:sz w:val="21"/>
          <w:u w:val="single"/>
        </w:rPr>
        <w:t>reports/14_DONOR_NETWORK_SPILLOVER_AUDIT.md</w:t>
      </w:r>
      <w:r>
        <w:rPr>
          <w:rFonts w:ascii="Times New Roman" w:hAnsi="Times New Roman" w:eastAsia="Times New Roman"/>
          <w:sz w:val="22"/>
        </w:rPr>
        <w:t xml:space="preserve">, </w:t>
      </w:r>
      <w:r>
        <w:rPr>
          <w:rFonts w:ascii="Times New Roman" w:hAnsi="Times New Roman" w:eastAsia="Times New Roman"/>
          <w:sz w:val="21"/>
          <w:u w:val="single"/>
        </w:rPr>
        <w:t>reports/16_DONOR_EXTERNAL_SHOCK_AUDIT.md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Does the text explain convincingly why descriptive pre-trends cannot rescue the donor design?</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5.7. Is causal inference credible?</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No under the current design.</w:t>
      </w:r>
    </w:p>
    <w:p>
      <w:pPr>
        <w:widowControl/>
      </w:pPr>
      <w:r>
        <w:rPr>
          <w:rFonts w:ascii="Times New Roman" w:hAnsi="Times New Roman" w:eastAsia="Times New Roman"/>
          <w:sz w:val="22"/>
        </w:rPr>
        <w:t>Zero treatments and zero controls pass the joint identification gates. The blockers are treatment scope and intensity, donor contamination, regional interference, local shocks, outcome-scope uncertainty and current/post-treatment covariates. No treatment effect is estimated.</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reports/17_CHECKPOINT_4_5_PATH_C_DECISION.md</w:t>
      </w:r>
      <w:r>
        <w:rPr>
          <w:rFonts w:ascii="Times New Roman" w:hAnsi="Times New Roman" w:eastAsia="Times New Roman"/>
          <w:sz w:val="22"/>
        </w:rPr>
        <w:t xml:space="preserve">, </w:t>
      </w:r>
      <w:r>
        <w:rPr>
          <w:rFonts w:ascii="Times New Roman" w:hAnsi="Times New Roman" w:eastAsia="Times New Roman"/>
          <w:sz w:val="21"/>
          <w:u w:val="single"/>
        </w:rPr>
        <w:t>reports/model_experiment_log.csv</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Is the rejection of causal interpretation stated strongly enough without overstating data failure?</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5.8. Is heterogeneous treatment-effect modelling statistically feasible?</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No.</w:t>
      </w:r>
    </w:p>
    <w:p>
      <w:pPr>
        <w:widowControl/>
      </w:pPr>
      <w:r>
        <w:rPr>
          <w:rFonts w:ascii="Times New Roman" w:hAnsi="Times New Roman" w:eastAsia="Times New Roman"/>
          <w:sz w:val="22"/>
        </w:rPr>
        <w:t>The effective treatment sample is at most 14 reviewed destinations, only 7 with the joint 24/24 coverage gate and zero with causal approval. Repeated municipality-month rows do not create independent treated destinations, so stable heterogeneity estimation is unsupported.</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reports/17_CHECKPOINT_4_5_PATH_C_DECISION.md</w:t>
      </w:r>
      <w:r>
        <w:rPr>
          <w:rFonts w:ascii="Times New Roman" w:hAnsi="Times New Roman" w:eastAsia="Times New Roman"/>
          <w:sz w:val="22"/>
        </w:rPr>
        <w:t xml:space="preserve">, </w:t>
      </w:r>
      <w:r>
        <w:rPr>
          <w:rFonts w:ascii="Times New Roman" w:hAnsi="Times New Roman" w:eastAsia="Times New Roman"/>
          <w:sz w:val="21"/>
          <w:u w:val="single"/>
        </w:rPr>
        <w:t>reports/model_experiment_log.csv</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Is the effective treated-sample limitation understandable to a non-specialist reader?</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5.9. Is Causal Forest feasible?</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No.</w:t>
      </w:r>
    </w:p>
    <w:p>
      <w:pPr>
        <w:widowControl/>
      </w:pPr>
      <w:r>
        <w:rPr>
          <w:rFonts w:ascii="Times New Roman" w:hAnsi="Times New Roman" w:eastAsia="Times New Roman"/>
          <w:sz w:val="22"/>
        </w:rPr>
        <w:t>Causal Forest is rejected because the causal target is unidentified, no control is approved, overlap cannot be defended and the number of independent treated units is too small. A software implementation would not repair those design failures.</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reports/model_experiment_log.csv</w:t>
      </w:r>
      <w:r>
        <w:rPr>
          <w:rFonts w:ascii="Times New Roman" w:hAnsi="Times New Roman" w:eastAsia="Times New Roman"/>
          <w:sz w:val="22"/>
        </w:rPr>
        <w:t xml:space="preserve">, </w:t>
      </w:r>
      <w:r>
        <w:rPr>
          <w:rFonts w:ascii="Times New Roman" w:hAnsi="Times New Roman" w:eastAsia="Times New Roman"/>
          <w:sz w:val="21"/>
          <w:u w:val="single"/>
        </w:rPr>
        <w:t>reports/47_METHODOLOGICAL_LITERATURE.md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Should the final thesis retain a short causal-forest explanation or move it to an appendix?</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5.10. Is standard ML useful?</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Only for qualified descriptive structure, not outcome prediction or uplift.</w:t>
      </w:r>
    </w:p>
    <w:p>
      <w:pPr>
        <w:widowControl/>
      </w:pPr>
      <w:r>
        <w:rPr>
          <w:rFonts w:ascii="Times New Roman" w:hAnsi="Times New Roman" w:eastAsia="Times New Roman"/>
          <w:sz w:val="22"/>
        </w:rPr>
        <w:t>Supervised ML has no defensible cluster-level causal or recommendation target and would face leakage from current/post-treatment features. Unsupervised structural segmentation and nearest-analogue distances are useful as transparent exploratory tools with grouped entities, explicit support checks and aggregation sensitivity.</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reports/18_PATH_C_SEGMENTATION_AND_ANALOGUES.md</w:t>
      </w:r>
      <w:r>
        <w:rPr>
          <w:rFonts w:ascii="Times New Roman" w:hAnsi="Times New Roman" w:eastAsia="Times New Roman"/>
          <w:sz w:val="22"/>
        </w:rPr>
        <w:t xml:space="preserve">, </w:t>
      </w:r>
      <w:r>
        <w:rPr>
          <w:rFonts w:ascii="Times New Roman" w:hAnsi="Times New Roman" w:eastAsia="Times New Roman"/>
          <w:sz w:val="21"/>
          <w:u w:val="single"/>
        </w:rPr>
        <w:t>reports/38_PATH_C_FEATURE_READINESS_AUDIT.md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Is the distinction between useful descriptive ML and unsupported supervised prediction sufficiently explicit?</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5.11. Is a neural network justified?</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No.</w:t>
      </w:r>
    </w:p>
    <w:p>
      <w:pPr>
        <w:widowControl/>
      </w:pPr>
      <w:r>
        <w:rPr>
          <w:rFonts w:ascii="Times New Roman" w:hAnsi="Times New Roman" w:eastAsia="Times New Roman"/>
          <w:sz w:val="22"/>
        </w:rPr>
        <w:t>The sample of independent destinations is far too small, the target is not causally approved, and a neural network would reduce interpretability while increasing leakage and overfitting risk.</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reports/model_experiment_log.csv</w:t>
      </w:r>
      <w:r>
        <w:rPr>
          <w:rFonts w:ascii="Times New Roman" w:hAnsi="Times New Roman" w:eastAsia="Times New Roman"/>
          <w:sz w:val="22"/>
        </w:rPr>
        <w:t xml:space="preserve">, </w:t>
      </w:r>
      <w:r>
        <w:rPr>
          <w:rFonts w:ascii="Times New Roman" w:hAnsi="Times New Roman" w:eastAsia="Times New Roman"/>
          <w:sz w:val="21"/>
          <w:u w:val="single"/>
        </w:rPr>
        <w:t>reports/17_CHECKPOINT_4_5_PATH_C_DECISION.md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Is the neural-network rejection concise and persuasive?</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5.12. Is clustering/similarity more appropriate?</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Yes, as an exploratory fallback with explicit sensitivity checks.</w:t>
      </w:r>
    </w:p>
    <w:p>
      <w:pPr>
        <w:widowControl/>
      </w:pPr>
      <w:r>
        <w:rPr>
          <w:rFonts w:ascii="Times New Roman" w:hAnsi="Times New Roman" w:eastAsia="Times New Roman"/>
          <w:sz w:val="22"/>
        </w:rPr>
        <w:t>Among 156 structurally complete clusters, k=2 has silhouette 0.514 and median subsample ARI 0.987. However, only 11 of 104 candidates retain every recorded segment, analogue and support criterion across min/median/max aggregation. Clustering is therefore more appropriate only as a qualified descriptive device.</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reports/18_PATH_C_SEGMENTATION_AND_ANALOGUES.md</w:t>
      </w:r>
      <w:r>
        <w:rPr>
          <w:rFonts w:ascii="Times New Roman" w:hAnsi="Times New Roman" w:eastAsia="Times New Roman"/>
          <w:sz w:val="22"/>
        </w:rPr>
        <w:t xml:space="preserve">, </w:t>
      </w:r>
      <w:r>
        <w:rPr>
          <w:rFonts w:ascii="Times New Roman" w:hAnsi="Times New Roman" w:eastAsia="Times New Roman"/>
          <w:sz w:val="21"/>
          <w:u w:val="single"/>
        </w:rPr>
        <w:t>reports/19_PATH_C_AGGREGATION_SENSITIVITY.md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Does the structural clustering section clearly delimit what similarity can and cannot establish?</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5.13. What is the most defensible final Business Analytics methodology?</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A separated seven-dimension exploratory evidence dashboard.</w:t>
      </w:r>
    </w:p>
    <w:p>
      <w:pPr>
        <w:widowControl/>
      </w:pPr>
      <w:r>
        <w:rPr>
          <w:rFonts w:ascii="Times New Roman" w:hAnsi="Times New Roman" w:eastAsia="Times New Roman"/>
          <w:sz w:val="22"/>
        </w:rPr>
        <w:t>Checkpoint 6 selects a 7-dimension dashboard covering 104 apparent candidates and assigning all 19 evidence groups exactly once. Structural similarity, analogue opportunity, snow vulnerability, tourism context, accessibility, competition/network context and evidence gaps remain separate. No weighted composite, ranking or treatment-effect prediction is authorised.</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reports/39_CHECKPOINT_6_BUSINESS_DECISION_FRAMEWORK.md</w:t>
      </w:r>
      <w:r>
        <w:rPr>
          <w:rFonts w:ascii="Times New Roman" w:hAnsi="Times New Roman" w:eastAsia="Times New Roman"/>
          <w:sz w:val="22"/>
        </w:rPr>
        <w:t xml:space="preserve">, </w:t>
      </w:r>
      <w:r>
        <w:rPr>
          <w:rFonts w:ascii="Times New Roman" w:hAnsi="Times New Roman" w:eastAsia="Times New Roman"/>
          <w:sz w:val="21"/>
          <w:u w:val="single"/>
        </w:rPr>
        <w:t>reports/42_THESIS_RESULTS_SYNTHESIS.md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Is the seven-dimension Path C architecture presented as a useful final contribution rather than a fallback failure?</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5.14. Which variables appear most informative?</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Current structural fields are the only approved similarity inputs; other layers are informative context.</w:t>
      </w:r>
    </w:p>
    <w:p>
      <w:pPr>
        <w:widowControl/>
      </w:pPr>
      <w:r>
        <w:rPr>
          <w:rFonts w:ascii="Times New Roman" w:hAnsi="Times New Roman" w:eastAsia="Times New Roman"/>
          <w:sz w:val="22"/>
        </w:rPr>
        <w:t>Published top altitude, ski-area kilometres and lift count provide the clearest reproducible cross-sectional structural separation and are the only fields approved for exploratory similarity. Snow vulnerability, point-container tourism intensity, population/accessibility, competing-pass links and network density help diagnose context and uncertainty, but none is approved as a pre-treatment predictor, causal covariate, recommendation input or composite-score component.</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reports/path_c_feature_readiness_audit.csv</w:t>
      </w:r>
      <w:r>
        <w:rPr>
          <w:rFonts w:ascii="Times New Roman" w:hAnsi="Times New Roman" w:eastAsia="Times New Roman"/>
          <w:sz w:val="22"/>
        </w:rPr>
        <w:t xml:space="preserve">, </w:t>
      </w:r>
      <w:r>
        <w:rPr>
          <w:rFonts w:ascii="Times New Roman" w:hAnsi="Times New Roman" w:eastAsia="Times New Roman"/>
          <w:sz w:val="21"/>
          <w:u w:val="single"/>
        </w:rPr>
        <w:t>reports/38_PATH_C_FEATURE_READINESS_AUDIT.md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Which evidence dimensions deserve the most space in the final results narrative?</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5.15. Which variables are missing?</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Validated candidate catchments, historical access/infrastructure and treatment-intensity data remain missing.</w:t>
      </w:r>
    </w:p>
    <w:p>
      <w:pPr>
        <w:widowControl/>
      </w:pPr>
      <w:r>
        <w:rPr>
          <w:rFonts w:ascii="Times New Roman" w:hAnsi="Times New Roman" w:eastAsia="Times New Roman"/>
          <w:sz w:val="22"/>
        </w:rPr>
        <w:t>Material gaps include externally validated destination catchments and exposure weights, historical public-transport/service measures, dated lift capacity and infrastructure, systematic snowmaking, complete historical competing-pass coverage, area-specific summer rights, hotel-location/final-mile access and a broader uncontaminated donor universe. Four readiness groups have no candidate feature and two have only partial candidate coverage.</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reports/38_PATH_C_FEATURE_READINESS_AUDIT.md</w:t>
      </w:r>
      <w:r>
        <w:rPr>
          <w:rFonts w:ascii="Times New Roman" w:hAnsi="Times New Roman" w:eastAsia="Times New Roman"/>
          <w:sz w:val="22"/>
        </w:rPr>
        <w:t xml:space="preserve">, </w:t>
      </w:r>
      <w:r>
        <w:rPr>
          <w:rFonts w:ascii="Times New Roman" w:hAnsi="Times New Roman" w:eastAsia="Times New Roman"/>
          <w:sz w:val="21"/>
          <w:u w:val="single"/>
        </w:rPr>
        <w:t>PROJECT_STATE.md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Are the missing variables prioritised appropriately?</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5.16. What are the main sources of uncertainty?</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Entity scope, treatment, counterfactuals, timing and spatial proxy mismatch.</w:t>
      </w:r>
    </w:p>
    <w:p>
      <w:pPr>
        <w:widowControl/>
      </w:pPr>
      <w:r>
        <w:rPr>
          <w:rFonts w:ascii="Times New Roman" w:hAnsi="Times New Roman" w:eastAsia="Times New Roman"/>
          <w:sz w:val="22"/>
        </w:rPr>
        <w:t>The principal uncertainties are multi-listing cluster semantics, resort-to-municipality exposure, season-level and heterogeneous treatment, donor shocks and spillovers, current/post-treatment feature timing, station-to-resort snow mismatch, timetable currentness and incomplete historical pass-market coverage. The snow-station sensitivity classifies 4 of 15 component comparisons as low, and the four-case appendix demonstrates how aggregation and empirical support can change at row level.</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reports/45_THESIS_DISCUSSION_LIMITATIONS_DRAFT.md</w:t>
      </w:r>
      <w:r>
        <w:rPr>
          <w:rFonts w:ascii="Times New Roman" w:hAnsi="Times New Roman" w:eastAsia="Times New Roman"/>
          <w:sz w:val="22"/>
        </w:rPr>
        <w:t xml:space="preserve">, </w:t>
      </w:r>
      <w:r>
        <w:rPr>
          <w:rFonts w:ascii="Times New Roman" w:hAnsi="Times New Roman" w:eastAsia="Times New Roman"/>
          <w:sz w:val="21"/>
          <w:u w:val="single"/>
        </w:rPr>
        <w:t>reports/48_CANDIDATE_UNCERTAINTY_EXAMPLES.md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Which uncertainty source should be highlighted most strongly in the abstract and conclusion?</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5.17. Which additional data would most improve the model?</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Destination exposure definitions and a much larger credible treatment/control design.</w:t>
      </w:r>
    </w:p>
    <w:p>
      <w:pPr>
        <w:widowControl/>
      </w:pPr>
      <w:r>
        <w:rPr>
          <w:rFonts w:ascii="Times New Roman" w:hAnsi="Times New Roman" w:eastAsia="Times New Roman"/>
          <w:sz w:val="22"/>
        </w:rPr>
        <w:t>The highest-value additions are externally validated destination boundaries and municipality weights, treatment intensity and exact timing, a larger set of credibly untreated comparison destinations with shock/interference audits, and pre-treatment histories for hotel capacity, infrastructure, access and snowmaking. Stakeholder-defined decision weights are also required before any composite business score.</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reports/45_THESIS_DISCUSSION_LIMITATIONS_DRAFT.md</w:t>
      </w:r>
      <w:r>
        <w:rPr>
          <w:rFonts w:ascii="Times New Roman" w:hAnsi="Times New Roman" w:eastAsia="Times New Roman"/>
          <w:sz w:val="22"/>
        </w:rPr>
        <w:t xml:space="preserve">, </w:t>
      </w:r>
      <w:r>
        <w:rPr>
          <w:rFonts w:ascii="Times New Roman" w:hAnsi="Times New Roman" w:eastAsia="Times New Roman"/>
          <w:sz w:val="21"/>
          <w:u w:val="single"/>
        </w:rPr>
        <w:t>reports/17_CHECKPOINT_4_5_PATH_C_DECISION.md</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Is the proposed future-data priority realistic for a follow-up study?</w:t>
      </w:r>
    </w:p>
    <w:p>
      <w:pPr>
        <w:widowControl/>
        <w:spacing w:after="280"/>
      </w:pPr>
      <w:r>
        <w:rPr>
          <w:rFonts w:ascii="Times New Roman" w:hAnsi="Times New Roman" w:eastAsia="Times New Roman"/>
          <w:b/>
          <w:sz w:val="22"/>
        </w:rPr>
        <w:t>Your comment:</w:t>
      </w:r>
    </w:p>
    <w:p>
      <w:pPr>
        <w:pStyle w:val="Heading2"/>
      </w:pPr>
      <w:r>
        <w:rPr>
          <w:rFonts w:ascii="Times New Roman" w:hAnsi="Times New Roman" w:eastAsia="Times New Roman"/>
          <w:sz w:val="22"/>
        </w:rPr>
        <w:t>5.18. Can the final system reasonably be described as predictive, causal, exploratory or decision-support?</w:t>
      </w:r>
    </w:p>
    <w:p>
      <w:pPr>
        <w:widowControl/>
      </w:pPr>
      <w:r>
        <w:rPr>
          <w:rFonts w:ascii="Times New Roman" w:hAnsi="Times New Roman" w:eastAsia="Times New Roman"/>
          <w:b/>
          <w:sz w:val="22"/>
        </w:rPr>
        <w:t>Short answer.</w:t>
      </w:r>
      <w:r>
        <w:rPr>
          <w:rFonts w:ascii="Times New Roman" w:hAnsi="Times New Roman" w:eastAsia="Times New Roman"/>
          <w:sz w:val="22"/>
        </w:rPr>
        <w:t xml:space="preserve"> Exploratory and decision-support oriented; not predictive or causal.</w:t>
      </w:r>
    </w:p>
    <w:p>
      <w:pPr>
        <w:widowControl/>
      </w:pPr>
      <w:r>
        <w:rPr>
          <w:rFonts w:ascii="Times New Roman" w:hAnsi="Times New Roman" w:eastAsia="Times New Roman"/>
          <w:sz w:val="22"/>
        </w:rPr>
        <w:t>The final system is an exploratory decision-support evidence architecture. It has 1 feature group approved for similarity, 0 approved pre-treatment predictors, 0 causal covariates, 0 recommendations and 0 causal interpretations. It must not be described as an uplift model, profitability estimate or admission ranking.</w:t>
      </w:r>
    </w:p>
    <w:p>
      <w:pPr>
        <w:widowControl/>
      </w:pPr>
      <w:r>
        <w:rPr>
          <w:rFonts w:ascii="Times New Roman" w:hAnsi="Times New Roman" w:eastAsia="Times New Roman"/>
          <w:b/>
          <w:sz w:val="22"/>
        </w:rPr>
        <w:t>Evidence trail.</w:t>
      </w:r>
      <w:r>
        <w:rPr>
          <w:rFonts w:ascii="Times New Roman" w:hAnsi="Times New Roman" w:eastAsia="Times New Roman"/>
          <w:sz w:val="22"/>
        </w:rPr>
        <w:t xml:space="preserve"> </w:t>
      </w:r>
      <w:r>
        <w:rPr>
          <w:rFonts w:ascii="Times New Roman" w:hAnsi="Times New Roman" w:eastAsia="Times New Roman"/>
          <w:sz w:val="21"/>
          <w:u w:val="single"/>
        </w:rPr>
        <w:t>reports/39_CHECKPOINT_6_BUSINESS_DECISION_FRAMEWORK.md</w:t>
      </w:r>
      <w:r>
        <w:rPr>
          <w:rFonts w:ascii="Times New Roman" w:hAnsi="Times New Roman" w:eastAsia="Times New Roman"/>
          <w:sz w:val="22"/>
        </w:rPr>
        <w:t xml:space="preserve">, </w:t>
      </w:r>
      <w:r>
        <w:rPr>
          <w:rFonts w:ascii="Times New Roman" w:hAnsi="Times New Roman" w:eastAsia="Times New Roman"/>
          <w:sz w:val="21"/>
          <w:u w:val="single"/>
        </w:rPr>
        <w:t>reports/path_c_feature_readiness_audit.csv</w:t>
      </w:r>
    </w:p>
    <w:p>
      <w:pPr>
        <w:widowControl/>
      </w:pPr>
      <w:r>
        <w:rPr>
          <w:rFonts w:ascii="Times New Roman" w:hAnsi="Times New Roman" w:eastAsia="Times New Roman"/>
          <w:b/>
          <w:sz w:val="22"/>
        </w:rPr>
        <w:t>Point for review.</w:t>
      </w:r>
      <w:r>
        <w:rPr>
          <w:rFonts w:ascii="Times New Roman" w:hAnsi="Times New Roman" w:eastAsia="Times New Roman"/>
          <w:sz w:val="22"/>
        </w:rPr>
        <w:t xml:space="preserve"> Does the final classification accurately describe the thesis contribution?</w:t>
      </w:r>
    </w:p>
    <w:p>
      <w:pPr>
        <w:widowControl/>
        <w:spacing w:after="280"/>
      </w:pPr>
      <w:r>
        <w:rPr>
          <w:rFonts w:ascii="Times New Roman" w:hAnsi="Times New Roman" w:eastAsia="Times New Roman"/>
          <w:b/>
          <w:sz w:val="22"/>
        </w:rPr>
        <w:t>Your comment:</w:t>
      </w:r>
    </w:p>
    <w:p>
      <w:pPr>
        <w:pStyle w:val="Heading1"/>
      </w:pPr>
      <w:r>
        <w:rPr>
          <w:rFonts w:ascii="Times New Roman" w:hAnsi="Times New Roman" w:eastAsia="Times New Roman"/>
          <w:sz w:val="22"/>
        </w:rPr>
        <w:t>6. Illustrative candidate uncertainty cases</w:t>
      </w:r>
    </w:p>
    <w:p>
      <w:pPr>
        <w:widowControl/>
      </w:pPr>
      <w:r>
        <w:rPr>
          <w:rFonts w:ascii="Times New Roman" w:hAnsi="Times New Roman" w:eastAsia="Times New Roman"/>
          <w:sz w:val="22"/>
        </w:rPr>
        <w:t xml:space="preserve">These four rows are selected by predeclared, deterministic uncertainty rules and then by ascending stable </w:t>
      </w:r>
      <w:r>
        <w:rPr>
          <w:rFonts w:ascii="Courier New" w:hAnsi="Courier New" w:eastAsia="Courier New"/>
          <w:sz w:val="19"/>
        </w:rPr>
        <w:t>cluster_id</w:t>
      </w:r>
      <w:r>
        <w:rPr>
          <w:rFonts w:ascii="Times New Roman" w:hAnsi="Times New Roman" w:eastAsia="Times New Roman"/>
          <w:sz w:val="22"/>
        </w:rPr>
        <w:t xml:space="preserve">. They are </w:t>
      </w:r>
      <w:r>
        <w:rPr>
          <w:rFonts w:ascii="Times New Roman" w:hAnsi="Times New Roman" w:eastAsia="Times New Roman"/>
          <w:b/>
          <w:sz w:val="22"/>
        </w:rPr>
        <w:t>not</w:t>
      </w:r>
      <w:r>
        <w:rPr>
          <w:rFonts w:ascii="Times New Roman" w:hAnsi="Times New Roman" w:eastAsia="Times New Roman"/>
          <w:sz w:val="22"/>
        </w:rPr>
        <w:t xml:space="preserve"> the best, worst or most representative candidates. The ordering below is the rule order, not a ranking. No candidate is assigned an expected treatment effect, recommendation, confidence interval or composite score.</w:t>
      </w:r>
    </w:p>
    <w:p>
      <w:pPr>
        <w:pStyle w:val="Heading2"/>
      </w:pPr>
      <w:r>
        <w:rPr>
          <w:rFonts w:ascii="Times New Roman" w:hAnsi="Times New Roman" w:eastAsia="Times New Roman"/>
          <w:sz w:val="22"/>
        </w:rPr>
        <w:t>Selection overview</w:t>
      </w:r>
    </w:p>
    <w:p>
      <w:pPr>
        <w:pStyle w:val="Heading3"/>
      </w:pPr>
      <w:r>
        <w:rPr>
          <w:rFonts w:ascii="Times New Roman" w:hAnsi="Times New Roman" w:eastAsia="Times New Roman"/>
          <w:sz w:val="22"/>
        </w:rPr>
        <w:t xml:space="preserve">Case 1  </w:t>
      </w:r>
      <w:r>
        <w:rPr>
          <w:rFonts w:ascii="Courier New" w:hAnsi="Courier New" w:eastAsia="Courier New"/>
          <w:sz w:val="19"/>
        </w:rPr>
        <w:t>stable_complete_context</w:t>
      </w:r>
    </w:p>
    <w:p>
      <w:r>
        <w:rPr>
          <w:rFonts w:ascii="Times New Roman" w:hAnsi="Times New Roman" w:eastAsia="Times New Roman"/>
          <w:b/>
          <w:sz w:val="21"/>
        </w:rPr>
        <w:t xml:space="preserve">Stable cluster ID. </w:t>
      </w:r>
      <w:r>
        <w:rPr>
          <w:rFonts w:ascii="Courier New" w:hAnsi="Courier New" w:eastAsia="Courier New"/>
          <w:sz w:val="19"/>
        </w:rPr>
        <w:t>SKI_CLUSTER_010</w:t>
      </w:r>
    </w:p>
    <w:p>
      <w:r>
        <w:rPr>
          <w:rFonts w:ascii="Times New Roman" w:hAnsi="Times New Roman" w:eastAsia="Times New Roman"/>
          <w:b/>
          <w:sz w:val="21"/>
        </w:rPr>
        <w:t xml:space="preserve">Directory label. </w:t>
      </w:r>
      <w:r>
        <w:rPr>
          <w:rFonts w:ascii="Times New Roman" w:hAnsi="Times New Roman" w:eastAsia="Times New Roman"/>
          <w:sz w:val="22"/>
        </w:rPr>
        <w:t>Wengen Jungfrau Ski Region Grindelwald - Wengen / Schilthorn Jungfrau Ski Region Mürren - Schilthorn</w:t>
      </w:r>
    </w:p>
    <w:p>
      <w:r>
        <w:rPr>
          <w:rFonts w:ascii="Times New Roman" w:hAnsi="Times New Roman" w:eastAsia="Times New Roman"/>
          <w:b/>
          <w:sz w:val="21"/>
        </w:rPr>
        <w:t xml:space="preserve">Median-rule treated support. </w:t>
      </w:r>
      <w:r>
        <w:rPr>
          <w:rFonts w:ascii="Times New Roman" w:hAnsi="Times New Roman" w:eastAsia="Times New Roman"/>
          <w:sz w:val="22"/>
        </w:rPr>
        <w:t>good_support</w:t>
      </w:r>
    </w:p>
    <w:p>
      <w:r>
        <w:rPr>
          <w:rFonts w:ascii="Times New Roman" w:hAnsi="Times New Roman" w:eastAsia="Times New Roman"/>
          <w:b/>
          <w:sz w:val="21"/>
        </w:rPr>
        <w:t xml:space="preserve">Aggregation status. </w:t>
      </w:r>
      <w:r>
        <w:rPr>
          <w:rFonts w:ascii="Times New Roman" w:hAnsi="Times New Roman" w:eastAsia="Times New Roman"/>
          <w:sz w:val="22"/>
        </w:rPr>
        <w:t>stable_across_min_median_max</w:t>
      </w:r>
    </w:p>
    <w:p>
      <w:pPr>
        <w:pStyle w:val="Heading3"/>
      </w:pPr>
      <w:r>
        <w:rPr>
          <w:rFonts w:ascii="Times New Roman" w:hAnsi="Times New Roman" w:eastAsia="Times New Roman"/>
          <w:sz w:val="22"/>
        </w:rPr>
        <w:t xml:space="preserve">Case 2  </w:t>
      </w:r>
      <w:r>
        <w:rPr>
          <w:rFonts w:ascii="Courier New" w:hAnsi="Courier New" w:eastAsia="Courier New"/>
          <w:sz w:val="19"/>
        </w:rPr>
        <w:t>segment_assignment_sensitive</w:t>
      </w:r>
    </w:p>
    <w:p>
      <w:r>
        <w:rPr>
          <w:rFonts w:ascii="Times New Roman" w:hAnsi="Times New Roman" w:eastAsia="Times New Roman"/>
          <w:b/>
          <w:sz w:val="21"/>
        </w:rPr>
        <w:t xml:space="preserve">Stable cluster ID. </w:t>
      </w:r>
      <w:r>
        <w:rPr>
          <w:rFonts w:ascii="Courier New" w:hAnsi="Courier New" w:eastAsia="Courier New"/>
          <w:sz w:val="19"/>
        </w:rPr>
        <w:t>SKI_CLUSTER_017</w:t>
      </w:r>
    </w:p>
    <w:p>
      <w:r>
        <w:rPr>
          <w:rFonts w:ascii="Times New Roman" w:hAnsi="Times New Roman" w:eastAsia="Times New Roman"/>
          <w:b/>
          <w:sz w:val="21"/>
        </w:rPr>
        <w:t xml:space="preserve">Directory label. </w:t>
      </w:r>
      <w:r>
        <w:rPr>
          <w:rFonts w:ascii="Times New Roman" w:hAnsi="Times New Roman" w:eastAsia="Times New Roman"/>
          <w:sz w:val="22"/>
        </w:rPr>
        <w:t>Disentis / Andermatt - Oberalp - Sedrun / Gemsstock Andermatt - Gemsstock / +1 listings</w:t>
      </w:r>
    </w:p>
    <w:p>
      <w:r>
        <w:rPr>
          <w:rFonts w:ascii="Times New Roman" w:hAnsi="Times New Roman" w:eastAsia="Times New Roman"/>
          <w:b/>
          <w:sz w:val="21"/>
        </w:rPr>
        <w:t xml:space="preserve">Median-rule treated support. </w:t>
      </w:r>
      <w:r>
        <w:rPr>
          <w:rFonts w:ascii="Times New Roman" w:hAnsi="Times New Roman" w:eastAsia="Times New Roman"/>
          <w:sz w:val="22"/>
        </w:rPr>
        <w:t>good_support</w:t>
      </w:r>
    </w:p>
    <w:p>
      <w:r>
        <w:rPr>
          <w:rFonts w:ascii="Times New Roman" w:hAnsi="Times New Roman" w:eastAsia="Times New Roman"/>
          <w:b/>
          <w:sz w:val="21"/>
        </w:rPr>
        <w:t xml:space="preserve">Aggregation status. </w:t>
      </w:r>
      <w:r>
        <w:rPr>
          <w:rFonts w:ascii="Times New Roman" w:hAnsi="Times New Roman" w:eastAsia="Times New Roman"/>
          <w:sz w:val="22"/>
        </w:rPr>
        <w:t>sensitive_to_within_cluster_aggregation</w:t>
      </w:r>
    </w:p>
    <w:p>
      <w:pPr>
        <w:pStyle w:val="Heading3"/>
      </w:pPr>
      <w:r>
        <w:rPr>
          <w:rFonts w:ascii="Times New Roman" w:hAnsi="Times New Roman" w:eastAsia="Times New Roman"/>
          <w:sz w:val="22"/>
        </w:rPr>
        <w:t xml:space="preserve">Case 3  </w:t>
      </w:r>
      <w:r>
        <w:rPr>
          <w:rFonts w:ascii="Courier New" w:hAnsi="Courier New" w:eastAsia="Courier New"/>
          <w:sz w:val="19"/>
        </w:rPr>
        <w:t>support_category_sensitive</w:t>
      </w:r>
    </w:p>
    <w:p>
      <w:r>
        <w:rPr>
          <w:rFonts w:ascii="Times New Roman" w:hAnsi="Times New Roman" w:eastAsia="Times New Roman"/>
          <w:b/>
          <w:sz w:val="21"/>
        </w:rPr>
        <w:t xml:space="preserve">Stable cluster ID. </w:t>
      </w:r>
      <w:r>
        <w:rPr>
          <w:rFonts w:ascii="Courier New" w:hAnsi="Courier New" w:eastAsia="Courier New"/>
          <w:sz w:val="19"/>
        </w:rPr>
        <w:t>SKI_CLUSTER_007</w:t>
      </w:r>
    </w:p>
    <w:p>
      <w:r>
        <w:rPr>
          <w:rFonts w:ascii="Times New Roman" w:hAnsi="Times New Roman" w:eastAsia="Times New Roman"/>
          <w:b/>
          <w:sz w:val="21"/>
        </w:rPr>
        <w:t xml:space="preserve">Directory label. </w:t>
      </w:r>
      <w:r>
        <w:rPr>
          <w:rFonts w:ascii="Times New Roman" w:hAnsi="Times New Roman" w:eastAsia="Times New Roman"/>
          <w:sz w:val="22"/>
        </w:rPr>
        <w:t>Arosa Lenzerheide / Pradaschier - Churwalden / Brambrüesch Chur - Brambrüesch</w:t>
      </w:r>
    </w:p>
    <w:p>
      <w:r>
        <w:rPr>
          <w:rFonts w:ascii="Times New Roman" w:hAnsi="Times New Roman" w:eastAsia="Times New Roman"/>
          <w:b/>
          <w:sz w:val="21"/>
        </w:rPr>
        <w:t xml:space="preserve">Median-rule treated support. </w:t>
      </w:r>
      <w:r>
        <w:rPr>
          <w:rFonts w:ascii="Times New Roman" w:hAnsi="Times New Roman" w:eastAsia="Times New Roman"/>
          <w:sz w:val="22"/>
        </w:rPr>
        <w:t>good_support</w:t>
      </w:r>
    </w:p>
    <w:p>
      <w:r>
        <w:rPr>
          <w:rFonts w:ascii="Times New Roman" w:hAnsi="Times New Roman" w:eastAsia="Times New Roman"/>
          <w:b/>
          <w:sz w:val="21"/>
        </w:rPr>
        <w:t xml:space="preserve">Aggregation status. </w:t>
      </w:r>
      <w:r>
        <w:rPr>
          <w:rFonts w:ascii="Times New Roman" w:hAnsi="Times New Roman" w:eastAsia="Times New Roman"/>
          <w:sz w:val="22"/>
        </w:rPr>
        <w:t>sensitive_to_within_cluster_aggregation</w:t>
      </w:r>
    </w:p>
    <w:p>
      <w:pPr>
        <w:pStyle w:val="Heading3"/>
      </w:pPr>
      <w:r>
        <w:rPr>
          <w:rFonts w:ascii="Times New Roman" w:hAnsi="Times New Roman" w:eastAsia="Times New Roman"/>
          <w:sz w:val="22"/>
        </w:rPr>
        <w:t xml:space="preserve">Case 4  </w:t>
      </w:r>
      <w:r>
        <w:rPr>
          <w:rFonts w:ascii="Courier New" w:hAnsi="Courier New" w:eastAsia="Courier New"/>
          <w:sz w:val="19"/>
        </w:rPr>
        <w:t>strong_treated_reference_extrapolation</w:t>
      </w:r>
    </w:p>
    <w:p>
      <w:r>
        <w:rPr>
          <w:rFonts w:ascii="Times New Roman" w:hAnsi="Times New Roman" w:eastAsia="Times New Roman"/>
          <w:b/>
          <w:sz w:val="21"/>
        </w:rPr>
        <w:t xml:space="preserve">Stable cluster ID. </w:t>
      </w:r>
      <w:r>
        <w:rPr>
          <w:rFonts w:ascii="Courier New" w:hAnsi="Courier New" w:eastAsia="Courier New"/>
          <w:sz w:val="19"/>
        </w:rPr>
        <w:t>SKI_CLUSTER_001</w:t>
      </w:r>
    </w:p>
    <w:p>
      <w:r>
        <w:rPr>
          <w:rFonts w:ascii="Times New Roman" w:hAnsi="Times New Roman" w:eastAsia="Times New Roman"/>
          <w:b/>
          <w:sz w:val="21"/>
        </w:rPr>
        <w:t xml:space="preserve">Directory label. </w:t>
      </w:r>
      <w:r>
        <w:rPr>
          <w:rFonts w:ascii="Times New Roman" w:hAnsi="Times New Roman" w:eastAsia="Times New Roman"/>
          <w:sz w:val="22"/>
        </w:rPr>
        <w:t>Châtel Portes du Soleil / Torgon Portes du Soleil / Avoriaz 1800 Portes du Soleil / +2 listings</w:t>
      </w:r>
    </w:p>
    <w:p>
      <w:r>
        <w:rPr>
          <w:rFonts w:ascii="Times New Roman" w:hAnsi="Times New Roman" w:eastAsia="Times New Roman"/>
          <w:b/>
          <w:sz w:val="21"/>
        </w:rPr>
        <w:t xml:space="preserve">Median-rule treated support. </w:t>
      </w:r>
      <w:r>
        <w:rPr>
          <w:rFonts w:ascii="Times New Roman" w:hAnsi="Times New Roman" w:eastAsia="Times New Roman"/>
          <w:sz w:val="22"/>
        </w:rPr>
        <w:t>strong_extrapolation</w:t>
      </w:r>
    </w:p>
    <w:p>
      <w:r>
        <w:rPr>
          <w:rFonts w:ascii="Times New Roman" w:hAnsi="Times New Roman" w:eastAsia="Times New Roman"/>
          <w:b/>
          <w:sz w:val="21"/>
        </w:rPr>
        <w:t xml:space="preserve">Aggregation status. </w:t>
      </w:r>
      <w:r>
        <w:rPr>
          <w:rFonts w:ascii="Times New Roman" w:hAnsi="Times New Roman" w:eastAsia="Times New Roman"/>
          <w:sz w:val="22"/>
        </w:rPr>
        <w:t>sensitive_to_within_cluster_aggregation</w:t>
      </w:r>
    </w:p>
    <w:p>
      <w:pPr>
        <w:widowControl/>
      </w:pPr>
      <w:r>
        <w:rPr>
          <w:rFonts w:ascii="Times New Roman" w:hAnsi="Times New Roman" w:eastAsia="Times New Roman"/>
          <w:sz w:val="22"/>
        </w:rPr>
        <w:t xml:space="preserve">The first rule illustrates stability with available point-container context. The next two isolate distinct aggregation problems: segment movement and support-category movement. The final rule illustrates extrapolation beyond the empirical treated-reference support. The exact selection fields are preserved in </w:t>
      </w:r>
      <w:r>
        <w:rPr>
          <w:rFonts w:ascii="Courier New" w:hAnsi="Courier New" w:eastAsia="Courier New"/>
          <w:sz w:val="19"/>
        </w:rPr>
        <w:t>reports/thesis_candidate_uncertainty_examples.csv</w:t>
      </w:r>
      <w:r>
        <w:rPr>
          <w:rFonts w:ascii="Times New Roman" w:hAnsi="Times New Roman" w:eastAsia="Times New Roman"/>
          <w:sz w:val="22"/>
        </w:rPr>
        <w:t>.</w:t>
      </w:r>
    </w:p>
    <w:p>
      <w:pPr>
        <w:pStyle w:val="Heading2"/>
      </w:pPr>
      <w:r>
        <w:rPr>
          <w:rFonts w:ascii="Times New Roman" w:hAnsi="Times New Roman" w:eastAsia="Times New Roman"/>
          <w:sz w:val="22"/>
        </w:rPr>
        <w:t xml:space="preserve">1. Stable structural comparison with point-container context: </w:t>
      </w:r>
      <w:r>
        <w:rPr>
          <w:rFonts w:ascii="Courier New" w:hAnsi="Courier New" w:eastAsia="Courier New"/>
          <w:sz w:val="19"/>
        </w:rPr>
        <w:t>SKI_CLUSTER_010</w:t>
      </w:r>
    </w:p>
    <w:p>
      <w:pPr>
        <w:widowControl/>
      </w:pPr>
      <w:r>
        <w:rPr>
          <w:rFonts w:ascii="Times New Roman" w:hAnsi="Times New Roman" w:eastAsia="Times New Roman"/>
          <w:b/>
          <w:sz w:val="22"/>
        </w:rPr>
        <w:t>Directory label:</w:t>
      </w:r>
      <w:r>
        <w:rPr>
          <w:rFonts w:ascii="Times New Roman" w:hAnsi="Times New Roman" w:eastAsia="Times New Roman"/>
          <w:sz w:val="22"/>
        </w:rPr>
        <w:t xml:space="preserve"> Wengen Jungfrau Ski Region Grindelwald - Wengen / Schilthorn Jungfrau Ski Region Mürren - Schilthorn</w:t>
      </w:r>
    </w:p>
    <w:p>
      <w:pPr>
        <w:widowControl/>
      </w:pPr>
      <w:r>
        <w:rPr>
          <w:rFonts w:ascii="Times New Roman" w:hAnsi="Times New Roman" w:eastAsia="Times New Roman"/>
          <w:b/>
          <w:sz w:val="22"/>
        </w:rPr>
        <w:t>Selection rule:</w:t>
      </w:r>
      <w:r>
        <w:rPr>
          <w:rFonts w:ascii="Times New Roman" w:hAnsi="Times New Roman" w:eastAsia="Times New Roman"/>
          <w:sz w:val="22"/>
        </w:rPr>
        <w:t xml:space="preserve"> First cluster_id with stable min/median/max segment, analogue and support criteria; good treated-reference support; and complete point-container population/hotel context.</w:t>
      </w:r>
    </w:p>
    <w:p>
      <w:pPr>
        <w:widowControl/>
      </w:pPr>
      <w:r>
        <w:rPr>
          <w:rFonts w:ascii="Times New Roman" w:hAnsi="Times New Roman" w:eastAsia="Times New Roman"/>
          <w:b/>
          <w:sz w:val="22"/>
        </w:rPr>
        <w:t>Structural reading.</w:t>
      </w:r>
      <w:r>
        <w:rPr>
          <w:rFonts w:ascii="Times New Roman" w:hAnsi="Times New Roman" w:eastAsia="Times New Roman"/>
          <w:sz w:val="22"/>
        </w:rPr>
        <w:t xml:space="preserve"> The median directory profile is 2750 m top altitude, 108.0 km of published ski area and 21.0 lifts. The median-rule segment is </w:t>
      </w:r>
      <w:r>
        <w:rPr>
          <w:rFonts w:ascii="Courier New" w:hAnsi="Courier New" w:eastAsia="Courier New"/>
          <w:sz w:val="19"/>
        </w:rPr>
        <w:t>SEGMENT_02</w:t>
      </w:r>
      <w:r>
        <w:rPr>
          <w:rFonts w:ascii="Times New Roman" w:hAnsi="Times New Roman" w:eastAsia="Times New Roman"/>
          <w:sz w:val="22"/>
        </w:rPr>
        <w:t xml:space="preserve"> and the treated-reference support flag is </w:t>
      </w:r>
      <w:r>
        <w:rPr>
          <w:rFonts w:ascii="Courier New" w:hAnsi="Courier New" w:eastAsia="Courier New"/>
          <w:sz w:val="19"/>
        </w:rPr>
        <w:t>good_support</w:t>
      </w:r>
      <w:r>
        <w:rPr>
          <w:rFonts w:ascii="Times New Roman" w:hAnsi="Times New Roman" w:eastAsia="Times New Roman"/>
          <w:sz w:val="22"/>
        </w:rPr>
        <w:t xml:space="preserve">. The aggregation rules record segment set </w:t>
      </w:r>
      <w:r>
        <w:rPr>
          <w:rFonts w:ascii="Courier New" w:hAnsi="Courier New" w:eastAsia="Courier New"/>
          <w:sz w:val="19"/>
        </w:rPr>
        <w:t>SEGMENT_02</w:t>
      </w:r>
      <w:r>
        <w:rPr>
          <w:rFonts w:ascii="Times New Roman" w:hAnsi="Times New Roman" w:eastAsia="Times New Roman"/>
          <w:sz w:val="22"/>
        </w:rPr>
        <w:t xml:space="preserve"> and an analogue-signal range of 12.9 percentage points.</w:t>
      </w:r>
    </w:p>
    <w:p>
      <w:pPr>
        <w:widowControl/>
      </w:pPr>
      <w:r>
        <w:rPr>
          <w:rFonts w:ascii="Times New Roman" w:hAnsi="Times New Roman" w:eastAsia="Times New Roman"/>
          <w:b/>
          <w:sz w:val="22"/>
        </w:rPr>
        <w:t>Analogue reading.</w:t>
      </w:r>
      <w:r>
        <w:rPr>
          <w:rFonts w:ascii="Times New Roman" w:hAnsi="Times New Roman" w:eastAsia="Times New Roman"/>
          <w:sz w:val="22"/>
        </w:rPr>
        <w:t xml:space="preserve"> The closest current Magic cluster is </w:t>
      </w:r>
      <w:r>
        <w:rPr>
          <w:rFonts w:ascii="Courier New" w:hAnsi="Courier New" w:eastAsia="Courier New"/>
          <w:sz w:val="19"/>
        </w:rPr>
        <w:t>SKI_CLUSTER_020</w:t>
      </w:r>
      <w:r>
        <w:rPr>
          <w:rFonts w:ascii="Times New Roman" w:hAnsi="Times New Roman" w:eastAsia="Times New Roman"/>
          <w:sz w:val="22"/>
        </w:rPr>
        <w:t xml:space="preserve"> (Anzère / Crans - Montana Crans - Montana), while the closest reviewed treated reference is </w:t>
      </w:r>
      <w:r>
        <w:rPr>
          <w:rFonts w:ascii="Courier New" w:hAnsi="Courier New" w:eastAsia="Courier New"/>
          <w:sz w:val="19"/>
        </w:rPr>
        <w:t>anniviers_magic_portfolio</w:t>
      </w:r>
      <w:r>
        <w:rPr>
          <w:rFonts w:ascii="Times New Roman" w:hAnsi="Times New Roman" w:eastAsia="Times New Roman"/>
          <w:sz w:val="22"/>
        </w:rPr>
        <w:t xml:space="preserve"> (Anniviers Magic Pass portfolio). These are geometric neighbours in the three-field structural feature space, not counterfactual controls.</w:t>
      </w:r>
    </w:p>
    <w:p>
      <w:pPr>
        <w:widowControl/>
      </w:pPr>
      <w:r>
        <w:rPr>
          <w:rFonts w:ascii="Times New Roman" w:hAnsi="Times New Roman" w:eastAsia="Times New Roman"/>
          <w:b/>
          <w:sz w:val="22"/>
        </w:rPr>
        <w:t>Evidence limits.</w:t>
      </w:r>
      <w:r>
        <w:rPr>
          <w:rFonts w:ascii="Times New Roman" w:hAnsi="Times New Roman" w:eastAsia="Times New Roman"/>
          <w:sz w:val="22"/>
        </w:rPr>
        <w:t xml:space="preserve"> Tourism context is </w:t>
      </w:r>
      <w:r>
        <w:rPr>
          <w:rFonts w:ascii="Courier New" w:hAnsi="Courier New" w:eastAsia="Courier New"/>
          <w:sz w:val="19"/>
        </w:rPr>
        <w:t>complete_point_container_population_and_hotel_context</w:t>
      </w:r>
      <w:r>
        <w:rPr>
          <w:rFonts w:ascii="Times New Roman" w:hAnsi="Times New Roman" w:eastAsia="Times New Roman"/>
          <w:sz w:val="22"/>
        </w:rPr>
        <w:t xml:space="preserve"> and no tourism catchment is validated. NPVM assignment is </w:t>
      </w:r>
      <w:r>
        <w:rPr>
          <w:rFonts w:ascii="Courier New" w:hAnsi="Courier New" w:eastAsia="Courier New"/>
          <w:sz w:val="19"/>
        </w:rPr>
        <w:t>complete_with_nearest_same_municipality_zone_proxy</w:t>
      </w:r>
      <w:r>
        <w:rPr>
          <w:rFonts w:ascii="Times New Roman" w:hAnsi="Times New Roman" w:eastAsia="Times New Roman"/>
          <w:sz w:val="22"/>
        </w:rPr>
        <w:t xml:space="preserve">; current stop context is </w:t>
      </w:r>
      <w:r>
        <w:rPr>
          <w:rFonts w:ascii="Courier New" w:hAnsi="Courier New" w:eastAsia="Courier New"/>
          <w:sz w:val="19"/>
        </w:rPr>
        <w:t>complete_all_listing_points_inside_swiss_scope</w:t>
      </w:r>
      <w:r>
        <w:rPr>
          <w:rFonts w:ascii="Times New Roman" w:hAnsi="Times New Roman" w:eastAsia="Times New Roman"/>
          <w:sz w:val="22"/>
        </w:rPr>
        <w:t xml:space="preserve"> and road-axis context is </w:t>
      </w:r>
      <w:r>
        <w:rPr>
          <w:rFonts w:ascii="Courier New" w:hAnsi="Courier New" w:eastAsia="Courier New"/>
          <w:sz w:val="19"/>
        </w:rPr>
        <w:t>complete_all_listing_points_inside_swiss_scope</w:t>
      </w:r>
      <w:r>
        <w:rPr>
          <w:rFonts w:ascii="Times New Roman" w:hAnsi="Times New Roman" w:eastAsia="Times New Roman"/>
          <w:sz w:val="22"/>
        </w:rPr>
        <w:t xml:space="preserve">. Current pass scope is </w:t>
      </w:r>
      <w:r>
        <w:rPr>
          <w:rFonts w:ascii="Courier New" w:hAnsi="Courier New" w:eastAsia="Courier New"/>
          <w:sz w:val="19"/>
        </w:rPr>
        <w:t>all_listing_points_linked_to_one_or_more_reviewed_rosters</w:t>
      </w:r>
      <w:r>
        <w:rPr>
          <w:rFonts w:ascii="Times New Roman" w:hAnsi="Times New Roman" w:eastAsia="Times New Roman"/>
          <w:sz w:val="22"/>
        </w:rPr>
        <w:t xml:space="preserve"> and historical positive-presence scope is </w:t>
      </w:r>
      <w:r>
        <w:rPr>
          <w:rFonts w:ascii="Courier New" w:hAnsi="Courier New" w:eastAsia="Courier New"/>
          <w:sz w:val="19"/>
        </w:rPr>
        <w:t>partial_cluster_listing_links_documented</w:t>
      </w:r>
      <w:r>
        <w:rPr>
          <w:rFonts w:ascii="Times New Roman" w:hAnsi="Times New Roman" w:eastAsia="Times New Roman"/>
          <w:sz w:val="22"/>
        </w:rPr>
        <w:t>; historical market absence is not verified.</w:t>
      </w:r>
    </w:p>
    <w:p>
      <w:pPr>
        <w:widowControl/>
      </w:pPr>
      <w:r>
        <w:rPr>
          <w:rFonts w:ascii="Times New Roman" w:hAnsi="Times New Roman" w:eastAsia="Times New Roman"/>
          <w:b/>
          <w:sz w:val="22"/>
        </w:rPr>
        <w:t>Permitted conclusion.</w:t>
      </w:r>
      <w:r>
        <w:rPr>
          <w:rFonts w:ascii="Times New Roman" w:hAnsi="Times New Roman" w:eastAsia="Times New Roman"/>
          <w:sz w:val="22"/>
        </w:rPr>
        <w:t xml:space="preserve"> This row illustrates how evidence strength and uncertainty can be narrated for one stable identifier. It is not an admission recommendation, a causal estimate, an expected-uplift value or a statement of relative merit.</w:t>
      </w:r>
    </w:p>
    <w:p>
      <w:pPr>
        <w:pStyle w:val="Heading2"/>
      </w:pPr>
      <w:r>
        <w:rPr>
          <w:rFonts w:ascii="Times New Roman" w:hAnsi="Times New Roman" w:eastAsia="Times New Roman"/>
          <w:sz w:val="22"/>
        </w:rPr>
        <w:t xml:space="preserve">2. Segment assignment changes under aggregation: </w:t>
      </w:r>
      <w:r>
        <w:rPr>
          <w:rFonts w:ascii="Courier New" w:hAnsi="Courier New" w:eastAsia="Courier New"/>
          <w:sz w:val="19"/>
        </w:rPr>
        <w:t>SKI_CLUSTER_017</w:t>
      </w:r>
    </w:p>
    <w:p>
      <w:pPr>
        <w:widowControl/>
      </w:pPr>
      <w:r>
        <w:rPr>
          <w:rFonts w:ascii="Times New Roman" w:hAnsi="Times New Roman" w:eastAsia="Times New Roman"/>
          <w:b/>
          <w:sz w:val="22"/>
        </w:rPr>
        <w:t>Directory label:</w:t>
      </w:r>
      <w:r>
        <w:rPr>
          <w:rFonts w:ascii="Times New Roman" w:hAnsi="Times New Roman" w:eastAsia="Times New Roman"/>
          <w:sz w:val="22"/>
        </w:rPr>
        <w:t xml:space="preserve"> Disentis / Andermatt - Oberalp - Sedrun / Gemsstock Andermatt - Gemsstock / +1 listings</w:t>
      </w:r>
    </w:p>
    <w:p>
      <w:pPr>
        <w:widowControl/>
      </w:pPr>
      <w:r>
        <w:rPr>
          <w:rFonts w:ascii="Times New Roman" w:hAnsi="Times New Roman" w:eastAsia="Times New Roman"/>
          <w:b/>
          <w:sz w:val="22"/>
        </w:rPr>
        <w:t>Selection rule:</w:t>
      </w:r>
      <w:r>
        <w:rPr>
          <w:rFonts w:ascii="Times New Roman" w:hAnsi="Times New Roman" w:eastAsia="Times New Roman"/>
          <w:sz w:val="22"/>
        </w:rPr>
        <w:t xml:space="preserve"> First cluster_id with good treated-reference support whose recorded min/median/max solutions span more than one segment.</w:t>
      </w:r>
    </w:p>
    <w:p>
      <w:pPr>
        <w:widowControl/>
      </w:pPr>
      <w:r>
        <w:rPr>
          <w:rFonts w:ascii="Times New Roman" w:hAnsi="Times New Roman" w:eastAsia="Times New Roman"/>
          <w:b/>
          <w:sz w:val="22"/>
        </w:rPr>
        <w:t>Structural reading.</w:t>
      </w:r>
      <w:r>
        <w:rPr>
          <w:rFonts w:ascii="Times New Roman" w:hAnsi="Times New Roman" w:eastAsia="Times New Roman"/>
          <w:sz w:val="22"/>
        </w:rPr>
        <w:t xml:space="preserve"> The median directory profile is 2725 m top altitude, 45.5 km of published ski area and 7.0 lifts. The median-rule segment is </w:t>
      </w:r>
      <w:r>
        <w:rPr>
          <w:rFonts w:ascii="Courier New" w:hAnsi="Courier New" w:eastAsia="Courier New"/>
          <w:sz w:val="19"/>
        </w:rPr>
        <w:t>SEGMENT_02</w:t>
      </w:r>
      <w:r>
        <w:rPr>
          <w:rFonts w:ascii="Times New Roman" w:hAnsi="Times New Roman" w:eastAsia="Times New Roman"/>
          <w:sz w:val="22"/>
        </w:rPr>
        <w:t xml:space="preserve"> and the treated-reference support flag is </w:t>
      </w:r>
      <w:r>
        <w:rPr>
          <w:rFonts w:ascii="Courier New" w:hAnsi="Courier New" w:eastAsia="Courier New"/>
          <w:sz w:val="19"/>
        </w:rPr>
        <w:t>good_support</w:t>
      </w:r>
      <w:r>
        <w:rPr>
          <w:rFonts w:ascii="Times New Roman" w:hAnsi="Times New Roman" w:eastAsia="Times New Roman"/>
          <w:sz w:val="22"/>
        </w:rPr>
        <w:t xml:space="preserve">. The aggregation rules record segment set </w:t>
      </w:r>
      <w:r>
        <w:rPr>
          <w:rFonts w:ascii="Courier New" w:hAnsi="Courier New" w:eastAsia="Courier New"/>
          <w:sz w:val="19"/>
        </w:rPr>
        <w:t>SEGMENT_01|SEGMENT_02</w:t>
      </w:r>
      <w:r>
        <w:rPr>
          <w:rFonts w:ascii="Times New Roman" w:hAnsi="Times New Roman" w:eastAsia="Times New Roman"/>
          <w:sz w:val="22"/>
        </w:rPr>
        <w:t xml:space="preserve"> and an analogue-signal range of 15.5 percentage points.</w:t>
      </w:r>
    </w:p>
    <w:p>
      <w:pPr>
        <w:widowControl/>
      </w:pPr>
      <w:r>
        <w:rPr>
          <w:rFonts w:ascii="Times New Roman" w:hAnsi="Times New Roman" w:eastAsia="Times New Roman"/>
          <w:b/>
          <w:sz w:val="22"/>
        </w:rPr>
        <w:t>Analogue reading.</w:t>
      </w:r>
      <w:r>
        <w:rPr>
          <w:rFonts w:ascii="Times New Roman" w:hAnsi="Times New Roman" w:eastAsia="Times New Roman"/>
          <w:sz w:val="22"/>
        </w:rPr>
        <w:t xml:space="preserve"> The closest current Magic cluster is </w:t>
      </w:r>
      <w:r>
        <w:rPr>
          <w:rFonts w:ascii="Courier New" w:hAnsi="Courier New" w:eastAsia="Courier New"/>
          <w:sz w:val="19"/>
        </w:rPr>
        <w:t>SKI_CLUSTER_071</w:t>
      </w:r>
      <w:r>
        <w:rPr>
          <w:rFonts w:ascii="Times New Roman" w:hAnsi="Times New Roman" w:eastAsia="Times New Roman"/>
          <w:sz w:val="22"/>
        </w:rPr>
        <w:t xml:space="preserve"> (Mont - Noble Nax), while the closest reviewed treated reference is </w:t>
      </w:r>
      <w:r>
        <w:rPr>
          <w:rFonts w:ascii="Courier New" w:hAnsi="Courier New" w:eastAsia="Courier New"/>
          <w:sz w:val="19"/>
        </w:rPr>
        <w:t>espace_dent_blanche</w:t>
      </w:r>
      <w:r>
        <w:rPr>
          <w:rFonts w:ascii="Times New Roman" w:hAnsi="Times New Roman" w:eastAsia="Times New Roman"/>
          <w:sz w:val="22"/>
        </w:rPr>
        <w:t xml:space="preserve"> (Espace Dent Blanche). These are geometric neighbours in the three-field structural feature space, not counterfactual controls.</w:t>
      </w:r>
    </w:p>
    <w:p>
      <w:pPr>
        <w:widowControl/>
      </w:pPr>
      <w:r>
        <w:rPr>
          <w:rFonts w:ascii="Times New Roman" w:hAnsi="Times New Roman" w:eastAsia="Times New Roman"/>
          <w:b/>
          <w:sz w:val="22"/>
        </w:rPr>
        <w:t>Evidence limits.</w:t>
      </w:r>
      <w:r>
        <w:rPr>
          <w:rFonts w:ascii="Times New Roman" w:hAnsi="Times New Roman" w:eastAsia="Times New Roman"/>
          <w:sz w:val="22"/>
        </w:rPr>
        <w:t xml:space="preserve"> Tourism context is </w:t>
      </w:r>
      <w:r>
        <w:rPr>
          <w:rFonts w:ascii="Courier New" w:hAnsi="Courier New" w:eastAsia="Courier New"/>
          <w:sz w:val="19"/>
        </w:rPr>
        <w:t>population_only_no_complete_hotel_context</w:t>
      </w:r>
      <w:r>
        <w:rPr>
          <w:rFonts w:ascii="Times New Roman" w:hAnsi="Times New Roman" w:eastAsia="Times New Roman"/>
          <w:sz w:val="22"/>
        </w:rPr>
        <w:t xml:space="preserve"> and no tourism catchment is validated. NPVM assignment is </w:t>
      </w:r>
      <w:r>
        <w:rPr>
          <w:rFonts w:ascii="Courier New" w:hAnsi="Courier New" w:eastAsia="Courier New"/>
          <w:sz w:val="19"/>
        </w:rPr>
        <w:t>complete_with_nearest_same_municipality_zone_proxy</w:t>
      </w:r>
      <w:r>
        <w:rPr>
          <w:rFonts w:ascii="Times New Roman" w:hAnsi="Times New Roman" w:eastAsia="Times New Roman"/>
          <w:sz w:val="22"/>
        </w:rPr>
        <w:t xml:space="preserve">; current stop context is </w:t>
      </w:r>
      <w:r>
        <w:rPr>
          <w:rFonts w:ascii="Courier New" w:hAnsi="Courier New" w:eastAsia="Courier New"/>
          <w:sz w:val="19"/>
        </w:rPr>
        <w:t>complete_all_listing_points_inside_swiss_scope</w:t>
      </w:r>
      <w:r>
        <w:rPr>
          <w:rFonts w:ascii="Times New Roman" w:hAnsi="Times New Roman" w:eastAsia="Times New Roman"/>
          <w:sz w:val="22"/>
        </w:rPr>
        <w:t xml:space="preserve"> and road-axis context is </w:t>
      </w:r>
      <w:r>
        <w:rPr>
          <w:rFonts w:ascii="Courier New" w:hAnsi="Courier New" w:eastAsia="Courier New"/>
          <w:sz w:val="19"/>
        </w:rPr>
        <w:t>complete_all_listing_points_inside_swiss_scope</w:t>
      </w:r>
      <w:r>
        <w:rPr>
          <w:rFonts w:ascii="Times New Roman" w:hAnsi="Times New Roman" w:eastAsia="Times New Roman"/>
          <w:sz w:val="22"/>
        </w:rPr>
        <w:t xml:space="preserve">. Current pass scope is </w:t>
      </w:r>
      <w:r>
        <w:rPr>
          <w:rFonts w:ascii="Courier New" w:hAnsi="Courier New" w:eastAsia="Courier New"/>
          <w:sz w:val="19"/>
        </w:rPr>
        <w:t>all_listing_points_linked_to_one_or_more_reviewed_rosters</w:t>
      </w:r>
      <w:r>
        <w:rPr>
          <w:rFonts w:ascii="Times New Roman" w:hAnsi="Times New Roman" w:eastAsia="Times New Roman"/>
          <w:sz w:val="22"/>
        </w:rPr>
        <w:t xml:space="preserve"> and historical positive-presence scope is </w:t>
      </w:r>
      <w:r>
        <w:rPr>
          <w:rFonts w:ascii="Courier New" w:hAnsi="Courier New" w:eastAsia="Courier New"/>
          <w:sz w:val="19"/>
        </w:rPr>
        <w:t>all_cluster_listings_have_documented_link</w:t>
      </w:r>
      <w:r>
        <w:rPr>
          <w:rFonts w:ascii="Times New Roman" w:hAnsi="Times New Roman" w:eastAsia="Times New Roman"/>
          <w:sz w:val="22"/>
        </w:rPr>
        <w:t>; historical market absence is not verified.</w:t>
      </w:r>
    </w:p>
    <w:p>
      <w:pPr>
        <w:widowControl/>
      </w:pPr>
      <w:r>
        <w:rPr>
          <w:rFonts w:ascii="Times New Roman" w:hAnsi="Times New Roman" w:eastAsia="Times New Roman"/>
          <w:b/>
          <w:sz w:val="22"/>
        </w:rPr>
        <w:t>Permitted conclusion.</w:t>
      </w:r>
      <w:r>
        <w:rPr>
          <w:rFonts w:ascii="Times New Roman" w:hAnsi="Times New Roman" w:eastAsia="Times New Roman"/>
          <w:sz w:val="22"/>
        </w:rPr>
        <w:t xml:space="preserve"> This row illustrates how evidence strength and uncertainty can be narrated for one stable identifier. It is not an admission recommendation, a causal estimate, an expected-uplift value or a statement of relative merit.</w:t>
      </w:r>
    </w:p>
    <w:p>
      <w:pPr>
        <w:pStyle w:val="Heading2"/>
      </w:pPr>
      <w:r>
        <w:rPr>
          <w:rFonts w:ascii="Times New Roman" w:hAnsi="Times New Roman" w:eastAsia="Times New Roman"/>
          <w:sz w:val="22"/>
        </w:rPr>
        <w:t xml:space="preserve">3. Treated-reference support changes under aggregation: </w:t>
      </w:r>
      <w:r>
        <w:rPr>
          <w:rFonts w:ascii="Courier New" w:hAnsi="Courier New" w:eastAsia="Courier New"/>
          <w:sz w:val="19"/>
        </w:rPr>
        <w:t>SKI_CLUSTER_007</w:t>
      </w:r>
    </w:p>
    <w:p>
      <w:pPr>
        <w:widowControl/>
      </w:pPr>
      <w:r>
        <w:rPr>
          <w:rFonts w:ascii="Times New Roman" w:hAnsi="Times New Roman" w:eastAsia="Times New Roman"/>
          <w:b/>
          <w:sz w:val="22"/>
        </w:rPr>
        <w:t>Directory label:</w:t>
      </w:r>
      <w:r>
        <w:rPr>
          <w:rFonts w:ascii="Times New Roman" w:hAnsi="Times New Roman" w:eastAsia="Times New Roman"/>
          <w:sz w:val="22"/>
        </w:rPr>
        <w:t xml:space="preserve"> Arosa Lenzerheide / Pradaschier - Churwalden / Brambrüesch Chur - Brambrüesch</w:t>
      </w:r>
    </w:p>
    <w:p>
      <w:pPr>
        <w:widowControl/>
      </w:pPr>
      <w:r>
        <w:rPr>
          <w:rFonts w:ascii="Times New Roman" w:hAnsi="Times New Roman" w:eastAsia="Times New Roman"/>
          <w:b/>
          <w:sz w:val="22"/>
        </w:rPr>
        <w:t>Selection rule:</w:t>
      </w:r>
      <w:r>
        <w:rPr>
          <w:rFonts w:ascii="Times New Roman" w:hAnsi="Times New Roman" w:eastAsia="Times New Roman"/>
          <w:sz w:val="22"/>
        </w:rPr>
        <w:t xml:space="preserve"> First cluster_id with good median-rule support, stable segment assignment and a non-stable treated-reference support category across aggregation rules.</w:t>
      </w:r>
    </w:p>
    <w:p>
      <w:pPr>
        <w:widowControl/>
      </w:pPr>
      <w:r>
        <w:rPr>
          <w:rFonts w:ascii="Times New Roman" w:hAnsi="Times New Roman" w:eastAsia="Times New Roman"/>
          <w:b/>
          <w:sz w:val="22"/>
        </w:rPr>
        <w:t>Structural reading.</w:t>
      </w:r>
      <w:r>
        <w:rPr>
          <w:rFonts w:ascii="Times New Roman" w:hAnsi="Times New Roman" w:eastAsia="Times New Roman"/>
          <w:sz w:val="22"/>
        </w:rPr>
        <w:t xml:space="preserve"> The median directory profile is 2235 m top altitude, 122.5 km of published ski area and 4.0 lifts. The median-rule segment is </w:t>
      </w:r>
      <w:r>
        <w:rPr>
          <w:rFonts w:ascii="Courier New" w:hAnsi="Courier New" w:eastAsia="Courier New"/>
          <w:sz w:val="19"/>
        </w:rPr>
        <w:t>SEGMENT_02</w:t>
      </w:r>
      <w:r>
        <w:rPr>
          <w:rFonts w:ascii="Times New Roman" w:hAnsi="Times New Roman" w:eastAsia="Times New Roman"/>
          <w:sz w:val="22"/>
        </w:rPr>
        <w:t xml:space="preserve"> and the treated-reference support flag is </w:t>
      </w:r>
      <w:r>
        <w:rPr>
          <w:rFonts w:ascii="Courier New" w:hAnsi="Courier New" w:eastAsia="Courier New"/>
          <w:sz w:val="19"/>
        </w:rPr>
        <w:t>good_support</w:t>
      </w:r>
      <w:r>
        <w:rPr>
          <w:rFonts w:ascii="Times New Roman" w:hAnsi="Times New Roman" w:eastAsia="Times New Roman"/>
          <w:sz w:val="22"/>
        </w:rPr>
        <w:t xml:space="preserve">. The aggregation rules record segment set </w:t>
      </w:r>
      <w:r>
        <w:rPr>
          <w:rFonts w:ascii="Courier New" w:hAnsi="Courier New" w:eastAsia="Courier New"/>
          <w:sz w:val="19"/>
        </w:rPr>
        <w:t>SEGMENT_02</w:t>
      </w:r>
      <w:r>
        <w:rPr>
          <w:rFonts w:ascii="Times New Roman" w:hAnsi="Times New Roman" w:eastAsia="Times New Roman"/>
          <w:sz w:val="22"/>
        </w:rPr>
        <w:t xml:space="preserve"> and an analogue-signal range of 0.0 percentage points.</w:t>
      </w:r>
    </w:p>
    <w:p>
      <w:pPr>
        <w:widowControl/>
      </w:pPr>
      <w:r>
        <w:rPr>
          <w:rFonts w:ascii="Times New Roman" w:hAnsi="Times New Roman" w:eastAsia="Times New Roman"/>
          <w:b/>
          <w:sz w:val="22"/>
        </w:rPr>
        <w:t>Analogue reading.</w:t>
      </w:r>
      <w:r>
        <w:rPr>
          <w:rFonts w:ascii="Times New Roman" w:hAnsi="Times New Roman" w:eastAsia="Times New Roman"/>
          <w:sz w:val="22"/>
        </w:rPr>
        <w:t xml:space="preserve"> The closest current Magic cluster is </w:t>
      </w:r>
      <w:r>
        <w:rPr>
          <w:rFonts w:ascii="Courier New" w:hAnsi="Courier New" w:eastAsia="Courier New"/>
          <w:sz w:val="19"/>
        </w:rPr>
        <w:t>SKI_CLUSTER_106</w:t>
      </w:r>
      <w:r>
        <w:rPr>
          <w:rFonts w:ascii="Times New Roman" w:hAnsi="Times New Roman" w:eastAsia="Times New Roman"/>
          <w:sz w:val="22"/>
        </w:rPr>
        <w:t xml:space="preserve"> (Evolène), while the closest reviewed treated reference is </w:t>
      </w:r>
      <w:r>
        <w:rPr>
          <w:rFonts w:ascii="Courier New" w:hAnsi="Courier New" w:eastAsia="Courier New"/>
          <w:sz w:val="19"/>
        </w:rPr>
        <w:t>espace_dent_blanche</w:t>
      </w:r>
      <w:r>
        <w:rPr>
          <w:rFonts w:ascii="Times New Roman" w:hAnsi="Times New Roman" w:eastAsia="Times New Roman"/>
          <w:sz w:val="22"/>
        </w:rPr>
        <w:t xml:space="preserve"> (Espace Dent Blanche). These are geometric neighbours in the three-field structural feature space, not counterfactual controls.</w:t>
      </w:r>
    </w:p>
    <w:p>
      <w:pPr>
        <w:widowControl/>
      </w:pPr>
      <w:r>
        <w:rPr>
          <w:rFonts w:ascii="Times New Roman" w:hAnsi="Times New Roman" w:eastAsia="Times New Roman"/>
          <w:b/>
          <w:sz w:val="22"/>
        </w:rPr>
        <w:t>Evidence limits.</w:t>
      </w:r>
      <w:r>
        <w:rPr>
          <w:rFonts w:ascii="Times New Roman" w:hAnsi="Times New Roman" w:eastAsia="Times New Roman"/>
          <w:sz w:val="22"/>
        </w:rPr>
        <w:t xml:space="preserve"> Tourism context is </w:t>
      </w:r>
      <w:r>
        <w:rPr>
          <w:rFonts w:ascii="Courier New" w:hAnsi="Courier New" w:eastAsia="Courier New"/>
          <w:sz w:val="19"/>
        </w:rPr>
        <w:t>population_only_no_complete_hotel_context</w:t>
      </w:r>
      <w:r>
        <w:rPr>
          <w:rFonts w:ascii="Times New Roman" w:hAnsi="Times New Roman" w:eastAsia="Times New Roman"/>
          <w:sz w:val="22"/>
        </w:rPr>
        <w:t xml:space="preserve"> and no tourism catchment is validated. NPVM assignment is </w:t>
      </w:r>
      <w:r>
        <w:rPr>
          <w:rFonts w:ascii="Courier New" w:hAnsi="Courier New" w:eastAsia="Courier New"/>
          <w:sz w:val="19"/>
        </w:rPr>
        <w:t>complete_with_nearest_same_municipality_zone_proxy</w:t>
      </w:r>
      <w:r>
        <w:rPr>
          <w:rFonts w:ascii="Times New Roman" w:hAnsi="Times New Roman" w:eastAsia="Times New Roman"/>
          <w:sz w:val="22"/>
        </w:rPr>
        <w:t xml:space="preserve">; current stop context is </w:t>
      </w:r>
      <w:r>
        <w:rPr>
          <w:rFonts w:ascii="Courier New" w:hAnsi="Courier New" w:eastAsia="Courier New"/>
          <w:sz w:val="19"/>
        </w:rPr>
        <w:t>complete_all_listing_points_inside_swiss_scope</w:t>
      </w:r>
      <w:r>
        <w:rPr>
          <w:rFonts w:ascii="Times New Roman" w:hAnsi="Times New Roman" w:eastAsia="Times New Roman"/>
          <w:sz w:val="22"/>
        </w:rPr>
        <w:t xml:space="preserve"> and road-axis context is </w:t>
      </w:r>
      <w:r>
        <w:rPr>
          <w:rFonts w:ascii="Courier New" w:hAnsi="Courier New" w:eastAsia="Courier New"/>
          <w:sz w:val="19"/>
        </w:rPr>
        <w:t>complete_all_listing_points_inside_swiss_scope</w:t>
      </w:r>
      <w:r>
        <w:rPr>
          <w:rFonts w:ascii="Times New Roman" w:hAnsi="Times New Roman" w:eastAsia="Times New Roman"/>
          <w:sz w:val="22"/>
        </w:rPr>
        <w:t xml:space="preserve">. Current pass scope is </w:t>
      </w:r>
      <w:r>
        <w:rPr>
          <w:rFonts w:ascii="Courier New" w:hAnsi="Courier New" w:eastAsia="Courier New"/>
          <w:sz w:val="19"/>
        </w:rPr>
        <w:t>partial_cluster_listing_links</w:t>
      </w:r>
      <w:r>
        <w:rPr>
          <w:rFonts w:ascii="Times New Roman" w:hAnsi="Times New Roman" w:eastAsia="Times New Roman"/>
          <w:sz w:val="22"/>
        </w:rPr>
        <w:t xml:space="preserve"> and historical positive-presence scope is </w:t>
      </w:r>
      <w:r>
        <w:rPr>
          <w:rFonts w:ascii="Courier New" w:hAnsi="Courier New" w:eastAsia="Courier New"/>
          <w:sz w:val="19"/>
        </w:rPr>
        <w:t>partial_cluster_listing_links_documented</w:t>
      </w:r>
      <w:r>
        <w:rPr>
          <w:rFonts w:ascii="Times New Roman" w:hAnsi="Times New Roman" w:eastAsia="Times New Roman"/>
          <w:sz w:val="22"/>
        </w:rPr>
        <w:t>; historical market absence is not verified.</w:t>
      </w:r>
    </w:p>
    <w:p>
      <w:pPr>
        <w:widowControl/>
      </w:pPr>
      <w:r>
        <w:rPr>
          <w:rFonts w:ascii="Times New Roman" w:hAnsi="Times New Roman" w:eastAsia="Times New Roman"/>
          <w:b/>
          <w:sz w:val="22"/>
        </w:rPr>
        <w:t>Permitted conclusion.</w:t>
      </w:r>
      <w:r>
        <w:rPr>
          <w:rFonts w:ascii="Times New Roman" w:hAnsi="Times New Roman" w:eastAsia="Times New Roman"/>
          <w:sz w:val="22"/>
        </w:rPr>
        <w:t xml:space="preserve"> This row illustrates how evidence strength and uncertainty can be narrated for one stable identifier. It is not an admission recommendation, a causal estimate, an expected-uplift value or a statement of relative merit.</w:t>
      </w:r>
    </w:p>
    <w:p>
      <w:pPr>
        <w:pStyle w:val="Heading2"/>
      </w:pPr>
      <w:r>
        <w:rPr>
          <w:rFonts w:ascii="Times New Roman" w:hAnsi="Times New Roman" w:eastAsia="Times New Roman"/>
          <w:sz w:val="22"/>
        </w:rPr>
        <w:t xml:space="preserve">4. Strong treated-reference extrapolation: </w:t>
      </w:r>
      <w:r>
        <w:rPr>
          <w:rFonts w:ascii="Courier New" w:hAnsi="Courier New" w:eastAsia="Courier New"/>
          <w:sz w:val="19"/>
        </w:rPr>
        <w:t>SKI_CLUSTER_001</w:t>
      </w:r>
    </w:p>
    <w:p>
      <w:pPr>
        <w:widowControl/>
      </w:pPr>
      <w:r>
        <w:rPr>
          <w:rFonts w:ascii="Times New Roman" w:hAnsi="Times New Roman" w:eastAsia="Times New Roman"/>
          <w:b/>
          <w:sz w:val="22"/>
        </w:rPr>
        <w:t>Directory label:</w:t>
      </w:r>
      <w:r>
        <w:rPr>
          <w:rFonts w:ascii="Times New Roman" w:hAnsi="Times New Roman" w:eastAsia="Times New Roman"/>
          <w:sz w:val="22"/>
        </w:rPr>
        <w:t xml:space="preserve"> Châtel Portes du Soleil / Torgon Portes du Soleil / Avoriaz 1800 Portes du Soleil / +2 listings</w:t>
      </w:r>
    </w:p>
    <w:p>
      <w:pPr>
        <w:widowControl/>
      </w:pPr>
      <w:r>
        <w:rPr>
          <w:rFonts w:ascii="Times New Roman" w:hAnsi="Times New Roman" w:eastAsia="Times New Roman"/>
          <w:b/>
          <w:sz w:val="22"/>
        </w:rPr>
        <w:t>Selection rule:</w:t>
      </w:r>
      <w:r>
        <w:rPr>
          <w:rFonts w:ascii="Times New Roman" w:hAnsi="Times New Roman" w:eastAsia="Times New Roman"/>
          <w:sz w:val="22"/>
        </w:rPr>
        <w:t xml:space="preserve"> First cluster_id classified as a strong extrapolation from the eight reviewed treated reference units under the median rule.</w:t>
      </w:r>
    </w:p>
    <w:p>
      <w:pPr>
        <w:widowControl/>
      </w:pPr>
      <w:r>
        <w:rPr>
          <w:rFonts w:ascii="Times New Roman" w:hAnsi="Times New Roman" w:eastAsia="Times New Roman"/>
          <w:b/>
          <w:sz w:val="22"/>
        </w:rPr>
        <w:t>Structural reading.</w:t>
      </w:r>
      <w:r>
        <w:rPr>
          <w:rFonts w:ascii="Times New Roman" w:hAnsi="Times New Roman" w:eastAsia="Times New Roman"/>
          <w:sz w:val="22"/>
        </w:rPr>
        <w:t xml:space="preserve"> The median directory profile is 2276 m top altitude, 79.0 km of published ski area and 34.0 lifts. The median-rule segment is </w:t>
      </w:r>
      <w:r>
        <w:rPr>
          <w:rFonts w:ascii="Courier New" w:hAnsi="Courier New" w:eastAsia="Courier New"/>
          <w:sz w:val="19"/>
        </w:rPr>
        <w:t>SEGMENT_02</w:t>
      </w:r>
      <w:r>
        <w:rPr>
          <w:rFonts w:ascii="Times New Roman" w:hAnsi="Times New Roman" w:eastAsia="Times New Roman"/>
          <w:sz w:val="22"/>
        </w:rPr>
        <w:t xml:space="preserve"> and the treated-reference support flag is </w:t>
      </w:r>
      <w:r>
        <w:rPr>
          <w:rFonts w:ascii="Courier New" w:hAnsi="Courier New" w:eastAsia="Courier New"/>
          <w:sz w:val="19"/>
        </w:rPr>
        <w:t>strong_extrapolation</w:t>
      </w:r>
      <w:r>
        <w:rPr>
          <w:rFonts w:ascii="Times New Roman" w:hAnsi="Times New Roman" w:eastAsia="Times New Roman"/>
          <w:sz w:val="22"/>
        </w:rPr>
        <w:t xml:space="preserve">. The aggregation rules record segment set </w:t>
      </w:r>
      <w:r>
        <w:rPr>
          <w:rFonts w:ascii="Courier New" w:hAnsi="Courier New" w:eastAsia="Courier New"/>
          <w:sz w:val="19"/>
        </w:rPr>
        <w:t>SEGMENT_02</w:t>
      </w:r>
      <w:r>
        <w:rPr>
          <w:rFonts w:ascii="Times New Roman" w:hAnsi="Times New Roman" w:eastAsia="Times New Roman"/>
          <w:sz w:val="22"/>
        </w:rPr>
        <w:t xml:space="preserve"> and an analogue-signal range of 9.4 percentage points.</w:t>
      </w:r>
    </w:p>
    <w:p>
      <w:pPr>
        <w:widowControl/>
      </w:pPr>
      <w:r>
        <w:rPr>
          <w:rFonts w:ascii="Times New Roman" w:hAnsi="Times New Roman" w:eastAsia="Times New Roman"/>
          <w:b/>
          <w:sz w:val="22"/>
        </w:rPr>
        <w:t>Analogue reading.</w:t>
      </w:r>
      <w:r>
        <w:rPr>
          <w:rFonts w:ascii="Times New Roman" w:hAnsi="Times New Roman" w:eastAsia="Times New Roman"/>
          <w:sz w:val="22"/>
        </w:rPr>
        <w:t xml:space="preserve"> The closest current Magic cluster is </w:t>
      </w:r>
      <w:r>
        <w:rPr>
          <w:rFonts w:ascii="Courier New" w:hAnsi="Courier New" w:eastAsia="Courier New"/>
          <w:sz w:val="19"/>
        </w:rPr>
        <w:t>SKI_CLUSTER_016</w:t>
      </w:r>
      <w:r>
        <w:rPr>
          <w:rFonts w:ascii="Times New Roman" w:hAnsi="Times New Roman" w:eastAsia="Times New Roman"/>
          <w:sz w:val="22"/>
        </w:rPr>
        <w:t xml:space="preserve"> (Gstaad / Rougemont Rougemont - La Videmanette), while the closest reviewed treated reference is </w:t>
      </w:r>
      <w:r>
        <w:rPr>
          <w:rFonts w:ascii="Courier New" w:hAnsi="Courier New" w:eastAsia="Courier New"/>
          <w:sz w:val="19"/>
        </w:rPr>
        <w:t>anniviers_magic_portfolio</w:t>
      </w:r>
      <w:r>
        <w:rPr>
          <w:rFonts w:ascii="Times New Roman" w:hAnsi="Times New Roman" w:eastAsia="Times New Roman"/>
          <w:sz w:val="22"/>
        </w:rPr>
        <w:t xml:space="preserve"> (Anniviers Magic Pass portfolio). These are geometric neighbours in the three-field structural feature space, not counterfactual controls.</w:t>
      </w:r>
    </w:p>
    <w:p>
      <w:pPr>
        <w:widowControl/>
      </w:pPr>
      <w:r>
        <w:rPr>
          <w:rFonts w:ascii="Times New Roman" w:hAnsi="Times New Roman" w:eastAsia="Times New Roman"/>
          <w:b/>
          <w:sz w:val="22"/>
        </w:rPr>
        <w:t>Evidence limits.</w:t>
      </w:r>
      <w:r>
        <w:rPr>
          <w:rFonts w:ascii="Times New Roman" w:hAnsi="Times New Roman" w:eastAsia="Times New Roman"/>
          <w:sz w:val="22"/>
        </w:rPr>
        <w:t xml:space="preserve"> Tourism context is </w:t>
      </w:r>
      <w:r>
        <w:rPr>
          <w:rFonts w:ascii="Courier New" w:hAnsi="Courier New" w:eastAsia="Courier New"/>
          <w:sz w:val="19"/>
        </w:rPr>
        <w:t>population_only_no_complete_hotel_context</w:t>
      </w:r>
      <w:r>
        <w:rPr>
          <w:rFonts w:ascii="Times New Roman" w:hAnsi="Times New Roman" w:eastAsia="Times New Roman"/>
          <w:sz w:val="22"/>
        </w:rPr>
        <w:t xml:space="preserve"> and no tourism catchment is validated. NPVM assignment is </w:t>
      </w:r>
      <w:r>
        <w:rPr>
          <w:rFonts w:ascii="Courier New" w:hAnsi="Courier New" w:eastAsia="Courier New"/>
          <w:sz w:val="19"/>
        </w:rPr>
        <w:t>partial_foreign_or_unresolved_listing_points</w:t>
      </w:r>
      <w:r>
        <w:rPr>
          <w:rFonts w:ascii="Times New Roman" w:hAnsi="Times New Roman" w:eastAsia="Times New Roman"/>
          <w:sz w:val="22"/>
        </w:rPr>
        <w:t xml:space="preserve">; current stop context is </w:t>
      </w:r>
      <w:r>
        <w:rPr>
          <w:rFonts w:ascii="Courier New" w:hAnsi="Courier New" w:eastAsia="Courier New"/>
          <w:sz w:val="19"/>
        </w:rPr>
        <w:t>partial_listing_points_outside_swiss_scope</w:t>
      </w:r>
      <w:r>
        <w:rPr>
          <w:rFonts w:ascii="Times New Roman" w:hAnsi="Times New Roman" w:eastAsia="Times New Roman"/>
          <w:sz w:val="22"/>
        </w:rPr>
        <w:t xml:space="preserve"> and road-axis context is </w:t>
      </w:r>
      <w:r>
        <w:rPr>
          <w:rFonts w:ascii="Courier New" w:hAnsi="Courier New" w:eastAsia="Courier New"/>
          <w:sz w:val="19"/>
        </w:rPr>
        <w:t>partial_listing_points_outside_swiss_scope</w:t>
      </w:r>
      <w:r>
        <w:rPr>
          <w:rFonts w:ascii="Times New Roman" w:hAnsi="Times New Roman" w:eastAsia="Times New Roman"/>
          <w:sz w:val="22"/>
        </w:rPr>
        <w:t xml:space="preserve">. Current pass scope is </w:t>
      </w:r>
      <w:r>
        <w:rPr>
          <w:rFonts w:ascii="Courier New" w:hAnsi="Courier New" w:eastAsia="Courier New"/>
          <w:sz w:val="19"/>
        </w:rPr>
        <w:t>all_listing_points_linked_to_one_or_more_reviewed_rosters</w:t>
      </w:r>
      <w:r>
        <w:rPr>
          <w:rFonts w:ascii="Times New Roman" w:hAnsi="Times New Roman" w:eastAsia="Times New Roman"/>
          <w:sz w:val="22"/>
        </w:rPr>
        <w:t xml:space="preserve"> and historical positive-presence scope is </w:t>
      </w:r>
      <w:r>
        <w:rPr>
          <w:rFonts w:ascii="Courier New" w:hAnsi="Courier New" w:eastAsia="Courier New"/>
          <w:sz w:val="19"/>
        </w:rPr>
        <w:t>no_documented_link_in_reviewed_products</w:t>
      </w:r>
      <w:r>
        <w:rPr>
          <w:rFonts w:ascii="Times New Roman" w:hAnsi="Times New Roman" w:eastAsia="Times New Roman"/>
          <w:sz w:val="22"/>
        </w:rPr>
        <w:t>; historical market absence is not verified.</w:t>
      </w:r>
    </w:p>
    <w:p>
      <w:pPr>
        <w:widowControl/>
      </w:pPr>
      <w:r>
        <w:rPr>
          <w:rFonts w:ascii="Times New Roman" w:hAnsi="Times New Roman" w:eastAsia="Times New Roman"/>
          <w:b/>
          <w:sz w:val="22"/>
        </w:rPr>
        <w:t>Permitted conclusion.</w:t>
      </w:r>
      <w:r>
        <w:rPr>
          <w:rFonts w:ascii="Times New Roman" w:hAnsi="Times New Roman" w:eastAsia="Times New Roman"/>
          <w:sz w:val="22"/>
        </w:rPr>
        <w:t xml:space="preserve"> This row illustrates how evidence strength and uncertainty can be narrated for one stable identifier. It is not an admission recommendation, a causal estimate, an expected-uplift value or a statement of relative merit.</w:t>
      </w:r>
    </w:p>
    <w:p>
      <w:pPr>
        <w:pStyle w:val="Heading2"/>
      </w:pPr>
      <w:r>
        <w:rPr>
          <w:rFonts w:ascii="Times New Roman" w:hAnsi="Times New Roman" w:eastAsia="Times New Roman"/>
          <w:sz w:val="22"/>
        </w:rPr>
        <w:t>Use in the thesis</w:t>
      </w:r>
    </w:p>
    <w:p>
      <w:pPr>
        <w:widowControl/>
      </w:pPr>
      <w:r>
        <w:rPr>
          <w:rFonts w:ascii="Times New Roman" w:hAnsi="Times New Roman" w:eastAsia="Times New Roman"/>
          <w:sz w:val="22"/>
        </w:rPr>
        <w:t>Use at most these examples as a short boxed illustration or appendix. Keep the stable IDs, selection rules and limitation paragraphs together. Do not reorder them by an opportunity signal, add a recommendation label, or interpret the closest analogue as a causal control. Any managerial assessment would still require validated destination scope, stakeholder-defined decision weights and decision-specific evidence that the present project does not contain.</w:t>
      </w:r>
    </w:p>
    <w:p>
      <w:pPr>
        <w:pStyle w:val="Heading1"/>
      </w:pPr>
      <w:r>
        <w:rPr>
          <w:rFonts w:ascii="Times New Roman" w:hAnsi="Times New Roman" w:eastAsia="Times New Roman"/>
          <w:sz w:val="22"/>
        </w:rPr>
        <w:t>7. Source and citation guide</w:t>
      </w:r>
    </w:p>
    <w:p>
      <w:pPr>
        <w:pStyle w:val="ListBullet"/>
      </w:pPr>
      <w:r>
        <w:rPr>
          <w:rFonts w:ascii="Courier New" w:hAnsi="Courier New" w:eastAsia="Courier New"/>
          <w:sz w:val="19"/>
        </w:rPr>
        <w:t>reports/46_THESIS_CITATION_MAP.md</w:t>
      </w:r>
      <w:r>
        <w:rPr>
          <w:rFonts w:ascii="Times New Roman" w:hAnsi="Times New Roman" w:eastAsia="Times New Roman"/>
          <w:sz w:val="22"/>
        </w:rPr>
        <w:t xml:space="preserve"> maps 21 central claims to 62 registered sources.</w:t>
      </w:r>
    </w:p>
    <w:p>
      <w:pPr>
        <w:pStyle w:val="ListBullet"/>
      </w:pPr>
      <w:r>
        <w:rPr>
          <w:rFonts w:ascii="Courier New" w:hAnsi="Courier New" w:eastAsia="Courier New"/>
          <w:sz w:val="19"/>
        </w:rPr>
        <w:t>reports/thesis_source_bibliography_worklist.csv</w:t>
      </w:r>
      <w:r>
        <w:rPr>
          <w:rFonts w:ascii="Times New Roman" w:hAnsi="Times New Roman" w:eastAsia="Times New Roman"/>
          <w:sz w:val="22"/>
        </w:rPr>
        <w:t xml:space="preserve"> contains 59 external official/scientific entries and 3 internal lineage entries.</w:t>
      </w:r>
    </w:p>
    <w:p>
      <w:pPr>
        <w:pStyle w:val="ListBullet"/>
      </w:pPr>
      <w:r>
        <w:rPr>
          <w:rFonts w:ascii="Courier New" w:hAnsi="Courier New" w:eastAsia="Courier New"/>
          <w:sz w:val="19"/>
        </w:rPr>
        <w:t>reports/47_METHODOLOGICAL_LITERATURE.md</w:t>
      </w:r>
      <w:r>
        <w:rPr>
          <w:rFonts w:ascii="Times New Roman" w:hAnsi="Times New Roman" w:eastAsia="Times New Roman"/>
          <w:sz w:val="22"/>
        </w:rPr>
        <w:t xml:space="preserve"> contains the seven verified peer-reviewed methodological references.</w:t>
      </w:r>
    </w:p>
    <w:p>
      <w:pPr>
        <w:pStyle w:val="ListBullet"/>
      </w:pPr>
      <w:r>
        <w:rPr>
          <w:rFonts w:ascii="Courier New" w:hAnsi="Courier New" w:eastAsia="Courier New"/>
          <w:sz w:val="19"/>
        </w:rPr>
        <w:t>metadata/data_sources_master.csv</w:t>
      </w:r>
      <w:r>
        <w:rPr>
          <w:rFonts w:ascii="Times New Roman" w:hAnsi="Times New Roman" w:eastAsia="Times New Roman"/>
          <w:sz w:val="22"/>
        </w:rPr>
        <w:t xml:space="preserve"> is the authoritative provenance register; </w:t>
      </w:r>
      <w:r>
        <w:rPr>
          <w:rFonts w:ascii="Courier New" w:hAnsi="Courier New" w:eastAsia="Courier New"/>
          <w:sz w:val="19"/>
        </w:rPr>
        <w:t>reports/DATA_SOURCES.md</w:t>
      </w:r>
      <w:r>
        <w:rPr>
          <w:rFonts w:ascii="Times New Roman" w:hAnsi="Times New Roman" w:eastAsia="Times New Roman"/>
          <w:sz w:val="22"/>
        </w:rPr>
        <w:t xml:space="preserve"> is its readable rendering.</w:t>
      </w:r>
    </w:p>
    <w:p>
      <w:pPr>
        <w:pStyle w:val="ListBullet"/>
      </w:pPr>
      <w:r>
        <w:rPr>
          <w:rFonts w:ascii="Times New Roman" w:hAnsi="Times New Roman" w:eastAsia="Times New Roman"/>
          <w:sz w:val="22"/>
        </w:rPr>
        <w:t>Final author-date formatting should wait until the university style is known. Missing author/year metadata must remain missing rather than being guessed.</w:t>
      </w:r>
    </w:p>
    <w:p>
      <w:pPr>
        <w:pStyle w:val="Heading1"/>
      </w:pPr>
      <w:r>
        <w:rPr>
          <w:rFonts w:ascii="Times New Roman" w:hAnsi="Times New Roman" w:eastAsia="Times New Roman"/>
          <w:sz w:val="22"/>
        </w:rPr>
        <w:t>8. Current interpretation and next revision points</w:t>
      </w:r>
    </w:p>
    <w:p>
      <w:pPr>
        <w:widowControl/>
      </w:pPr>
      <w:r>
        <w:rPr>
          <w:rFonts w:ascii="Times New Roman" w:hAnsi="Times New Roman" w:eastAsia="Times New Roman"/>
          <w:sz w:val="22"/>
        </w:rPr>
        <w:t>The manuscript is sufficiently complete to review the research logic, main empirical counts, methodological rejection and supported Path C contribution. The next revisions should focus on wording, literature positioning and thesis narrative—not additional marginal data collection. Final typesetting later requires the university template and citation style. Any future empirical extension should be added only if it is necessary for a concrete claim and should preserve the current distinctions between listings, clusters, destination units, municipalities and exposure scopes.</w:t>
      </w:r>
    </w:p>
    <w:p>
      <w:pPr>
        <w:pStyle w:val="Heading2"/>
      </w:pPr>
      <w:r>
        <w:rPr>
          <w:rFonts w:ascii="Times New Roman" w:hAnsi="Times New Roman" w:eastAsia="Times New Roman"/>
          <w:sz w:val="22"/>
        </w:rPr>
        <w:t>Claims that must remain prohibited</w:t>
      </w:r>
    </w:p>
    <w:p>
      <w:pPr>
        <w:pStyle w:val="ListBullet"/>
      </w:pPr>
      <w:r>
        <w:rPr>
          <w:rFonts w:ascii="Times New Roman" w:hAnsi="Times New Roman" w:eastAsia="Times New Roman"/>
          <w:sz w:val="22"/>
        </w:rPr>
        <w:t>No causal effect of Magic Pass membership is estimated.</w:t>
      </w:r>
    </w:p>
    <w:p>
      <w:pPr>
        <w:pStyle w:val="ListBullet"/>
      </w:pPr>
      <w:r>
        <w:rPr>
          <w:rFonts w:ascii="Times New Roman" w:hAnsi="Times New Roman" w:eastAsia="Times New Roman"/>
          <w:sz w:val="22"/>
        </w:rPr>
        <w:t>No candidate receives predicted uplift, recommendation confidence or a composite opportunity score.</w:t>
      </w:r>
    </w:p>
    <w:p>
      <w:pPr>
        <w:pStyle w:val="ListBullet"/>
      </w:pPr>
      <w:r>
        <w:rPr>
          <w:rFonts w:ascii="Times New Roman" w:hAnsi="Times New Roman" w:eastAsia="Times New Roman"/>
          <w:sz w:val="22"/>
        </w:rPr>
        <w:t>A missing historical pass link does not prove market absence.</w:t>
      </w:r>
    </w:p>
    <w:p>
      <w:pPr>
        <w:pStyle w:val="ListBullet"/>
      </w:pPr>
      <w:r>
        <w:rPr>
          <w:rFonts w:ascii="Times New Roman" w:hAnsi="Times New Roman" w:eastAsia="Times New Roman"/>
          <w:sz w:val="22"/>
        </w:rPr>
        <w:t>Point-container or radius-based municipalities are not validated tourism catchments.</w:t>
      </w:r>
    </w:p>
    <w:p>
      <w:pPr>
        <w:pStyle w:val="ListBullet"/>
      </w:pPr>
      <w:r>
        <w:rPr>
          <w:rFonts w:ascii="Times New Roman" w:hAnsi="Times New Roman" w:eastAsia="Times New Roman"/>
          <w:sz w:val="22"/>
        </w:rPr>
        <w:t>Current structural or accessibility fields are not silently relabelled as pre-treatment predictors.</w:t>
      </w:r>
    </w:p>
    <w:p>
      <w:pPr>
        <w:pStyle w:val="ListBullet"/>
      </w:pPr>
      <w:r>
        <w:rPr>
          <w:rFonts w:ascii="Times New Roman" w:hAnsi="Times New Roman" w:eastAsia="Times New Roman"/>
          <w:sz w:val="22"/>
        </w:rPr>
        <w:t>The four example candidates are not a shortlist, rank or recommendation.</w:t>
      </w:r>
    </w:p>
    <w:p>
      <w:pPr>
        <w:pStyle w:val="Heading1"/>
      </w:pPr>
      <w:r>
        <w:rPr>
          <w:rFonts w:ascii="Times New Roman" w:hAnsi="Times New Roman" w:eastAsia="Times New Roman"/>
          <w:sz w:val="22"/>
        </w:rPr>
        <w:t>9. Supporting audit figure</w:t>
      </w:r>
    </w:p>
    <w:p>
      <w:pPr>
        <w:pStyle w:val="Heading2"/>
      </w:pPr>
      <w:r>
        <w:rPr>
          <w:rFonts w:ascii="Times New Roman" w:hAnsi="Times New Roman" w:eastAsia="Times New Roman"/>
          <w:sz w:val="22"/>
        </w:rPr>
        <w:t>Existing cluster-assignment flags</w:t>
      </w:r>
    </w:p>
    <w:p>
      <w:pPr>
        <w:widowControl/>
      </w:pPr>
      <w:r>
        <w:rPr>
          <w:rFonts w:ascii="Times New Roman" w:hAnsi="Times New Roman" w:eastAsia="Times New Roman"/>
          <w:sz w:val="22"/>
        </w:rPr>
        <w:t>This early audit figure belongs to the data-validation stage rather than the final Path C results. It is included here so that all four existing project figures can be reviewed from one document. It does not certify the preserved lift clusters as independent commercial destinations.</w:t>
      </w:r>
    </w:p>
    <w:p>
      <w:pPr>
        <w:keepNext/>
        <w:jc w:val="center"/>
      </w:pPr>
      <w:r>
        <w:drawing>
          <wp:inline xmlns:a="http://schemas.openxmlformats.org/drawingml/2006/main" xmlns:pic="http://schemas.openxmlformats.org/drawingml/2006/picture">
            <wp:extent cx="5623560" cy="3374136"/>
            <wp:docPr id="4" name="Picture 4"/>
            <wp:cNvGraphicFramePr>
              <a:graphicFrameLocks noChangeAspect="1"/>
            </wp:cNvGraphicFramePr>
            <a:graphic>
              <a:graphicData uri="http://schemas.openxmlformats.org/drawingml/2006/picture">
                <pic:pic>
                  <pic:nvPicPr>
                    <pic:cNvPr id="0" name="existing_assignment_flags.png"/>
                    <pic:cNvPicPr/>
                  </pic:nvPicPr>
                  <pic:blipFill>
                    <a:blip r:embed="rId13"/>
                    <a:stretch>
                      <a:fillRect/>
                    </a:stretch>
                  </pic:blipFill>
                  <pic:spPr>
                    <a:xfrm>
                      <a:off x="0" y="0"/>
                      <a:ext cx="5623560" cy="3374136"/>
                    </a:xfrm>
                    <a:prstGeom prst="rect"/>
                  </pic:spPr>
                </pic:pic>
              </a:graphicData>
            </a:graphic>
          </wp:inline>
        </w:drawing>
      </w:r>
    </w:p>
    <w:p>
      <w:pPr>
        <w:spacing w:after="180"/>
        <w:jc w:val="center"/>
      </w:pPr>
      <w:r>
        <w:rPr>
          <w:rFonts w:ascii="Times New Roman" w:hAnsi="Times New Roman" w:eastAsia="Times New Roman"/>
          <w:i/>
          <w:sz w:val="19"/>
        </w:rPr>
        <w:t>Existing assignment flags</w:t>
      </w:r>
    </w:p>
    <w:p>
      <w:pPr>
        <w:pStyle w:val="Heading1"/>
      </w:pPr>
      <w:r>
        <w:rPr>
          <w:rFonts w:ascii="Times New Roman" w:hAnsi="Times New Roman" w:eastAsia="Times New Roman"/>
          <w:sz w:val="22"/>
        </w:rPr>
        <w:t>10. Reviewer comment sheet</w:t>
      </w:r>
    </w:p>
    <w:tbl>
      <w:tblPr>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404040"/>
          </w:tcPr>
          <w:p>
            <w:pPr>
              <w:spacing w:after="0"/>
            </w:pPr>
            <w:r>
              <w:rPr>
                <w:rFonts w:ascii="Times New Roman" w:hAnsi="Times New Roman" w:eastAsia="Times New Roman"/>
                <w:b/>
                <w:color w:val="FFFFFF"/>
                <w:sz w:val="19"/>
              </w:rPr>
              <w:t>Topic</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404040"/>
          </w:tcPr>
          <w:p>
            <w:pPr>
              <w:spacing w:after="0"/>
            </w:pPr>
            <w:r>
              <w:rPr>
                <w:rFonts w:ascii="Times New Roman" w:hAnsi="Times New Roman" w:eastAsia="Times New Roman"/>
                <w:b/>
                <w:color w:val="FFFFFF"/>
                <w:sz w:val="19"/>
              </w:rPr>
              <w:t>Question for the reviewer</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404040"/>
          </w:tcPr>
          <w:p>
            <w:pPr>
              <w:spacing w:after="0"/>
            </w:pPr>
            <w:r>
              <w:rPr>
                <w:rFonts w:ascii="Times New Roman" w:hAnsi="Times New Roman" w:eastAsia="Times New Roman"/>
                <w:b/>
                <w:color w:val="FFFFFF"/>
                <w:sz w:val="19"/>
              </w:rPr>
              <w:t>Comment</w:t>
            </w:r>
          </w:p>
        </w:tc>
      </w:tr>
      <w:t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rPr>
              <w:t>Research positioning</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rPr>
              <w:t>Does the thesis make a convincing contribution even though the causal and predictive gates failed?</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rPr>
              <w:t>Entity definitions</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rPr>
              <w:t>Are listing, cluster, destination unit and municipality distinctions understandable throughout?</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p>
        </w:tc>
      </w:tr>
      <w:t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rPr>
              <w:t>Causal feasibility</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rPr>
              <w:t>Is the zero-treatment/zero-control conclusion sufficiently documented and proportionate?</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rPr>
              <w:t>Path C contribution</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rPr>
              <w:t>Is the seven-dimension evidence dashboard useful and clearly separated from a ranking system?</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p>
        </w:tc>
      </w:tr>
      <w:t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rPr>
              <w:t>Accessibility</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rPr>
              <w:t>Should the distance-versus-public-transport result receive more emphasis in the final thesis?</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rPr>
              <w:t>Climate and snow</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rPr>
              <w:t>Is the station-to-resort representativeness limitation explained at the right level of detail?</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p>
        </w:tc>
      </w:tr>
      <w:t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rPr>
              <w:t>Candidate examples</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rPr>
              <w:t>Do the four cases illustrate uncertainty without appearing to recommend specific stations?</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rPr>
              <w:t>Final writing</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rPr>
              <w:t>Which sections are too technical, repetitive or insufficiently developed?</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p>
        </w:tc>
      </w:tr>
    </w:tbl>
    <w:p>
      <w:pPr>
        <w:spacing w:after="0"/>
      </w:pPr>
    </w:p>
    <w:p>
      <w:pPr>
        <w:pStyle w:val="Heading2"/>
      </w:pPr>
      <w:r>
        <w:rPr>
          <w:rFonts w:ascii="Times New Roman" w:hAnsi="Times New Roman" w:eastAsia="Times New Roman"/>
          <w:sz w:val="22"/>
        </w:rPr>
        <w:t>Overall decision</w:t>
      </w:r>
    </w:p>
    <w:p>
      <w:pPr>
        <w:pStyle w:val="ListBullet"/>
      </w:pPr>
      <w:r>
        <w:rPr>
          <w:rFonts w:ascii="Times New Roman" w:hAnsi="Times New Roman" w:eastAsia="Times New Roman"/>
          <w:b/>
          <w:sz w:val="22"/>
        </w:rPr>
        <w:t>Sections that are already clear:</w:t>
      </w:r>
    </w:p>
    <w:p>
      <w:pPr>
        <w:pStyle w:val="ListBullet"/>
      </w:pPr>
      <w:r>
        <w:rPr>
          <w:rFonts w:ascii="Times New Roman" w:hAnsi="Times New Roman" w:eastAsia="Times New Roman"/>
          <w:b/>
          <w:sz w:val="22"/>
        </w:rPr>
        <w:t>Sections requiring rewriting:</w:t>
      </w:r>
    </w:p>
    <w:p>
      <w:pPr>
        <w:pStyle w:val="ListBullet"/>
      </w:pPr>
      <w:r>
        <w:rPr>
          <w:rFonts w:ascii="Times New Roman" w:hAnsi="Times New Roman" w:eastAsia="Times New Roman"/>
          <w:b/>
          <w:sz w:val="22"/>
        </w:rPr>
        <w:t>Results or figures to add:</w:t>
      </w:r>
    </w:p>
    <w:p>
      <w:pPr>
        <w:pStyle w:val="ListBullet"/>
      </w:pPr>
      <w:r>
        <w:rPr>
          <w:rFonts w:ascii="Times New Roman" w:hAnsi="Times New Roman" w:eastAsia="Times New Roman"/>
          <w:b/>
          <w:sz w:val="22"/>
        </w:rPr>
        <w:t>Claims that appear too strong:</w:t>
      </w:r>
    </w:p>
    <w:p>
      <w:pPr>
        <w:pStyle w:val="ListBullet"/>
      </w:pPr>
      <w:r>
        <w:rPr>
          <w:rFonts w:ascii="Times New Roman" w:hAnsi="Times New Roman" w:eastAsia="Times New Roman"/>
          <w:b/>
          <w:sz w:val="22"/>
        </w:rPr>
        <w:t>Material that could move to an appendix:</w:t>
      </w:r>
    </w:p>
    <w:p>
      <w:pPr>
        <w:pStyle w:val="ListBullet"/>
      </w:pPr>
      <w:r>
        <w:rPr>
          <w:rFonts w:ascii="Times New Roman" w:hAnsi="Times New Roman" w:eastAsia="Times New Roman"/>
          <w:b/>
          <w:sz w:val="22"/>
        </w:rPr>
        <w:t>Other comments:</w:t>
      </w:r>
    </w:p>
    <w:sectPr w:rsidR="00FC693F" w:rsidRPr="0006063C" w:rsidSect="00034616">
      <w:footerReference w:type="default" r:id="rId9"/>
      <w:pgSz w:w="12240" w:h="15840"/>
      <w:pgMar w:top="1304" w:right="1417" w:bottom="124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thesis review draft</dc:title>
  <dc:subject>Magic Pass master thesis detailed review</dc:subject>
  <dc:creator>Thibaud</dc:creator>
  <cp:keywords/>
  <dc:description>generated by python-docx</dc:description>
  <cp:lastModifiedBy/>
  <cp:revision>1</cp:revision>
  <dcterms:created xsi:type="dcterms:W3CDTF">2013-12-23T23:15:00Z</dcterms:created>
  <dcterms:modified xsi:type="dcterms:W3CDTF">2013-12-23T23:15:00Z</dcterms:modified>
  <cp:category/>
</cp:coreProperties>
</file>