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/>
          <w:b/>
          <w:color w:val="0B2545"/>
          <w:sz w:val="44"/>
        </w:rPr>
        <w:t>LinkGuard INSARAG × 台灣 CEOC</w:t>
      </w:r>
    </w:p>
    <w:p>
      <w:pPr>
        <w:spacing w:after="280"/>
      </w:pPr>
      <w:r>
        <w:rPr>
          <w:rFonts w:ascii="Microsoft JhengHei" w:hAnsi="Microsoft JhengHei" w:eastAsia="Microsoft JhengHei"/>
          <w:b/>
          <w:color w:val="1F4E79"/>
          <w:sz w:val="40"/>
        </w:rPr>
        <w:t>開發架構查核報告</w:t>
      </w:r>
    </w:p>
    <w:p>
      <w:r>
        <w:rPr>
          <w:rFonts w:ascii="Microsoft JhengHei" w:hAnsi="Microsoft JhengHei" w:eastAsia="Microsoft JhengHei"/>
          <w:color w:val="555555"/>
          <w:sz w:val="21"/>
        </w:rPr>
        <w:t>依 INSARAG / FEMA ICS-NIMS / WHO EMT / 台灣 CEOC-EMIC 官方資料整理｜2026-05-22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7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0B2545"/>
                <w:sz w:val="21"/>
              </w:rPr>
              <w:t xml:space="preserve">總結判斷： </w:t>
            </w:r>
            <w:r>
              <w:rPr>
                <w:rFonts w:ascii="Microsoft JhengHei" w:hAnsi="Microsoft JhengHei" w:eastAsia="Microsoft JhengHei"/>
                <w:sz w:val="21"/>
              </w:rPr>
              <w:t>LinkGuard v0.3 的 role-based apps、shared core、offline-first、AAR 與 medical separation 方向正確；若要落地台灣，下一步必須把 CEOC/EMIC-style 災情通報、任務派遣、跨機關通報、地方應變中心與現場指揮所的資料邊界補成正式產品契約。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F4E79"/>
        </w:rPr>
        <w:t>1. Executive Summary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</w:rPr>
        <w:t>本報告把 LinkGuard v0.3 放進兩個真實架構中檢查：第一是 INSARAG 國際 USAR 方法論，第二是台灣 CEOC 中央災害應變中心與 EMIC 類災情任務體系。結論不是要把 LinkGuard 變成政府既有系統的複製品，而是把資料模型、角色權限、離線同步與現場回報做成能與真實應變體系對話的產品。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已正確：UCC/SCC/TL/TE/VO/EMT 分流、shared incident state、離線佇列、AAR、醫療資料邊界。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要補強：CEOC/EMIC-compatible 災情與任務資料模型、正式同步服務、裝置 provisioning、ASR/RCM/worksite 產品化。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不能宣稱：目前不能說已完整接軌台灣 CEOC/EMIC，也不能說是完整 INSARAG field-ready 系統。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開發優先序：資料契約先於 UI 美化；同步與稽核先於 AI；醫療摘要邊界先於跨角色資料開放。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EF6EF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0B2545"/>
                <w:sz w:val="21"/>
              </w:rPr>
              <w:t xml:space="preserve">核心架構原則： </w:t>
            </w:r>
            <w:r>
              <w:rPr>
                <w:rFonts w:ascii="Microsoft JhengHei" w:hAnsi="Microsoft JhengHei" w:eastAsia="Microsoft JhengHei"/>
                <w:sz w:val="21"/>
              </w:rPr>
              <w:t>CEOC/UCC 看跨區與跨機關協調，SCC/地方應變中心掌握現場戰術，TL/TE/VO 降低回報負擔，EMT 保有臨床資料權威。所有角色共享同一個 incident state，但不能共享同一個資料權限。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F4E79"/>
        </w:rPr>
        <w:t>2. 官方基準與查核邏輯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</w:rPr>
        <w:t>本報告使用官方一手或高可信官方資料作為查核基準。國際部分以 INSARAG、FEMA ICS/NIMS、WHO EMT 為主；台灣部分以行政院中央災害防救會報、內政部消防署 EMIC、NCDR 與環境部系統為主。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600"/>
        <w:gridCol w:w="3810"/>
      </w:tblGrid>
      <w:tr>
        <w:tc>
          <w:tcPr>
            <w:tcW w:type="dxa" w:w="19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來源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本報告採用重點</w:t>
            </w:r>
          </w:p>
        </w:tc>
        <w:tc>
          <w:tcPr>
            <w:tcW w:type="dxa" w:w="3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對 LinkGuard 的要求</w:t>
            </w:r>
          </w:p>
        </w:tc>
      </w:tr>
      <w:tr>
        <w:tc>
          <w:tcPr>
            <w:tcW w:type="dxa" w:w="19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台灣 CEOC 作業要點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開設、前置情資研判、進駐機關、任務分工</w:t>
            </w:r>
          </w:p>
        </w:tc>
        <w:tc>
          <w:tcPr>
            <w:tcW w:type="dxa" w:w="3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 需支援跨機關、跨行政區、開設層級與會議紀錄。</w:t>
            </w:r>
          </w:p>
        </w:tc>
      </w:tr>
      <w:tr>
        <w:tc>
          <w:tcPr>
            <w:tcW w:type="dxa" w:w="19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消防署 EMIC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災情查報、任務指派、通報傳送、決策支援</w:t>
            </w:r>
          </w:p>
        </w:tc>
        <w:tc>
          <w:tcPr>
            <w:tcW w:type="dxa" w:w="3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建立 DisasterReport、Mission、AgencyMessage 與查證狀態。</w:t>
            </w:r>
          </w:p>
        </w:tc>
      </w:tr>
      <w:tr>
        <w:tc>
          <w:tcPr>
            <w:tcW w:type="dxa" w:w="19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INSARAG Guidelines / ICMS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UCC/SCC/RDC、資訊管理、USAR coordination</w:t>
            </w:r>
          </w:p>
        </w:tc>
        <w:tc>
          <w:tcPr>
            <w:tcW w:type="dxa" w:w="3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建立 team intake、worksite、ASR、RCM 與 coordination cycle。</w:t>
            </w:r>
          </w:p>
        </w:tc>
      </w:tr>
      <w:tr>
        <w:tc>
          <w:tcPr>
            <w:tcW w:type="dxa" w:w="19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FEMA ICS / IAP forms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目標、組織、任務、通訊、醫療、安全、活動紀錄</w:t>
            </w:r>
          </w:p>
        </w:tc>
        <w:tc>
          <w:tcPr>
            <w:tcW w:type="dxa" w:w="3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建立 IAP-style operational period 與 audit trail。</w:t>
            </w:r>
          </w:p>
        </w:tc>
      </w:tr>
      <w:tr>
        <w:tc>
          <w:tcPr>
            <w:tcW w:type="dxa" w:w="19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WHO EMT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EMT 分類、最低標準、醫療協調</w:t>
            </w:r>
          </w:p>
        </w:tc>
        <w:tc>
          <w:tcPr>
            <w:tcW w:type="dxa" w:w="3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醫療資料分 summary 與 clinical details，不可全域暴露。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F4E79"/>
        </w:rPr>
        <w:t>3. 台灣 CEOC 體系與產品定位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</w:rPr>
        <w:t>CEOC 是台灣中央災害應變中心的核心縮寫。本報告使用 CEOC 指稱台灣中央層級的災害應變協調中心；EOC 僅作為一般 Emergency Operations Center 或地方應變中心概念，不取代 CEOC。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</w:rPr>
        <w:t>LinkGuard-UCC 不應直接宣稱等同 CEOC。較準確的產品定位是：LinkGuard-UCC 可提供 CEOC-like 的跨區協調、資料彙整、跨機關通報、情資視覺化與決策支援能力；LinkGuard-SCC 則對應地方災害應變中心、前進指揮所或特定災區的現場戰術節點。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300"/>
        <w:gridCol w:w="3300"/>
        <w:gridCol w:w="3310"/>
      </w:tblGrid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台灣節點</w:t>
            </w:r>
          </w:p>
        </w:tc>
        <w:tc>
          <w:tcPr>
            <w:tcW w:type="dxa" w:w="1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LinkGuard 對應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主要資料</w:t>
            </w:r>
          </w:p>
        </w:tc>
        <w:tc>
          <w:tcPr>
            <w:tcW w:type="dxa" w:w="3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產品邊界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CEOC</w:t>
            </w:r>
          </w:p>
        </w:tc>
        <w:tc>
          <w:tcPr>
            <w:tcW w:type="dxa" w:w="1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跨縣市災情、資源、會議、跨機關通報</w:t>
            </w:r>
          </w:p>
        </w:tc>
        <w:tc>
          <w:tcPr>
            <w:tcW w:type="dxa" w:w="3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看全局與協調，不直接覆蓋現場戰術資料。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地方災害應變中心</w:t>
            </w:r>
          </w:p>
        </w:tc>
        <w:tc>
          <w:tcPr>
            <w:tcW w:type="dxa" w:w="1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SCC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行政區災情、派遣、現場回報、地方資源</w:t>
            </w:r>
          </w:p>
        </w:tc>
        <w:tc>
          <w:tcPr>
            <w:tcW w:type="dxa" w:w="3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管理地方/災區戰術與任務落地。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前進指揮所</w:t>
            </w:r>
          </w:p>
        </w:tc>
        <w:tc>
          <w:tcPr>
            <w:tcW w:type="dxa" w:w="1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SCC / TL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現場分區、隊伍、worksite、危險與通訊</w:t>
            </w:r>
          </w:p>
        </w:tc>
        <w:tc>
          <w:tcPr>
            <w:tcW w:type="dxa" w:w="3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負責可執行任務與現場安全。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查報人員</w:t>
            </w:r>
          </w:p>
        </w:tc>
        <w:tc>
          <w:tcPr>
            <w:tcW w:type="dxa" w:w="1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TE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GPS、照片、災情狀態、任務回報</w:t>
            </w:r>
          </w:p>
        </w:tc>
        <w:tc>
          <w:tcPr>
            <w:tcW w:type="dxa" w:w="3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低負擔回報，不進入完整指揮後台。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民眾/志工</w:t>
            </w:r>
          </w:p>
        </w:tc>
        <w:tc>
          <w:tcPr>
            <w:tcW w:type="dxa" w:w="1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VO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災情通報、位置、照片、SOS、安全需求</w:t>
            </w:r>
          </w:p>
        </w:tc>
        <w:tc>
          <w:tcPr>
            <w:tcW w:type="dxa" w:w="3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需查證，不直接成為官方 operational truth。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醫療組/EMT</w:t>
            </w:r>
          </w:p>
        </w:tc>
        <w:tc>
          <w:tcPr>
            <w:tcW w:type="dxa" w:w="1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EMT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檢傷、後送、容量、交接摘要</w:t>
            </w:r>
          </w:p>
        </w:tc>
        <w:tc>
          <w:tcPr>
            <w:tcW w:type="dxa" w:w="3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臨床細節保留在醫療權限邊界。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F4E79"/>
        </w:rPr>
        <w:t>4. LinkGuard 角色架構對照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</w:rPr>
        <w:t>角色分流是 LinkGuard v0.3 最重要的正確方向。真實災害應變不是所有人看同一個 HQ 畫面，而是每個角色只看到自己能決策、能執行、能回報的資訊。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00"/>
        <w:gridCol w:w="2550"/>
        <w:gridCol w:w="3560"/>
      </w:tblGrid>
      <w:tr>
        <w:tc>
          <w:tcPr>
            <w:tcW w:type="dxa" w:w="1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App/角色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台灣 CEOC 場景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INSARAG/ICS 場景</w:t>
            </w:r>
          </w:p>
        </w:tc>
        <w:tc>
          <w:tcPr>
            <w:tcW w:type="dxa" w:w="3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應開放能力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UCC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CEOC-like 協調層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UCC/OSOCC coordination + Unified Command</w:t>
            </w:r>
          </w:p>
        </w:tc>
        <w:tc>
          <w:tcPr>
            <w:tcW w:type="dxa" w:w="3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跨區 dashboard、資源缺口、會議、AAR、資料權威。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SCC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地方應變中心/現場指揮所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SCC/ICP</w:t>
            </w:r>
          </w:p>
        </w:tc>
        <w:tc>
          <w:tcPr>
            <w:tcW w:type="dxa" w:w="3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分區、任務派遣、人員安全、地圖態勢、現場同步。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TL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前進指揮/分隊長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Division/Group/Team Leader</w:t>
            </w:r>
          </w:p>
        </w:tc>
        <w:tc>
          <w:tcPr>
            <w:tcW w:type="dxa" w:w="3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隊伍任務、worksite 更新、危險標記、進出場。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TE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查報/搜救隊員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Field operator</w:t>
            </w:r>
          </w:p>
        </w:tc>
        <w:tc>
          <w:tcPr>
            <w:tcW w:type="dxa" w:w="3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GPS、照片、任務狀態、ASR/RCM 線索、SOS。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VO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民眾/志工通報端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Volunteer/community reporter</w:t>
            </w:r>
          </w:p>
        </w:tc>
        <w:tc>
          <w:tcPr>
            <w:tcW w:type="dxa" w:w="3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低門檻通報、語音/照片/位置、查證前狀態。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EMT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醫療組/救護單位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Emergency Medical Team</w:t>
            </w:r>
          </w:p>
        </w:tc>
        <w:tc>
          <w:tcPr>
            <w:tcW w:type="dxa" w:w="3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START、生命徵象、後送、醫療容量、交接摘要。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4E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0B2545"/>
                <w:sz w:val="21"/>
              </w:rPr>
              <w:t xml:space="preserve">不可越權： </w:t>
            </w:r>
            <w:r>
              <w:rPr>
                <w:rFonts w:ascii="Microsoft JhengHei" w:hAnsi="Microsoft JhengHei" w:eastAsia="Microsoft JhengHei"/>
                <w:sz w:val="21"/>
              </w:rPr>
              <w:t>UCC 不能直接改寫 SCC 的現場戰術 truth；VO/TE 回報不能直接變成官方災情；SCC/UCC 不應讀取 EMT 完整臨床病歷。這三條是產品資料權限的底線。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F4E79"/>
        </w:rPr>
        <w:t>5. 開發架構藍圖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</w:rPr>
        <w:t>建議以共同 incident state 為核心，外層切成 role-based view。每個寫入事件都需要 actor、role、device、timestamp、source、sync state 與 audit event。這讓 LinkGuard 同時支援現場離線、跨中心同步、AAR 與事後稽核。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250"/>
        <w:gridCol w:w="4210"/>
      </w:tblGrid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架構層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責任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最低資料契約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Shared Incident State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所有角色共同指向的事件真相來源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incidentID、災害類別、行政區、operational period、版本、資料權威。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Role View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依 UCC/SCC/TL/TE/VO/EMT 裁切 UI 與功能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role、permission、read scope、write scope、approval path。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Domain Authority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每個資料域有明確維護者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command、field operation、medical、resource、communications、AAR。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Offline Queue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斷線時保存操作，恢復後同步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operationID、payload、retry、receipt、merge status。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Audit Trail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支援 AAR、責任追蹤與資料稽核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actor、time、location、before/after、source command。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CEOC/EMIC Adapter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把產品資料映射成台灣災情與任務語意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DisasterReport、Mission、AgencyMessage、ResourceRequest。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color w:val="1F4E79"/>
        </w:rPr>
        <w:t>5.1 CEOC-compatible data model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250"/>
        <w:gridCol w:w="2360"/>
      </w:tblGrid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模型</w:t>
            </w:r>
          </w:p>
        </w:tc>
        <w:tc>
          <w:tcPr>
            <w:tcW w:type="dxa" w:w="5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必要欄位</w:t>
            </w:r>
          </w:p>
        </w:tc>
        <w:tc>
          <w:tcPr>
            <w:tcW w:type="dxa" w:w="2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權威角色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Incident</w:t>
            </w:r>
          </w:p>
        </w:tc>
        <w:tc>
          <w:tcPr>
            <w:tcW w:type="dxa" w:w="5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災害類別、開設層級、主管機關、行政區、作戰週期</w:t>
            </w:r>
          </w:p>
        </w:tc>
        <w:tc>
          <w:tcPr>
            <w:tcW w:type="dxa" w:w="2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UCC/SCC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DisasterReport</w:t>
            </w:r>
          </w:p>
        </w:tc>
        <w:tc>
          <w:tcPr>
            <w:tcW w:type="dxa" w:w="5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來源、類型、位置、照片、狀態、查證層級、是否派工</w:t>
            </w:r>
          </w:p>
        </w:tc>
        <w:tc>
          <w:tcPr>
            <w:tcW w:type="dxa" w:w="2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SCC；UCC 彙整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Mission</w:t>
            </w:r>
          </w:p>
        </w:tc>
        <w:tc>
          <w:tcPr>
            <w:tcW w:type="dxa" w:w="5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派遣單位、任務類型、優先度、接收/執行/完成/退回</w:t>
            </w:r>
          </w:p>
        </w:tc>
        <w:tc>
          <w:tcPr>
            <w:tcW w:type="dxa" w:w="2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SCC/TL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AgencyMessage</w:t>
            </w:r>
          </w:p>
        </w:tc>
        <w:tc>
          <w:tcPr>
            <w:tcW w:type="dxa" w:w="5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跨機關通報、工作會報、重要情資、回覆確認</w:t>
            </w:r>
          </w:p>
        </w:tc>
        <w:tc>
          <w:tcPr>
            <w:tcW w:type="dxa" w:w="2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UCC/SCC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ResourceRequest</w:t>
            </w:r>
          </w:p>
        </w:tc>
        <w:tc>
          <w:tcPr>
            <w:tcW w:type="dxa" w:w="5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人力、車輛、機具、醫療、物資、避難收容需求</w:t>
            </w:r>
          </w:p>
        </w:tc>
        <w:tc>
          <w:tcPr>
            <w:tcW w:type="dxa" w:w="2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UCC/SCC/Logistics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MedicalSummary</w:t>
            </w:r>
          </w:p>
        </w:tc>
        <w:tc>
          <w:tcPr>
            <w:tcW w:type="dxa" w:w="5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傷患數、檢傷分類、後送狀態、醫療容量摘要</w:t>
            </w:r>
          </w:p>
        </w:tc>
        <w:tc>
          <w:tcPr>
            <w:tcW w:type="dxa" w:w="2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EMT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AuditEvent</w:t>
            </w:r>
          </w:p>
        </w:tc>
        <w:tc>
          <w:tcPr>
            <w:tcW w:type="dxa" w:w="5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誰、何時、在哪裡、依哪個權限改了什麼</w:t>
            </w:r>
          </w:p>
        </w:tc>
        <w:tc>
          <w:tcPr>
            <w:tcW w:type="dxa" w:w="2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System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color w:val="1F4E79"/>
        </w:rPr>
        <w:t>5.2 sync envelope and approval path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</w:rPr>
        <w:t>CEOC/INSARAG 對齊不是把資料送上雲端就完成。每筆資料都需要知道來源、權限、查證狀態與是否已被納入 official operational picture。這一層是 LinkGuard 從展示 demo 進入真實救災系統的關鍵。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350"/>
        <w:gridCol w:w="4260"/>
      </w:tblGrid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欄位</w:t>
            </w:r>
          </w:p>
        </w:tc>
        <w:tc>
          <w:tcPr>
            <w:tcW w:type="dxa" w:w="3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最低行為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operationID</w:t>
            </w:r>
          </w:p>
        </w:tc>
        <w:tc>
          <w:tcPr>
            <w:tcW w:type="dxa" w:w="3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每次操作的穩定識別碼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重送時不可重複建立災情或任務。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sourceRole/sourceDevice</w:t>
            </w:r>
          </w:p>
        </w:tc>
        <w:tc>
          <w:tcPr>
            <w:tcW w:type="dxa" w:w="3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標記由誰、哪個裝置產生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支援離線稽核與責任追蹤。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domain</w:t>
            </w:r>
          </w:p>
        </w:tc>
        <w:tc>
          <w:tcPr>
            <w:tcW w:type="dxa" w:w="3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command、field、medical、resource、agency、AAR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依 domain 決定可讀寫角色。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approvalState</w:t>
            </w:r>
          </w:p>
        </w:tc>
        <w:tc>
          <w:tcPr>
            <w:tcW w:type="dxa" w:w="3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draft、submitted、accepted、rejected、superseded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VO/TE 回報必須經查證才成為 official truth。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syncReceipt</w:t>
            </w:r>
          </w:p>
        </w:tc>
        <w:tc>
          <w:tcPr>
            <w:tcW w:type="dxa" w:w="3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queued、sent、acknowledged、merged、conflicted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UCC/SCC 能看到資料是否真的同步完成。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auditPointer</w:t>
            </w:r>
          </w:p>
        </w:tc>
        <w:tc>
          <w:tcPr>
            <w:tcW w:type="dxa" w:w="3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連到 AAR/audit event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每個狀態轉換都能回放。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EF6EF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0B2545"/>
                <w:sz w:val="21"/>
              </w:rPr>
              <w:t xml:space="preserve">實作建議： </w:t>
            </w:r>
            <w:r>
              <w:rPr>
                <w:rFonts w:ascii="Microsoft JhengHei" w:hAnsi="Microsoft JhengHei" w:eastAsia="Microsoft JhengHei"/>
                <w:sz w:val="21"/>
              </w:rPr>
              <w:t>先建立 envelope 與 approvalState，再做漂亮 dashboard。若沒有這層，CEOC/EMIC 災情、INSARAG ASR/RCM、醫療摘要會彼此覆蓋，最後無法判斷哪一筆是正式狀態。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F4E79"/>
        </w:rPr>
        <w:t>6. 台灣災情資料流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</w:rPr>
        <w:t>EMIC 類系統的核心不是地圖本身，而是災情、任務、查報與通報的閉環。LinkGuard 要落地台灣，必須讓 VO/TE/TL/SCC/UCC 的資料狀態能對應到通報、查證、派工、執行、完成、彙整與會議決策。</w:t>
      </w:r>
    </w:p>
    <w:p>
      <w:pPr>
        <w:pStyle w:val="ListNumber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民眾/志工或現場人員建立 DisasterReport：包含位置、照片、類型、描述與安全狀態。</w:t>
      </w:r>
    </w:p>
    <w:p>
      <w:pPr>
        <w:pStyle w:val="ListNumber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SCC/地方應變中心進行查證：標記為待查證、已查證、重複、退回、已派工。</w:t>
      </w:r>
    </w:p>
    <w:p>
      <w:pPr>
        <w:pStyle w:val="ListNumber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SCC 建立 Mission：指派單位、任務類型、優先度、回報要求與完成條件。</w:t>
      </w:r>
    </w:p>
    <w:p>
      <w:pPr>
        <w:pStyle w:val="ListNumber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TL/TE 執行任務並回報：狀態、GPS、照片、語音、危險、需求與完成證據。</w:t>
      </w:r>
    </w:p>
    <w:p>
      <w:pPr>
        <w:pStyle w:val="ListNumber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UCC/CEOC-like 視圖彙整跨行政區資訊：災情趨勢、資源缺口、重大事件、跨機關通報。</w:t>
      </w:r>
    </w:p>
    <w:p>
      <w:pPr>
        <w:pStyle w:val="ListNumber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AgencyMessage 形成工作會報與重要情資紀錄：保留發送、回覆確認與責任單位。</w:t>
      </w:r>
    </w:p>
    <w:p>
      <w:pPr>
        <w:pStyle w:val="ListNumber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AuditEvent 自動記錄所有狀態變更，供 AAR 與事後稽核。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50"/>
        <w:gridCol w:w="4210"/>
      </w:tblGrid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狀態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產品意義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不可省略原因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Submitted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前線或民眾已送出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保留來源，不讓資料消失。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Verifying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SCC/權責單位查證中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避免未查證資料直接變成官方災情。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Accepted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納入 operational truth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地圖、任務、會議與統計可引用。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Dispatched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已形成任務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把災情轉為可執行救災行動。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In Progress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任務進行中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指揮端可掌握現場狀態。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Completed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任務完成並附證據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支援結案、統計與 AAR。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Rejected/Duplicate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退回或重複</w:t>
            </w:r>
          </w:p>
        </w:tc>
        <w:tc>
          <w:tcPr>
            <w:tcW w:type="dxa" w:w="42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保留紀錄但不污染官方態勢。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color w:val="1F4E79"/>
        </w:rPr>
        <w:t>6.1 CEOC/EMIC-style workflow owners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050"/>
        <w:gridCol w:w="3000"/>
        <w:gridCol w:w="2560"/>
      </w:tblGrid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流程節點</w:t>
            </w:r>
          </w:p>
        </w:tc>
        <w:tc>
          <w:tcPr>
            <w:tcW w:type="dxa" w:w="2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主要 owner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LinkGuard UI/服務</w:t>
            </w:r>
          </w:p>
        </w:tc>
        <w:tc>
          <w:tcPr>
            <w:tcW w:type="dxa" w:w="2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資料輸出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前置情資研判</w:t>
            </w:r>
          </w:p>
        </w:tc>
        <w:tc>
          <w:tcPr>
            <w:tcW w:type="dxa" w:w="2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 / CEOC-like Planning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情資 dashboard、預警、風險摘要</w:t>
            </w:r>
          </w:p>
        </w:tc>
        <w:tc>
          <w:tcPr>
            <w:tcW w:type="dxa" w:w="2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incident draft、hot zone、resource pre-plan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災情通報</w:t>
            </w:r>
          </w:p>
        </w:tc>
        <w:tc>
          <w:tcPr>
            <w:tcW w:type="dxa" w:w="2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VO / TE / 外部來源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低門檻通報、照片、定位、語音</w:t>
            </w:r>
          </w:p>
        </w:tc>
        <w:tc>
          <w:tcPr>
            <w:tcW w:type="dxa" w:w="2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DisasterReport submitted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查證與分派</w:t>
            </w:r>
          </w:p>
        </w:tc>
        <w:tc>
          <w:tcPr>
            <w:tcW w:type="dxa" w:w="2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SCC / 地方應變中心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查證佇列、地圖、派工板</w:t>
            </w:r>
          </w:p>
        </w:tc>
        <w:tc>
          <w:tcPr>
            <w:tcW w:type="dxa" w:w="2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accepted report、Mission dispatched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任務執行</w:t>
            </w:r>
          </w:p>
        </w:tc>
        <w:tc>
          <w:tcPr>
            <w:tcW w:type="dxa" w:w="2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TL / TE / EMT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任務卡、進度、照片、傷患摘要</w:t>
            </w:r>
          </w:p>
        </w:tc>
        <w:tc>
          <w:tcPr>
            <w:tcW w:type="dxa" w:w="2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Mission update、MedicalSummary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跨機關通報</w:t>
            </w:r>
          </w:p>
        </w:tc>
        <w:tc>
          <w:tcPr>
            <w:tcW w:type="dxa" w:w="2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 / SCC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AgencyMessage、工作會議、回覆確認</w:t>
            </w:r>
          </w:p>
        </w:tc>
        <w:tc>
          <w:tcPr>
            <w:tcW w:type="dxa" w:w="2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會議紀錄、重要情資、責任單位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結案與復盤</w:t>
            </w:r>
          </w:p>
        </w:tc>
        <w:tc>
          <w:tcPr>
            <w:tcW w:type="dxa" w:w="2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 / SCC / AAR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timeline replay、稽核、指標</w:t>
            </w:r>
          </w:p>
        </w:tc>
        <w:tc>
          <w:tcPr>
            <w:tcW w:type="dxa" w:w="2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AAR package、改善項、訓練材料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F4E79"/>
        </w:rPr>
        <w:t>7. INSARAG 作業資料流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</w:rPr>
        <w:t>INSARAG 場景與台灣 CEOC 場景可以共用同一套資料骨架，但名稱與工作節奏不同。INSARAG 重視 USAR team capability、RDC arrival、UCC/SCC coordination、worksite、ASR、RCM 與 demobilization；台灣場景重視災情查報、任務派遣、跨機關通報與行政區彙整。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50"/>
        <w:gridCol w:w="511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INSARAG object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LinkGuard object</w:t>
            </w:r>
          </w:p>
        </w:tc>
        <w:tc>
          <w:tcPr>
            <w:tcW w:type="dxa" w:w="5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開發要求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RDC arrival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TeamIntake / ResourceCheckIn</w:t>
            </w:r>
          </w:p>
        </w:tc>
        <w:tc>
          <w:tcPr>
            <w:tcW w:type="dxa" w:w="5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登錄隊伍、國家/單位、能力、抵達、支援需求。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UCC/SCC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UCC/SCC command scope</w:t>
            </w:r>
          </w:p>
        </w:tc>
        <w:tc>
          <w:tcPr>
            <w:tcW w:type="dxa" w:w="5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支援 coordination cycle：collection、analysis、briefing、distribution。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Sector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Sector / SubSector</w:t>
            </w:r>
          </w:p>
        </w:tc>
        <w:tc>
          <w:tcPr>
            <w:tcW w:type="dxa" w:w="5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地圖分區、責任單位、危險、active worksite。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Worksite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Worksite</w:t>
            </w:r>
          </w:p>
        </w:tc>
        <w:tc>
          <w:tcPr>
            <w:tcW w:type="dxa" w:w="5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code、位置、ASR level、status、assigned team、照片。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ASR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Assessment</w:t>
            </w:r>
          </w:p>
        </w:tc>
        <w:tc>
          <w:tcPr>
            <w:tcW w:type="dxa" w:w="5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危險、入口、受困者線索、優先度、reporter、timestamp。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RCM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Rescue/Marking feature</w:t>
            </w:r>
          </w:p>
        </w:tc>
        <w:tc>
          <w:tcPr>
            <w:tcW w:type="dxa" w:w="5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現場標記、搜索狀態、victim marking、cordon、照片/GPS。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Medical evacuation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MedicalSummary / PatientFlow</w:t>
            </w:r>
          </w:p>
        </w:tc>
        <w:tc>
          <w:tcPr>
            <w:tcW w:type="dxa" w:w="5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檢傷、CCP、後送路線、目的地、交接狀態。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Demobilization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Demobilization record</w:t>
            </w:r>
          </w:p>
        </w:tc>
        <w:tc>
          <w:tcPr>
            <w:tcW w:type="dxa" w:w="5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撤收、移交、隊伍狀態、設備、人員與 AAR input。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7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0B2545"/>
                <w:sz w:val="21"/>
              </w:rPr>
              <w:t xml:space="preserve">資料整合重點： </w:t>
            </w:r>
            <w:r>
              <w:rPr>
                <w:rFonts w:ascii="Microsoft JhengHei" w:hAnsi="Microsoft JhengHei" w:eastAsia="Microsoft JhengHei"/>
                <w:sz w:val="21"/>
              </w:rPr>
              <w:t>同一個 worksite 必須能追到 sector、assigned team、ASR、RCM、task、medical event 與 AAR。若這條鏈斷掉，系統就只是多個漂亮頁面，不是真正的救災作業系統。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color w:val="1F4E79"/>
        </w:rPr>
        <w:t>7.1 ASR / RCM / Worksite implementation minimum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功能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最低欄位</w:t>
            </w:r>
          </w:p>
        </w:tc>
        <w:tc>
          <w:tcPr>
            <w:tcW w:type="dxa" w:w="3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UI 行為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Worksite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code、sector、location、priority、status、assigned team</w:t>
            </w:r>
          </w:p>
        </w:tc>
        <w:tc>
          <w:tcPr>
            <w:tcW w:type="dxa" w:w="3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SCC 建立與指派；TL/TE 僅能更新被授權 worksite。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ASR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level、hazards、victim clues、access、reporter、evidence</w:t>
            </w:r>
          </w:p>
        </w:tc>
        <w:tc>
          <w:tcPr>
            <w:tcW w:type="dxa" w:w="3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TE/TL 可離線提交；SCC 接受後更新官方狀態。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RCM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marking type、coordinates、photo、timestamp、team、status</w:t>
            </w:r>
          </w:p>
        </w:tc>
        <w:tc>
          <w:tcPr>
            <w:tcW w:type="dxa" w:w="3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地圖可視化；保留歷史與 current operational marking。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Team capability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team code、classification、technical/dog/medical/hazmat、support needs</w:t>
            </w:r>
          </w:p>
        </w:tc>
        <w:tc>
          <w:tcPr>
            <w:tcW w:type="dxa" w:w="3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UCC/SCC 用於派遣，不讓隊伍自動取得 command authority。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Medical link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patient count、START summary、CCP、evacuation route、handoff</w:t>
            </w:r>
          </w:p>
        </w:tc>
        <w:tc>
          <w:tcPr>
            <w:tcW w:type="dxa" w:w="3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只回掛營運摘要，不把 clinical notes 暴露給全角色。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F4E79"/>
        </w:rPr>
        <w:t>8. Gap Matrix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</w:rPr>
        <w:t>以下矩陣把目前 LinkGuard v0.3 的可取方向、台灣 CEOC 缺口、INSARAG 缺口與開發優先級放在同一張表。這張表可直接作為後續 issue/roadmap 的來源。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850"/>
        <w:gridCol w:w="3910"/>
        <w:gridCol w:w="1250"/>
      </w:tblGrid>
      <w:tr>
        <w:tc>
          <w:tcPr>
            <w:tcW w:type="dxa" w:w="1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面向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目前可取方向</w:t>
            </w:r>
          </w:p>
        </w:tc>
        <w:tc>
          <w:tcPr>
            <w:tcW w:type="dxa" w:w="3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缺口</w:t>
            </w:r>
          </w:p>
        </w:tc>
        <w:tc>
          <w:tcPr>
            <w:tcW w:type="dxa" w:w="1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優先級</w:t>
            </w:r>
          </w:p>
        </w:tc>
      </w:tr>
      <w:tr>
        <w:tc>
          <w:tcPr>
            <w:tcW w:type="dxa" w:w="1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角色分流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UCC/SCC/TL/TE/VO/EMT 已有清楚產品方向</w:t>
            </w:r>
          </w:p>
        </w:tc>
        <w:tc>
          <w:tcPr>
            <w:tcW w:type="dxa" w:w="3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CEOC、地方應變中心、前進指揮所命名與權限仍需正式化</w:t>
            </w:r>
          </w:p>
        </w:tc>
        <w:tc>
          <w:tcPr>
            <w:tcW w:type="dxa" w:w="1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P0</w:t>
            </w:r>
          </w:p>
        </w:tc>
      </w:tr>
      <w:tr>
        <w:tc>
          <w:tcPr>
            <w:tcW w:type="dxa" w:w="1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資料模型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shared core 與 incident state 已有雛形</w:t>
            </w:r>
          </w:p>
        </w:tc>
        <w:tc>
          <w:tcPr>
            <w:tcW w:type="dxa" w:w="3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缺 CEOC/EMIC-style DisasterReport、Mission、AgencyMessage</w:t>
            </w:r>
          </w:p>
        </w:tc>
        <w:tc>
          <w:tcPr>
            <w:tcW w:type="dxa" w:w="1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P0</w:t>
            </w:r>
          </w:p>
        </w:tc>
      </w:tr>
      <w:tr>
        <w:tc>
          <w:tcPr>
            <w:tcW w:type="dxa" w:w="1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同步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offline queue 與 retry 思路正確</w:t>
            </w:r>
          </w:p>
        </w:tc>
        <w:tc>
          <w:tcPr>
            <w:tcW w:type="dxa" w:w="3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缺正式 server endpoint、device provisioning、receipt dashboard</w:t>
            </w:r>
          </w:p>
        </w:tc>
        <w:tc>
          <w:tcPr>
            <w:tcW w:type="dxa" w:w="1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P0</w:t>
            </w:r>
          </w:p>
        </w:tc>
      </w:tr>
      <w:tr>
        <w:tc>
          <w:tcPr>
            <w:tcW w:type="dxa" w:w="1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地圖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點線面與 overlay 概念正確</w:t>
            </w:r>
          </w:p>
        </w:tc>
        <w:tc>
          <w:tcPr>
            <w:tcW w:type="dxa" w:w="3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ASR/RCM/worksite 尚未完整產品化</w:t>
            </w:r>
          </w:p>
        </w:tc>
        <w:tc>
          <w:tcPr>
            <w:tcW w:type="dxa" w:w="1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P1</w:t>
            </w:r>
          </w:p>
        </w:tc>
      </w:tr>
      <w:tr>
        <w:tc>
          <w:tcPr>
            <w:tcW w:type="dxa" w:w="1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醫療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EMT 獨立 app 與 medical separation 方向正確</w:t>
            </w:r>
          </w:p>
        </w:tc>
        <w:tc>
          <w:tcPr>
            <w:tcW w:type="dxa" w:w="3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缺 operational summary vs clinical details 的強制資料邊界</w:t>
            </w:r>
          </w:p>
        </w:tc>
        <w:tc>
          <w:tcPr>
            <w:tcW w:type="dxa" w:w="1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P1</w:t>
            </w:r>
          </w:p>
        </w:tc>
      </w:tr>
      <w:tr>
        <w:tc>
          <w:tcPr>
            <w:tcW w:type="dxa" w:w="1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通報/會議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已有 AAR 與 sync audit 思路</w:t>
            </w:r>
          </w:p>
        </w:tc>
        <w:tc>
          <w:tcPr>
            <w:tcW w:type="dxa" w:w="3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缺工作會報、跨機關通報、回覆確認、重要情資 workflow</w:t>
            </w:r>
          </w:p>
        </w:tc>
        <w:tc>
          <w:tcPr>
            <w:tcW w:type="dxa" w:w="1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P1</w:t>
            </w:r>
          </w:p>
        </w:tc>
      </w:tr>
      <w:tr>
        <w:tc>
          <w:tcPr>
            <w:tcW w:type="dxa" w:w="1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AI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可做風險與摘要輔助</w:t>
            </w:r>
          </w:p>
        </w:tc>
        <w:tc>
          <w:tcPr>
            <w:tcW w:type="dxa" w:w="3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不能在資料契約未穩時先做決策自動化</w:t>
            </w:r>
          </w:p>
        </w:tc>
        <w:tc>
          <w:tcPr>
            <w:tcW w:type="dxa" w:w="1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P2</w:t>
            </w:r>
          </w:p>
        </w:tc>
      </w:tr>
      <w:tr>
        <w:tc>
          <w:tcPr>
            <w:tcW w:type="dxa" w:w="1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正式宣稱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prototype/core scaffold 可成立</w:t>
            </w:r>
          </w:p>
        </w:tc>
        <w:tc>
          <w:tcPr>
            <w:tcW w:type="dxa" w:w="3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尚未能宣稱 CEOC/EMIC integrated 或 INSARAG field-ready</w:t>
            </w:r>
          </w:p>
        </w:tc>
        <w:tc>
          <w:tcPr>
            <w:tcW w:type="dxa" w:w="1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P0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color w:val="1F4E79"/>
        </w:rPr>
        <w:t>8.1 Development roadmap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250"/>
        <w:gridCol w:w="4660"/>
      </w:tblGrid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階段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目標</w:t>
            </w:r>
          </w:p>
        </w:tc>
        <w:tc>
          <w:tcPr>
            <w:tcW w:type="dxa" w:w="4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完成後能力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P0 資料契約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CEOC/EMIC models、INSARAG worksite/ASR/RCM、sync envelope</w:t>
            </w:r>
          </w:p>
        </w:tc>
        <w:tc>
          <w:tcPr>
            <w:tcW w:type="dxa" w:w="4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所有角色可寫入同一 incident state，且每筆資料有權限與稽核。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P0 同步底座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server endpoint、device provisioning、receipt/conflict dashboard</w:t>
            </w:r>
          </w:p>
        </w:tc>
        <w:tc>
          <w:tcPr>
            <w:tcW w:type="dxa" w:w="4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弱網與跨裝置不再只是 local prototype。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P1 指揮產品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UCC/SCC dashboard、查證佇列、任務板、AgencyMessage</w:t>
            </w:r>
          </w:p>
        </w:tc>
        <w:tc>
          <w:tcPr>
            <w:tcW w:type="dxa" w:w="4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支援 CEOC-like 跨機關與 SCC 現場戰術作業。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P1 現場產品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TL/TE/VO/EMT 任務、照片、GPS、ASR/RCM、醫療摘要</w:t>
            </w:r>
          </w:p>
        </w:tc>
        <w:tc>
          <w:tcPr>
            <w:tcW w:type="dxa" w:w="4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可進行現場演練，不靠手動補資料。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P2 演練與 AAR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field drill、timeline replay、指標、改善清單</w:t>
            </w:r>
          </w:p>
        </w:tc>
        <w:tc>
          <w:tcPr>
            <w:tcW w:type="dxa" w:w="4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能用真實演練結果修正產品。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P3 AI 輔助</w:t>
            </w:r>
          </w:p>
        </w:tc>
        <w:tc>
          <w:tcPr>
            <w:tcW w:type="dxa" w:w="32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風險摘要、資源建議、重複災情合併</w:t>
            </w:r>
          </w:p>
        </w:tc>
        <w:tc>
          <w:tcPr>
            <w:tcW w:type="dxa" w:w="4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在資料契約穩定後做輔助，不取代指揮官決策。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F4E79"/>
        </w:rPr>
        <w:t>9. 開發驗收清單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</w:rPr>
        <w:t>以下條件達成後，LinkGuard 才能比較合理地宣稱具備台灣 CEOC 對齊與 INSARAG 架構對齊的開發基礎。它不是完整正式認證，但可以作為產品開發 gate。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CEOC：UCC 可看跨行政區災情、資源、任務、工作會報與跨機關通報摘要。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地方/SCC：SCC 可建立災情、查證、派工、追蹤、結案，且與 UCC 同步。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現場/TL/TE：任務接收、GPS、照片、危險、ASR/RCM、SOS 可離線保存並恢復同步。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VO：民眾/志工回報進入查證流程，不直接覆蓋官方態勢。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EMT：傷患資料分成 clinical details 與 operational summary，SCC/UCC 只看必要摘要。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INSARAG：RDC/team intake、UCC/SCC、sector/worksite、ASR、RCM、demobilization 形成閉環。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同步：每筆操作有 receipt、merge status、conflict handling 與 audit event。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AAR：可從時間線回放災情、任務、醫療、通報、同步與決策事件。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4700"/>
        <w:gridCol w:w="2810"/>
      </w:tblGrid>
      <w:t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開發 gate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通過標準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失敗時不可宣稱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CEOC-compatible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災情/任務/通報/資源/會議資料可被 UCC 彙整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不可宣稱台灣 CEOC 對齊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INSARAG-aligned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worksite-ASR-RCM-team-task-medical-AAR 可追溯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不可宣稱 INSARAG field-ready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Offline-ready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無網路完成回報與任務，恢復後可同步與稽核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不可宣稱現場弱網可用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Medical-safe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臨床資料與營運摘要強制分離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不可宣稱醫療資料權限安全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Audit-ready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每筆決策與資料改動可追到人、時間、來源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不可宣稱可做正式 AAR</w:t>
            </w:r>
          </w:p>
        </w:tc>
      </w:tr>
    </w:tbl>
    <w:p/>
    <w:p>
      <w:pPr>
        <w:sectPr>
          <w:footerReference w:type="default" r:id="rId9"/>
          <w:pgSz w:w="12240" w:h="15840"/>
          <w:pgMar w:top="1224" w:right="1224" w:bottom="1080" w:left="1224" w:header="504" w:footer="504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4E79"/>
        </w:rPr>
        <w:t>Appendix A. 官方表單與 LinkGuard 模型對照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</w:rPr>
        <w:t>本附錄把官方作業常見表單或資訊流轉成開發對照。目的不是複製每一張表，而是確保 LinkGuard 的資料模型可以承接真實應變需要。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50"/>
        <w:gridCol w:w="4010"/>
      </w:tblGrid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官方表單/資料流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LinkGuard 對應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開發備註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CEOC 作業要點/工作會議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AgencyMessage、MeetingRecord、DecisionLog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支援跨機關通報、回覆確認、重要情資與決策紀錄。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EMIC 災情/任務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DisasterReport、Mission、ReportVerification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災情不能直接等於任務，必須有查證與派工狀態。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ICS 201 Incident Briefing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IncidentBrief、InitialSituation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事件初始摘要與轉移指揮時使用。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ICS 202 Incident Objectives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OperationalPeriod、Objectives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每個 operational period 應有明確目標。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ICS 203/207 Organization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CommandStructure、RoleAssignment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UCC/SCC/TL/EMT 權責需要可視化與可稽核。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ICS 204 Assignment List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Mission、TaskAssignment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任務必須有 owner、目標、資源、回報要求。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ICS 205/205A Communications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CommunicationPlan、AgencyContact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支援 PTT、群組、備援、聯絡清單。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ICS 206 Medical Plan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MedicalSummary、EvacuationPlan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只同步營運摘要，臨床細節留在 EMT。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ICS 214 Activity Log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AuditEvent、AARTimeline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所有角色行為轉為 AAR 可回放事件。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INSARAG ICMS UCC/RDC/Team</w:t>
            </w:r>
          </w:p>
        </w:tc>
        <w:tc>
          <w:tcPr>
            <w:tcW w:type="dxa" w:w="2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TeamIntake、UCCDashboard、RDCRegistration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支援隊伍到達、能力、分派、協調與撤收。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F4E79"/>
        </w:rPr>
        <w:t>Appendix B. 演練情境驗收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401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情境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操作路徑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必須觀察到的結果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地震多點災情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VO 通報三筆災情，SCC 查證兩筆並派工，UCC 看跨區摘要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未查證資料不污染 UCC 統計；派工任務可追到原始災情。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重型 USAR 抵達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 建立 TeamIntake，SCC 指派 worksite，TL/TE 回報 ASR/RCM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team capability 影響派遣；ASR/RCM 可回掛 worksite。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弱網現場任務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TE 離線拍照與回報，恢復網路後同步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operationID 不重複；sync receipt 可見；AAR 留下時間線。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大量民眾通報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VO 建立多筆照片/定位通報，SCC 合併重複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duplicate/rejected 保留原始紀錄但不進 official truth。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醫療後送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EMT 建立 START 與後送摘要，SCC/UCC 查看容量與路線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SCC/UCC 只看 MedicalSummary，不看完整 clinical details。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跨機關會議</w:t>
            </w:r>
          </w:p>
        </w:tc>
        <w:tc>
          <w:tcPr>
            <w:tcW w:type="dxa" w:w="3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UCC 發送 AgencyMessage，SCC/醫療/後勤回覆確認</w:t>
            </w:r>
          </w:p>
        </w:tc>
        <w:tc>
          <w:tcPr>
            <w:tcW w:type="dxa" w:w="4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會議決策、責任單位、回覆狀態進入 audit trail。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F4E79"/>
        </w:rPr>
        <w:t>Appendix C. 不應做的設計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不要把 UCC 做成所有資料都能直接改的 super admin；這會破壞 SCC 現場戰術權。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不要讓 VO/民眾通報直接變成官方災情；必須有查證與接受狀態。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不要讓完整醫療病歷流到 UCC/SCC dashboard；只同步營運必要摘要。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不要先做 AI 指揮建議再補資料契約；AI 應建立在可稽核資料流之上。</w:t>
      </w:r>
    </w:p>
    <w:p>
      <w:pPr>
        <w:pStyle w:val="ListBullet"/>
        <w:spacing w:after="80" w:line="259" w:lineRule="auto"/>
      </w:pPr>
      <w:r>
        <w:rPr>
          <w:rFonts w:ascii="Microsoft JhengHei" w:hAnsi="Microsoft JhengHei" w:eastAsia="Microsoft JhengHei"/>
          <w:sz w:val="21"/>
        </w:rPr>
        <w:t>不要把 INSARAG ASR/RCM 做成單純文字欄位；它們必須能連到 worksite、地圖、任務與 AAR。</w:t>
      </w:r>
    </w:p>
    <w:p>
      <w:pPr>
        <w:sectPr>
          <w:pgSz w:w="12240" w:h="15840"/>
          <w:pgMar w:top="1224" w:right="1224" w:bottom="1080" w:left="1224" w:header="504" w:footer="504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4E79"/>
        </w:rPr>
        <w:t>Sources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</w:rPr>
        <w:t>以下為本報告使用的官方來源與用途。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B2545"/>
          <w:sz w:val="19"/>
        </w:rPr>
        <w:t>中央災害應變中心作業要點修正資訊｜行政院中央災害防救會報：</w:t>
      </w:r>
      <w:hyperlink r:id="rId10">
        <w:r>
          <w:rPr>
            <w:color w:val="0563C1"/>
            <w:u w:val="single"/>
          </w:rPr>
          <w:t>https://cdprc.ey.gov.tw/Page/102B58FEB2E0F261/1c638843-4ebd-47cf-8269-6a79cbd905ad</w:t>
        </w:r>
      </w:hyperlink>
      <w:r>
        <w:rPr>
          <w:rFonts w:ascii="Microsoft JhengHei" w:hAnsi="Microsoft JhengHei" w:eastAsia="Microsoft JhengHei"/>
          <w:sz w:val="19"/>
        </w:rPr>
        <w:t>。用途：CEOC 作業要點修正、前置情資研判、進駐機關與數位科技任務。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B2545"/>
          <w:sz w:val="19"/>
        </w:rPr>
        <w:t>中央災害應變中心作業要點 PDF｜行政院中央災害防救會報：</w:t>
      </w:r>
      <w:hyperlink r:id="rId11">
        <w:r>
          <w:rPr>
            <w:color w:val="0563C1"/>
            <w:u w:val="single"/>
          </w:rPr>
          <w:t>https://cdprc.ey.gov.tw/File/EE2774B9AD28C89A?A=C</w:t>
        </w:r>
      </w:hyperlink>
      <w:r>
        <w:rPr>
          <w:rFonts w:ascii="Microsoft JhengHei" w:hAnsi="Microsoft JhengHei" w:eastAsia="Microsoft JhengHei"/>
          <w:sz w:val="19"/>
        </w:rPr>
        <w:t>。用途：CEOC 開設、任務編組、災害類別與跨部會作業依據。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B2545"/>
          <w:sz w:val="19"/>
        </w:rPr>
        <w:t>應變管理資訊系統 EMIC 介紹｜內政部消防署：</w:t>
      </w:r>
      <w:hyperlink r:id="rId12">
        <w:r>
          <w:rPr>
            <w:color w:val="0563C1"/>
            <w:u w:val="single"/>
          </w:rPr>
          <w:t>https://www.nfa.gov.tw/cht/index.php?act=article&amp;article_id=10361&amp;code=print&amp;ids=1537</w:t>
        </w:r>
      </w:hyperlink>
      <w:r>
        <w:rPr>
          <w:rFonts w:ascii="Microsoft JhengHei" w:hAnsi="Microsoft JhengHei" w:eastAsia="Microsoft JhengHei"/>
          <w:sz w:val="19"/>
        </w:rPr>
        <w:t>。用途：災情查報、任務指派、通報傳送、指揮官決策支援。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B2545"/>
          <w:sz w:val="19"/>
        </w:rPr>
        <w:t>國家災害防救科技中心 NCDR｜國家災害防救科技中心：</w:t>
      </w:r>
      <w:hyperlink r:id="rId13">
        <w:r>
          <w:rPr>
            <w:color w:val="0563C1"/>
            <w:u w:val="single"/>
          </w:rPr>
          <w:t>https://ncdr.nat.gov.tw/</w:t>
        </w:r>
      </w:hyperlink>
      <w:r>
        <w:rPr>
          <w:rFonts w:ascii="Microsoft JhengHei" w:hAnsi="Microsoft JhengHei" w:eastAsia="Microsoft JhengHei"/>
          <w:sz w:val="19"/>
        </w:rPr>
        <w:t>。用途：災害風險、情資整合、科技輔助決策與災防資料服務。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B2545"/>
          <w:sz w:val="19"/>
        </w:rPr>
        <w:t>環境災害管理資訊系統｜環境部：</w:t>
      </w:r>
      <w:hyperlink r:id="rId14">
        <w:r>
          <w:rPr>
            <w:color w:val="0563C1"/>
            <w:u w:val="single"/>
          </w:rPr>
          <w:t>https://newemis.moenv.gov.tw/</w:t>
        </w:r>
      </w:hyperlink>
      <w:r>
        <w:rPr>
          <w:rFonts w:ascii="Microsoft JhengHei" w:hAnsi="Microsoft JhengHei" w:eastAsia="Microsoft JhengHei"/>
          <w:sz w:val="19"/>
        </w:rPr>
        <w:t>。用途：環境災害通報與中央災害應變中心相關資訊系統參考。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B2545"/>
          <w:sz w:val="19"/>
        </w:rPr>
        <w:t>INSARAG Guidelines 2020｜INSARAG / UN OCHA：</w:t>
      </w:r>
      <w:hyperlink r:id="rId15">
        <w:r>
          <w:rPr>
            <w:color w:val="0563C1"/>
            <w:u w:val="single"/>
          </w:rPr>
          <w:t>https://insarag.org/methodology/insarag-guidelines/</w:t>
        </w:r>
      </w:hyperlink>
      <w:r>
        <w:rPr>
          <w:rFonts w:ascii="Microsoft JhengHei" w:hAnsi="Microsoft JhengHei" w:eastAsia="Microsoft JhengHei"/>
          <w:sz w:val="19"/>
        </w:rPr>
        <w:t>。用途：大型結構倒塌、國際 USAR、UCC、Information Management、Operational Field Guide。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B2545"/>
          <w:sz w:val="19"/>
        </w:rPr>
        <w:t>INSARAG Information Management / ICMS｜INSARAG Information Management Working Group：</w:t>
      </w:r>
      <w:hyperlink r:id="rId16">
        <w:r>
          <w:rPr>
            <w:color w:val="0563C1"/>
            <w:u w:val="single"/>
          </w:rPr>
          <w:t>https://insarag.org/guidance-notes/manuals/information-management/</w:t>
        </w:r>
      </w:hyperlink>
      <w:r>
        <w:rPr>
          <w:rFonts w:ascii="Microsoft JhengHei" w:hAnsi="Microsoft JhengHei" w:eastAsia="Microsoft JhengHei"/>
          <w:sz w:val="19"/>
        </w:rPr>
        <w:t>。用途：ICMS RDC/UCC/Team Guide，作為 LinkGuard 災情與隊伍資料流參考。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B2545"/>
          <w:sz w:val="19"/>
        </w:rPr>
        <w:t>INSARAG IEC/R｜INSARAG：</w:t>
      </w:r>
      <w:hyperlink r:id="rId17">
        <w:r>
          <w:rPr>
            <w:color w:val="0563C1"/>
            <w:u w:val="single"/>
          </w:rPr>
          <w:t>https://insarag.org/iec/iec-r/</w:t>
        </w:r>
      </w:hyperlink>
      <w:r>
        <w:rPr>
          <w:rFonts w:ascii="Microsoft JhengHei" w:hAnsi="Microsoft JhengHei" w:eastAsia="Microsoft JhengHei"/>
          <w:sz w:val="19"/>
        </w:rPr>
        <w:t>。用途：USAR team capability classification，支援隊伍能力表與派遣邏輯。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B2545"/>
          <w:sz w:val="19"/>
        </w:rPr>
        <w:t>INSARAG USAR Coordination Manual｜INSARAG / UN OCHA：</w:t>
      </w:r>
      <w:hyperlink r:id="rId18">
        <w:r>
          <w:rPr>
            <w:color w:val="0563C1"/>
            <w:u w:val="single"/>
          </w:rPr>
          <w:t>https://insarag.org/wp-content/uploads/2017/06/UCC_Manual_v_22_Aug_-ilovepdf-compressed_1.pdf</w:t>
        </w:r>
      </w:hyperlink>
      <w:r>
        <w:rPr>
          <w:rFonts w:ascii="Microsoft JhengHei" w:hAnsi="Microsoft JhengHei" w:eastAsia="Microsoft JhengHei"/>
          <w:sz w:val="19"/>
        </w:rPr>
        <w:t>。用途：UCC/SCC/RDC/OSOCC coordination cycle、資訊收集分析與 briefing。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B2545"/>
          <w:sz w:val="19"/>
        </w:rPr>
        <w:t>INSARAG Operations TRL｜INSARAG：</w:t>
      </w:r>
      <w:hyperlink r:id="rId19">
        <w:r>
          <w:rPr>
            <w:color w:val="0563C1"/>
            <w:u w:val="single"/>
          </w:rPr>
          <w:t>https://insarag.org/technical-reference-library/operations/</w:t>
        </w:r>
      </w:hyperlink>
      <w:r>
        <w:rPr>
          <w:rFonts w:ascii="Microsoft JhengHei" w:hAnsi="Microsoft JhengHei" w:eastAsia="Microsoft JhengHei"/>
          <w:sz w:val="19"/>
        </w:rPr>
        <w:t>。用途：USAR operations phase：RDC arrival、UCC/OSOCC registration、LEMA/NDMA coordination。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B2545"/>
          <w:sz w:val="19"/>
        </w:rPr>
        <w:t>FEMA ICS Toolkit｜FEMA Preparedness Toolkit：</w:t>
      </w:r>
      <w:hyperlink r:id="rId20">
        <w:r>
          <w:rPr>
            <w:color w:val="0563C1"/>
            <w:u w:val="single"/>
          </w:rPr>
          <w:t>https://preptoolkit.fema.gov/web/nims-toolkit/ics</w:t>
        </w:r>
      </w:hyperlink>
      <w:r>
        <w:rPr>
          <w:rFonts w:ascii="Microsoft JhengHei" w:hAnsi="Microsoft JhengHei" w:eastAsia="Microsoft JhengHei"/>
          <w:sz w:val="19"/>
        </w:rPr>
        <w:t>。用途：ICS doctrine、forms、job aids、position-specific references。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B2545"/>
          <w:sz w:val="19"/>
        </w:rPr>
        <w:t>FEMA ICS Forms｜FEMA Emergency Management Institute：</w:t>
      </w:r>
      <w:hyperlink r:id="rId21">
        <w:r>
          <w:rPr>
            <w:color w:val="0563C1"/>
            <w:u w:val="single"/>
          </w:rPr>
          <w:t>https://training.fema.gov/emiweb/is/icsresource/icsforms/</w:t>
        </w:r>
      </w:hyperlink>
      <w:r>
        <w:rPr>
          <w:rFonts w:ascii="Microsoft JhengHei" w:hAnsi="Microsoft JhengHei" w:eastAsia="Microsoft JhengHei"/>
          <w:sz w:val="19"/>
        </w:rPr>
        <w:t>。用途：ICS 201/202/203/204/205/206/207/208/209/213/214 等 IAP 與 incident management 表單。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B2545"/>
          <w:sz w:val="19"/>
        </w:rPr>
        <w:t>WHO EMT minimum standards｜World Health Organization：</w:t>
      </w:r>
      <w:hyperlink r:id="rId22">
        <w:r>
          <w:rPr>
            <w:color w:val="0563C1"/>
            <w:u w:val="single"/>
          </w:rPr>
          <w:t>https://iris.who.int/handle/10665/341857</w:t>
        </w:r>
      </w:hyperlink>
      <w:r>
        <w:rPr>
          <w:rFonts w:ascii="Microsoft JhengHei" w:hAnsi="Microsoft JhengHei" w:eastAsia="Microsoft JhengHei"/>
          <w:sz w:val="19"/>
        </w:rPr>
        <w:t>。用途：Emergency Medical Team classification and minimum standards，支援醫療資料邊界。</w:t>
      </w:r>
    </w:p>
    <w:sectPr w:rsidR="00FC693F" w:rsidRPr="0006063C" w:rsidSect="00034616"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>LinkGuard INSARAG × 台灣 CEOC 開發架構查核報告｜2026-05-22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dprc.ey.gov.tw/Page/102B58FEB2E0F261/1c638843-4ebd-47cf-8269-6a79cbd905ad" TargetMode="External"/><Relationship Id="rId11" Type="http://schemas.openxmlformats.org/officeDocument/2006/relationships/hyperlink" Target="https://cdprc.ey.gov.tw/File/EE2774B9AD28C89A?A=C" TargetMode="External"/><Relationship Id="rId12" Type="http://schemas.openxmlformats.org/officeDocument/2006/relationships/hyperlink" Target="https://www.nfa.gov.tw/cht/index.php?act=article&amp;article_id=10361&amp;code=print&amp;ids=1537" TargetMode="External"/><Relationship Id="rId13" Type="http://schemas.openxmlformats.org/officeDocument/2006/relationships/hyperlink" Target="https://ncdr.nat.gov.tw/" TargetMode="External"/><Relationship Id="rId14" Type="http://schemas.openxmlformats.org/officeDocument/2006/relationships/hyperlink" Target="https://newemis.moenv.gov.tw/" TargetMode="External"/><Relationship Id="rId15" Type="http://schemas.openxmlformats.org/officeDocument/2006/relationships/hyperlink" Target="https://insarag.org/methodology/insarag-guidelines/" TargetMode="External"/><Relationship Id="rId16" Type="http://schemas.openxmlformats.org/officeDocument/2006/relationships/hyperlink" Target="https://insarag.org/guidance-notes/manuals/information-management/" TargetMode="External"/><Relationship Id="rId17" Type="http://schemas.openxmlformats.org/officeDocument/2006/relationships/hyperlink" Target="https://insarag.org/iec/iec-r/" TargetMode="External"/><Relationship Id="rId18" Type="http://schemas.openxmlformats.org/officeDocument/2006/relationships/hyperlink" Target="https://insarag.org/wp-content/uploads/2017/06/UCC_Manual_v_22_Aug_-ilovepdf-compressed_1.pdf" TargetMode="External"/><Relationship Id="rId19" Type="http://schemas.openxmlformats.org/officeDocument/2006/relationships/hyperlink" Target="https://insarag.org/technical-reference-library/operations/" TargetMode="External"/><Relationship Id="rId20" Type="http://schemas.openxmlformats.org/officeDocument/2006/relationships/hyperlink" Target="https://preptoolkit.fema.gov/web/nims-toolkit/ics" TargetMode="External"/><Relationship Id="rId21" Type="http://schemas.openxmlformats.org/officeDocument/2006/relationships/hyperlink" Target="https://training.fema.gov/emiweb/is/icsresource/icsforms/" TargetMode="External"/><Relationship Id="rId22" Type="http://schemas.openxmlformats.org/officeDocument/2006/relationships/hyperlink" Target="https://iris.who.int/handle/10665/3418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