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B3DAC" w14:textId="7CE3597F" w:rsidR="006A1CCB" w:rsidRPr="00853082" w:rsidRDefault="00A653BC">
      <w:p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这一部分</w:t>
      </w:r>
      <w:r w:rsidR="00420E94" w:rsidRPr="00853082">
        <w:rPr>
          <w:rFonts w:ascii="Times New Roman" w:eastAsia="宋体" w:hAnsi="Times New Roman" w:hint="eastAsia"/>
          <w:sz w:val="24"/>
          <w:szCs w:val="24"/>
        </w:rPr>
        <w:t>想要探讨短期租赁房源分布对社会</w:t>
      </w:r>
      <w:proofErr w:type="gramStart"/>
      <w:r w:rsidR="00420E94" w:rsidRPr="00853082"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 w:rsidR="00420E94" w:rsidRPr="00853082">
        <w:rPr>
          <w:rFonts w:ascii="Times New Roman" w:eastAsia="宋体" w:hAnsi="Times New Roman" w:hint="eastAsia"/>
          <w:sz w:val="24"/>
          <w:szCs w:val="24"/>
        </w:rPr>
        <w:t>平等性的影响。由于经济、人口和</w:t>
      </w:r>
      <w:r w:rsidR="00DA5493" w:rsidRPr="00853082">
        <w:rPr>
          <w:rFonts w:ascii="Times New Roman" w:eastAsia="宋体" w:hAnsi="Times New Roman" w:hint="eastAsia"/>
          <w:sz w:val="24"/>
          <w:szCs w:val="24"/>
        </w:rPr>
        <w:t>交通便利程度可能对短期租赁房源分布造成影响，而我们想探讨的并不是这一部分，所以想在自变量中将这一部分影响去除。</w:t>
      </w:r>
    </w:p>
    <w:p w14:paraId="06B23274" w14:textId="2433F388" w:rsidR="00DA5493" w:rsidRPr="00853082" w:rsidRDefault="00DA5493">
      <w:p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我们选择的描述</w:t>
      </w:r>
      <w:r w:rsidRPr="00853082">
        <w:rPr>
          <w:rFonts w:ascii="Times New Roman" w:eastAsia="宋体" w:hAnsi="Times New Roman" w:hint="eastAsia"/>
          <w:sz w:val="24"/>
          <w:szCs w:val="24"/>
        </w:rPr>
        <w:t>经济、人口和交通便利程度</w:t>
      </w:r>
      <w:r w:rsidRPr="00853082">
        <w:rPr>
          <w:rFonts w:ascii="Times New Roman" w:eastAsia="宋体" w:hAnsi="Times New Roman" w:hint="eastAsia"/>
          <w:sz w:val="24"/>
          <w:szCs w:val="24"/>
        </w:rPr>
        <w:t>的因素包括：贫困率、人口密度、地铁站密度和轨道线路密度，通过做主成分分析提取最具有代表性的部分。</w:t>
      </w:r>
    </w:p>
    <w:p w14:paraId="75080B80" w14:textId="7DB148BB" w:rsidR="00DA5493" w:rsidRPr="00853082" w:rsidRDefault="00DA5493" w:rsidP="00DA5493">
      <w:p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我们选择的描述社会</w:t>
      </w:r>
      <w:proofErr w:type="gramStart"/>
      <w:r w:rsidRPr="00853082"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 w:rsidRPr="00853082">
        <w:rPr>
          <w:rFonts w:ascii="Times New Roman" w:eastAsia="宋体" w:hAnsi="Times New Roman" w:hint="eastAsia"/>
          <w:sz w:val="24"/>
          <w:szCs w:val="24"/>
        </w:rPr>
        <w:t>平等性的因变量是</w:t>
      </w:r>
      <w:r w:rsidRPr="00853082">
        <w:rPr>
          <w:rFonts w:ascii="Times New Roman" w:eastAsia="宋体" w:hAnsi="Times New Roman"/>
          <w:sz w:val="24"/>
          <w:szCs w:val="24"/>
        </w:rPr>
        <w:t>80:20 ratio of earnings</w:t>
      </w:r>
      <w:r w:rsidRPr="00853082">
        <w:rPr>
          <w:rFonts w:ascii="Times New Roman" w:eastAsia="宋体" w:hAnsi="Times New Roman"/>
          <w:sz w:val="24"/>
          <w:szCs w:val="24"/>
        </w:rPr>
        <w:t>（</w:t>
      </w:r>
      <w:r w:rsidRPr="00853082">
        <w:rPr>
          <w:rFonts w:ascii="Times New Roman" w:eastAsia="宋体" w:hAnsi="Times New Roman"/>
          <w:sz w:val="24"/>
          <w:szCs w:val="24"/>
        </w:rPr>
        <w:t xml:space="preserve">80:20 </w:t>
      </w:r>
      <w:r w:rsidRPr="00853082">
        <w:rPr>
          <w:rFonts w:ascii="Times New Roman" w:eastAsia="宋体" w:hAnsi="Times New Roman"/>
          <w:sz w:val="24"/>
          <w:szCs w:val="24"/>
        </w:rPr>
        <w:t>收入比率）</w:t>
      </w:r>
      <w:r w:rsidRPr="00853082">
        <w:rPr>
          <w:rFonts w:ascii="Times New Roman" w:eastAsia="宋体" w:hAnsi="Times New Roman" w:hint="eastAsia"/>
          <w:sz w:val="24"/>
          <w:szCs w:val="24"/>
        </w:rPr>
        <w:t>代表</w:t>
      </w:r>
      <w:r w:rsidRPr="00853082">
        <w:rPr>
          <w:rFonts w:ascii="Times New Roman" w:eastAsia="宋体" w:hAnsi="Times New Roman"/>
          <w:sz w:val="24"/>
          <w:szCs w:val="24"/>
        </w:rPr>
        <w:t>某个地区</w:t>
      </w:r>
      <w:r w:rsidRPr="00853082">
        <w:rPr>
          <w:rFonts w:ascii="Times New Roman" w:eastAsia="宋体" w:hAnsi="Times New Roman" w:hint="eastAsia"/>
          <w:sz w:val="24"/>
          <w:szCs w:val="24"/>
        </w:rPr>
        <w:t>的</w:t>
      </w:r>
      <w:r w:rsidRPr="00853082">
        <w:rPr>
          <w:rFonts w:ascii="Times New Roman" w:eastAsia="宋体" w:hAnsi="Times New Roman"/>
          <w:sz w:val="24"/>
          <w:szCs w:val="24"/>
        </w:rPr>
        <w:t>收入分配的不均衡程度，具体是指最富裕的</w:t>
      </w:r>
      <w:r w:rsidRPr="00853082">
        <w:rPr>
          <w:rFonts w:ascii="Times New Roman" w:eastAsia="宋体" w:hAnsi="Times New Roman"/>
          <w:sz w:val="24"/>
          <w:szCs w:val="24"/>
        </w:rPr>
        <w:t>20%</w:t>
      </w:r>
      <w:r w:rsidRPr="00853082">
        <w:rPr>
          <w:rFonts w:ascii="Times New Roman" w:eastAsia="宋体" w:hAnsi="Times New Roman"/>
          <w:sz w:val="24"/>
          <w:szCs w:val="24"/>
        </w:rPr>
        <w:t>的人群的收入总和与最贫困的</w:t>
      </w:r>
      <w:r w:rsidRPr="00853082">
        <w:rPr>
          <w:rFonts w:ascii="Times New Roman" w:eastAsia="宋体" w:hAnsi="Times New Roman"/>
          <w:sz w:val="24"/>
          <w:szCs w:val="24"/>
        </w:rPr>
        <w:t>20%</w:t>
      </w:r>
      <w:r w:rsidRPr="00853082">
        <w:rPr>
          <w:rFonts w:ascii="Times New Roman" w:eastAsia="宋体" w:hAnsi="Times New Roman"/>
          <w:sz w:val="24"/>
          <w:szCs w:val="24"/>
        </w:rPr>
        <w:t>的人群的收入总和的比率。</w:t>
      </w:r>
    </w:p>
    <w:p w14:paraId="5A4245F1" w14:textId="15086119" w:rsidR="00DA5493" w:rsidRPr="00853082" w:rsidRDefault="00DA5493" w:rsidP="00DA5493">
      <w:p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我们分析的空间单位是行政区，先利用主成分分析得到的变量去拟合</w:t>
      </w:r>
      <w:r w:rsidRPr="00853082">
        <w:rPr>
          <w:rFonts w:ascii="Times New Roman" w:eastAsia="宋体" w:hAnsi="Times New Roman" w:hint="eastAsia"/>
          <w:sz w:val="24"/>
          <w:szCs w:val="24"/>
        </w:rPr>
        <w:t>短期租赁房源</w:t>
      </w:r>
      <w:r w:rsidRPr="00853082">
        <w:rPr>
          <w:rFonts w:ascii="Times New Roman" w:eastAsia="宋体" w:hAnsi="Times New Roman" w:hint="eastAsia"/>
          <w:sz w:val="24"/>
          <w:szCs w:val="24"/>
        </w:rPr>
        <w:t>密度，再</w:t>
      </w:r>
      <w:proofErr w:type="gramStart"/>
      <w:r w:rsidRPr="00853082">
        <w:rPr>
          <w:rFonts w:ascii="Times New Roman" w:eastAsia="宋体" w:hAnsi="Times New Roman" w:hint="eastAsia"/>
          <w:sz w:val="24"/>
          <w:szCs w:val="24"/>
        </w:rPr>
        <w:t>由得到</w:t>
      </w:r>
      <w:proofErr w:type="gramEnd"/>
      <w:r w:rsidRPr="00853082">
        <w:rPr>
          <w:rFonts w:ascii="Times New Roman" w:eastAsia="宋体" w:hAnsi="Times New Roman" w:hint="eastAsia"/>
          <w:sz w:val="24"/>
          <w:szCs w:val="24"/>
        </w:rPr>
        <w:t>的残差，也就是我们认为有可能包括有关短期租赁房源分布带来的</w:t>
      </w:r>
      <w:r w:rsidR="00077137" w:rsidRPr="00853082">
        <w:rPr>
          <w:rFonts w:ascii="Times New Roman" w:eastAsia="宋体" w:hAnsi="Times New Roman" w:hint="eastAsia"/>
          <w:sz w:val="24"/>
          <w:szCs w:val="24"/>
        </w:rPr>
        <w:t>其他影响和效应的部分，去拟合我们定义的社会不平等指标。在这里，第一步是用最小二乘法做全局回归，第二部是使用地理加权回归。通过比较不同行政区地理加权回归拟合结果的</w:t>
      </w:r>
      <w:r w:rsidR="00077137" w:rsidRPr="00853082">
        <w:rPr>
          <w:rFonts w:ascii="Times New Roman" w:eastAsia="宋体" w:hAnsi="Times New Roman" w:hint="eastAsia"/>
          <w:sz w:val="24"/>
          <w:szCs w:val="24"/>
        </w:rPr>
        <w:t>R</w:t>
      </w:r>
      <w:r w:rsidR="00077137" w:rsidRPr="00853082">
        <w:rPr>
          <w:rFonts w:ascii="Times New Roman" w:eastAsia="宋体" w:hAnsi="Times New Roman" w:hint="eastAsia"/>
          <w:sz w:val="24"/>
          <w:szCs w:val="24"/>
        </w:rPr>
        <w:t>平方，探讨短期租赁的房源分布对社会</w:t>
      </w:r>
      <w:proofErr w:type="gramStart"/>
      <w:r w:rsidR="00077137" w:rsidRPr="00853082"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 w:rsidR="00077137" w:rsidRPr="00853082">
        <w:rPr>
          <w:rFonts w:ascii="Times New Roman" w:eastAsia="宋体" w:hAnsi="Times New Roman" w:hint="eastAsia"/>
          <w:sz w:val="24"/>
          <w:szCs w:val="24"/>
        </w:rPr>
        <w:t>平等性的影响是否存在地理差异。</w:t>
      </w:r>
    </w:p>
    <w:p w14:paraId="72A35958" w14:textId="1408F29B" w:rsidR="00077137" w:rsidRPr="00853082" w:rsidRDefault="00077137" w:rsidP="00DA5493">
      <w:p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结果显示，有些行政区，特别是靠中西部的行政区，比如</w:t>
      </w:r>
      <w:r w:rsidRPr="00853082">
        <w:rPr>
          <w:rFonts w:ascii="Times New Roman" w:eastAsia="宋体" w:hAnsi="Times New Roman" w:hint="eastAsia"/>
          <w:sz w:val="24"/>
          <w:szCs w:val="24"/>
        </w:rPr>
        <w:t>Hammersmith and Fulham</w:t>
      </w:r>
      <w:r w:rsidRPr="00853082">
        <w:rPr>
          <w:rFonts w:ascii="Times New Roman" w:eastAsia="宋体" w:hAnsi="Times New Roman" w:hint="eastAsia"/>
          <w:sz w:val="24"/>
          <w:szCs w:val="24"/>
        </w:rPr>
        <w:t>，</w:t>
      </w:r>
      <w:r w:rsidRPr="00853082">
        <w:rPr>
          <w:rFonts w:ascii="Times New Roman" w:eastAsia="宋体" w:hAnsi="Times New Roman" w:hint="eastAsia"/>
          <w:sz w:val="24"/>
          <w:szCs w:val="24"/>
        </w:rPr>
        <w:t>R</w:t>
      </w:r>
      <w:r w:rsidRPr="00853082">
        <w:rPr>
          <w:rFonts w:ascii="Times New Roman" w:eastAsia="宋体" w:hAnsi="Times New Roman" w:hint="eastAsia"/>
          <w:sz w:val="24"/>
          <w:szCs w:val="24"/>
        </w:rPr>
        <w:t>平方值很高，甚至可以达到</w:t>
      </w:r>
      <w:r w:rsidRPr="00853082">
        <w:rPr>
          <w:rFonts w:ascii="Times New Roman" w:eastAsia="宋体" w:hAnsi="Times New Roman" w:hint="eastAsia"/>
          <w:sz w:val="24"/>
          <w:szCs w:val="24"/>
        </w:rPr>
        <w:t>0.7</w:t>
      </w:r>
      <w:r w:rsidRPr="00853082">
        <w:rPr>
          <w:rFonts w:ascii="Times New Roman" w:eastAsia="宋体" w:hAnsi="Times New Roman" w:hint="eastAsia"/>
          <w:sz w:val="24"/>
          <w:szCs w:val="24"/>
        </w:rPr>
        <w:t>，表明自变量可以解释因变量</w:t>
      </w:r>
      <w:r w:rsidRPr="00853082">
        <w:rPr>
          <w:rFonts w:ascii="Times New Roman" w:eastAsia="宋体" w:hAnsi="Times New Roman" w:hint="eastAsia"/>
          <w:sz w:val="24"/>
          <w:szCs w:val="24"/>
        </w:rPr>
        <w:t>70%</w:t>
      </w:r>
      <w:r w:rsidRPr="00853082">
        <w:rPr>
          <w:rFonts w:ascii="Times New Roman" w:eastAsia="宋体" w:hAnsi="Times New Roman" w:hint="eastAsia"/>
          <w:sz w:val="24"/>
          <w:szCs w:val="24"/>
        </w:rPr>
        <w:t>的变异，</w:t>
      </w:r>
      <w:r w:rsidR="00B57CB8" w:rsidRPr="00853082">
        <w:rPr>
          <w:rFonts w:ascii="Times New Roman" w:eastAsia="宋体" w:hAnsi="Times New Roman" w:hint="eastAsia"/>
          <w:sz w:val="24"/>
          <w:szCs w:val="24"/>
        </w:rPr>
        <w:t>但在有些区域，比如</w:t>
      </w:r>
      <w:proofErr w:type="spellStart"/>
      <w:r w:rsidR="00B57CB8" w:rsidRPr="00853082">
        <w:rPr>
          <w:rFonts w:ascii="Times New Roman" w:eastAsia="宋体" w:hAnsi="Times New Roman" w:hint="eastAsia"/>
          <w:sz w:val="24"/>
          <w:szCs w:val="24"/>
        </w:rPr>
        <w:t>Enfield,Waltham</w:t>
      </w:r>
      <w:proofErr w:type="spellEnd"/>
      <w:r w:rsidR="00B57CB8" w:rsidRPr="00853082">
        <w:rPr>
          <w:rFonts w:ascii="Times New Roman" w:eastAsia="宋体" w:hAnsi="Times New Roman" w:hint="eastAsia"/>
          <w:sz w:val="24"/>
          <w:szCs w:val="24"/>
        </w:rPr>
        <w:t xml:space="preserve"> Forest</w:t>
      </w:r>
      <w:r w:rsidR="00B57CB8" w:rsidRPr="00853082">
        <w:rPr>
          <w:rFonts w:ascii="Times New Roman" w:eastAsia="宋体" w:hAnsi="Times New Roman" w:hint="eastAsia"/>
          <w:sz w:val="24"/>
          <w:szCs w:val="24"/>
        </w:rPr>
        <w:t>，甚至出现</w:t>
      </w:r>
      <w:r w:rsidR="00B57CB8" w:rsidRPr="00853082">
        <w:rPr>
          <w:rFonts w:ascii="Times New Roman" w:eastAsia="宋体" w:hAnsi="Times New Roman" w:hint="eastAsia"/>
          <w:sz w:val="24"/>
          <w:szCs w:val="24"/>
        </w:rPr>
        <w:t>R</w:t>
      </w:r>
      <w:r w:rsidR="00B57CB8" w:rsidRPr="00853082">
        <w:rPr>
          <w:rFonts w:ascii="Times New Roman" w:eastAsia="宋体" w:hAnsi="Times New Roman" w:hint="eastAsia"/>
          <w:sz w:val="24"/>
          <w:szCs w:val="24"/>
        </w:rPr>
        <w:t>平方接近于</w:t>
      </w:r>
      <w:r w:rsidR="00B57CB8" w:rsidRPr="00853082">
        <w:rPr>
          <w:rFonts w:ascii="Times New Roman" w:eastAsia="宋体" w:hAnsi="Times New Roman" w:hint="eastAsia"/>
          <w:sz w:val="24"/>
          <w:szCs w:val="24"/>
        </w:rPr>
        <w:t>0</w:t>
      </w:r>
      <w:r w:rsidR="00B57CB8" w:rsidRPr="00853082">
        <w:rPr>
          <w:rFonts w:ascii="Times New Roman" w:eastAsia="宋体" w:hAnsi="Times New Roman" w:hint="eastAsia"/>
          <w:sz w:val="24"/>
          <w:szCs w:val="24"/>
        </w:rPr>
        <w:t>的情况，表明有些区域的社会</w:t>
      </w:r>
      <w:proofErr w:type="gramStart"/>
      <w:r w:rsidR="00B57CB8" w:rsidRPr="00853082"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 w:rsidR="00B57CB8" w:rsidRPr="00853082">
        <w:rPr>
          <w:rFonts w:ascii="Times New Roman" w:eastAsia="宋体" w:hAnsi="Times New Roman" w:hint="eastAsia"/>
          <w:sz w:val="24"/>
          <w:szCs w:val="24"/>
        </w:rPr>
        <w:t>平等性受到短期租赁房源分布的影响较大，而有些区域则可能不受影响。</w:t>
      </w:r>
    </w:p>
    <w:p w14:paraId="335A860F" w14:textId="63E1AB7B" w:rsidR="00B57CB8" w:rsidRPr="00853082" w:rsidRDefault="00B57CB8" w:rsidP="00DA5493">
      <w:p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但是这一部分的内容仍然存在一定的问题和局限性：</w:t>
      </w:r>
    </w:p>
    <w:p w14:paraId="43286148" w14:textId="4491D145" w:rsidR="00B57CB8" w:rsidRPr="00853082" w:rsidRDefault="00B57CB8" w:rsidP="00B57CB8">
      <w:pPr>
        <w:pStyle w:val="a9"/>
        <w:numPr>
          <w:ilvl w:val="0"/>
          <w:numId w:val="1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数据的空间单位过大可能会导致样本数量不足，影响拟合的稳定性和拟合结果的解释力</w:t>
      </w:r>
    </w:p>
    <w:p w14:paraId="627884F7" w14:textId="4F5FD641" w:rsidR="00B57CB8" w:rsidRPr="00853082" w:rsidRDefault="00B57CB8" w:rsidP="00B57CB8">
      <w:pPr>
        <w:pStyle w:val="a9"/>
        <w:numPr>
          <w:ilvl w:val="0"/>
          <w:numId w:val="1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数据中存在一部分缺失值，导致部分区域的</w:t>
      </w:r>
      <w:r w:rsidRPr="00853082">
        <w:rPr>
          <w:rFonts w:ascii="Times New Roman" w:eastAsia="宋体" w:hAnsi="Times New Roman" w:hint="eastAsia"/>
          <w:sz w:val="24"/>
          <w:szCs w:val="24"/>
        </w:rPr>
        <w:t>R</w:t>
      </w:r>
      <w:r w:rsidRPr="00853082">
        <w:rPr>
          <w:rFonts w:ascii="Times New Roman" w:eastAsia="宋体" w:hAnsi="Times New Roman" w:hint="eastAsia"/>
          <w:sz w:val="24"/>
          <w:szCs w:val="24"/>
        </w:rPr>
        <w:t>平方值缺失</w:t>
      </w:r>
    </w:p>
    <w:p w14:paraId="09A0F8D3" w14:textId="0B938135" w:rsidR="00B57CB8" w:rsidRPr="00853082" w:rsidRDefault="00B57CB8" w:rsidP="00B57CB8">
      <w:pPr>
        <w:pStyle w:val="a9"/>
        <w:numPr>
          <w:ilvl w:val="0"/>
          <w:numId w:val="1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 w:hint="eastAsia"/>
          <w:sz w:val="24"/>
          <w:szCs w:val="24"/>
        </w:rPr>
        <w:t>在控制</w:t>
      </w:r>
      <w:r w:rsidRPr="00853082">
        <w:rPr>
          <w:rFonts w:ascii="Times New Roman" w:eastAsia="宋体" w:hAnsi="Times New Roman" w:hint="eastAsia"/>
          <w:sz w:val="24"/>
          <w:szCs w:val="24"/>
        </w:rPr>
        <w:t>经济、人口和交通便利程度</w:t>
      </w:r>
      <w:r w:rsidRPr="00853082">
        <w:rPr>
          <w:rFonts w:ascii="Times New Roman" w:eastAsia="宋体" w:hAnsi="Times New Roman" w:hint="eastAsia"/>
          <w:sz w:val="24"/>
          <w:szCs w:val="24"/>
        </w:rPr>
        <w:t>等</w:t>
      </w:r>
      <w:r w:rsidRPr="00853082">
        <w:rPr>
          <w:rFonts w:ascii="Times New Roman" w:eastAsia="宋体" w:hAnsi="Times New Roman" w:hint="eastAsia"/>
          <w:sz w:val="24"/>
          <w:szCs w:val="24"/>
        </w:rPr>
        <w:t>因素</w:t>
      </w:r>
      <w:r w:rsidRPr="00853082">
        <w:rPr>
          <w:rFonts w:ascii="Times New Roman" w:eastAsia="宋体" w:hAnsi="Times New Roman" w:hint="eastAsia"/>
          <w:sz w:val="24"/>
          <w:szCs w:val="24"/>
        </w:rPr>
        <w:t>对短期租赁房源的影响是，假设了他们的影响是线性的，可能忽视了一些非线性因素的影响</w:t>
      </w:r>
    </w:p>
    <w:p w14:paraId="0BEC8413" w14:textId="01DE6563" w:rsidR="00B57CB8" w:rsidRPr="00853082" w:rsidRDefault="00B57CB8" w:rsidP="00B57CB8">
      <w:pPr>
        <w:pStyle w:val="a9"/>
        <w:numPr>
          <w:ilvl w:val="0"/>
          <w:numId w:val="1"/>
        </w:numPr>
        <w:rPr>
          <w:rFonts w:ascii="Times New Roman" w:eastAsia="宋体" w:hAnsi="Times New Roman"/>
          <w:sz w:val="24"/>
          <w:szCs w:val="24"/>
        </w:rPr>
      </w:pPr>
      <w:proofErr w:type="gramStart"/>
      <w:r w:rsidRPr="00853082">
        <w:rPr>
          <w:rFonts w:ascii="Times New Roman" w:eastAsia="宋体" w:hAnsi="Times New Roman" w:hint="eastAsia"/>
          <w:sz w:val="24"/>
          <w:szCs w:val="24"/>
        </w:rPr>
        <w:t>当控制</w:t>
      </w:r>
      <w:proofErr w:type="gramEnd"/>
      <w:r w:rsidRPr="00853082">
        <w:rPr>
          <w:rFonts w:ascii="Times New Roman" w:eastAsia="宋体" w:hAnsi="Times New Roman" w:hint="eastAsia"/>
          <w:sz w:val="24"/>
          <w:szCs w:val="24"/>
        </w:rPr>
        <w:t>了</w:t>
      </w:r>
      <w:r w:rsidRPr="00853082">
        <w:rPr>
          <w:rFonts w:ascii="Times New Roman" w:eastAsia="宋体" w:hAnsi="Times New Roman" w:hint="eastAsia"/>
          <w:sz w:val="24"/>
          <w:szCs w:val="24"/>
        </w:rPr>
        <w:t>经济、人口和交通便利程度等因素</w:t>
      </w:r>
      <w:r w:rsidRPr="00853082">
        <w:rPr>
          <w:rFonts w:ascii="Times New Roman" w:eastAsia="宋体" w:hAnsi="Times New Roman" w:hint="eastAsia"/>
          <w:sz w:val="24"/>
          <w:szCs w:val="24"/>
        </w:rPr>
        <w:t>的影响后，剩余的残差部分可能还有没有考虑到的外部效应，不完全是</w:t>
      </w:r>
      <w:r w:rsidRPr="00853082">
        <w:rPr>
          <w:rFonts w:ascii="Times New Roman" w:eastAsia="宋体" w:hAnsi="Times New Roman" w:hint="eastAsia"/>
          <w:sz w:val="24"/>
          <w:szCs w:val="24"/>
        </w:rPr>
        <w:t>短期租赁房源分布</w:t>
      </w:r>
      <w:r w:rsidR="00853082" w:rsidRPr="00853082">
        <w:rPr>
          <w:rFonts w:ascii="Times New Roman" w:eastAsia="宋体" w:hAnsi="Times New Roman" w:hint="eastAsia"/>
          <w:sz w:val="24"/>
          <w:szCs w:val="24"/>
        </w:rPr>
        <w:t>本身带来的影响</w:t>
      </w:r>
    </w:p>
    <w:p w14:paraId="7744DF52" w14:textId="77777777" w:rsidR="00853082" w:rsidRDefault="00853082" w:rsidP="00853082">
      <w:pPr>
        <w:rPr>
          <w:rFonts w:ascii="Times New Roman" w:eastAsia="宋体" w:hAnsi="Times New Roman"/>
          <w:sz w:val="24"/>
          <w:szCs w:val="24"/>
        </w:rPr>
      </w:pPr>
    </w:p>
    <w:p w14:paraId="39821872" w14:textId="77777777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</w:p>
    <w:p w14:paraId="3CC4CAAE" w14:textId="331D3F49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This section aims to explore the impact of short-term rental distribution on social inequality. Since factors such as economic conditions, population characteristics, and transportation accessibility may influence the distribution of short-term rentals—and these factors are not the focus of our study—we aim to remove their effects from the independent variables.</w:t>
      </w:r>
    </w:p>
    <w:p w14:paraId="71A71E31" w14:textId="0411A220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 xml:space="preserve">The factors we selected to describe economic conditions, population, and transportation accessibility </w:t>
      </w:r>
      <w:proofErr w:type="gramStart"/>
      <w:r w:rsidRPr="00853082">
        <w:rPr>
          <w:rFonts w:ascii="Times New Roman" w:eastAsia="宋体" w:hAnsi="Times New Roman"/>
          <w:sz w:val="24"/>
          <w:szCs w:val="24"/>
        </w:rPr>
        <w:t>include:</w:t>
      </w:r>
      <w:proofErr w:type="gramEnd"/>
      <w:r w:rsidRPr="00853082">
        <w:rPr>
          <w:rFonts w:ascii="Times New Roman" w:eastAsia="宋体" w:hAnsi="Times New Roman"/>
          <w:sz w:val="24"/>
          <w:szCs w:val="24"/>
        </w:rPr>
        <w:t xml:space="preserve"> poverty rate, population density, density of subway stations, and density of rail lines. Principal Component Analysis (PCA) was used to extract the most representative components from these factors.</w:t>
      </w:r>
    </w:p>
    <w:p w14:paraId="7159F219" w14:textId="3385477E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 xml:space="preserve">The dependent variable we selected to describe social inequality is the 80:20 ratio of earnings, which represents the level of income inequality </w:t>
      </w:r>
      <w:proofErr w:type="gramStart"/>
      <w:r w:rsidRPr="00853082">
        <w:rPr>
          <w:rFonts w:ascii="Times New Roman" w:eastAsia="宋体" w:hAnsi="Times New Roman"/>
          <w:sz w:val="24"/>
          <w:szCs w:val="24"/>
        </w:rPr>
        <w:t>in a given</w:t>
      </w:r>
      <w:proofErr w:type="gramEnd"/>
      <w:r w:rsidRPr="00853082">
        <w:rPr>
          <w:rFonts w:ascii="Times New Roman" w:eastAsia="宋体" w:hAnsi="Times New Roman"/>
          <w:sz w:val="24"/>
          <w:szCs w:val="24"/>
        </w:rPr>
        <w:t xml:space="preserve"> area. Specifically, this metric reflects the ratio of the total income of the wealthiest 20% of the population to the total income of the poorest 20%.</w:t>
      </w:r>
    </w:p>
    <w:p w14:paraId="5E18B1FF" w14:textId="1B148A83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The spatial units of analysis are administrative boroughs. We first used the variables derived from PCA to model the density of short-term rentals, then used the residuals—</w:t>
      </w:r>
      <w:r w:rsidRPr="00853082">
        <w:rPr>
          <w:rFonts w:ascii="Times New Roman" w:eastAsia="宋体" w:hAnsi="Times New Roman"/>
          <w:sz w:val="24"/>
          <w:szCs w:val="24"/>
        </w:rPr>
        <w:lastRenderedPageBreak/>
        <w:t>representing the portion of variation potentially linked to other effects related to the distribution of short-term rentals—as predictors for the social inequality variable. In this process:</w:t>
      </w:r>
    </w:p>
    <w:p w14:paraId="74717261" w14:textId="77777777" w:rsidR="00853082" w:rsidRPr="00853082" w:rsidRDefault="00853082" w:rsidP="00853082">
      <w:pPr>
        <w:pStyle w:val="a9"/>
        <w:numPr>
          <w:ilvl w:val="0"/>
          <w:numId w:val="4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The first step involved performing a global regression using Ordinary Least Squares (OLS).</w:t>
      </w:r>
    </w:p>
    <w:p w14:paraId="3F3DDEE9" w14:textId="77777777" w:rsidR="00853082" w:rsidRPr="00853082" w:rsidRDefault="00853082" w:rsidP="00853082">
      <w:pPr>
        <w:pStyle w:val="a9"/>
        <w:numPr>
          <w:ilvl w:val="0"/>
          <w:numId w:val="4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The second step utilized Geographically Weighted Regression (GWR).</w:t>
      </w:r>
    </w:p>
    <w:p w14:paraId="0927A76E" w14:textId="7E127FFB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By comparing the R² values of GWR results across different boroughs, we examined whether the impact of short-term rental distribution on social inequality varies geographically.</w:t>
      </w:r>
    </w:p>
    <w:p w14:paraId="58A0520C" w14:textId="26C4A976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The results indicate that some boroughs, particularly in the central and western areas, such as Hammersmith and Fulham, exhibit high R² values, reaching up to 0.7. This suggests that the independent variables explain 70% of the variation in the dependent variable. However, in other areas, such as Enfield and Waltham Forest, the R² values are close to 0, indicating that social inequality in these regions is more significantly affected by short-term rental distribution in some areas than in others.</w:t>
      </w:r>
    </w:p>
    <w:p w14:paraId="409136DE" w14:textId="61A5CF49" w:rsidR="00853082" w:rsidRPr="00853082" w:rsidRDefault="00853082" w:rsidP="00853082">
      <w:p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However, there are several issues and limitations in this analysis:</w:t>
      </w:r>
    </w:p>
    <w:p w14:paraId="1DF2AFE7" w14:textId="77777777" w:rsidR="00853082" w:rsidRPr="00853082" w:rsidRDefault="00853082" w:rsidP="00853082">
      <w:pPr>
        <w:pStyle w:val="a9"/>
        <w:numPr>
          <w:ilvl w:val="0"/>
          <w:numId w:val="3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The large spatial unit of the data may result in insufficient sample sizes, affecting the stability and interpretability of the model's results.</w:t>
      </w:r>
    </w:p>
    <w:p w14:paraId="0252EED0" w14:textId="77777777" w:rsidR="00853082" w:rsidRPr="00853082" w:rsidRDefault="00853082" w:rsidP="00853082">
      <w:pPr>
        <w:pStyle w:val="a9"/>
        <w:numPr>
          <w:ilvl w:val="0"/>
          <w:numId w:val="3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Missing data in some regions led to the absence of R² values in certain areas.</w:t>
      </w:r>
    </w:p>
    <w:p w14:paraId="42A05663" w14:textId="77777777" w:rsidR="00853082" w:rsidRPr="00853082" w:rsidRDefault="00853082" w:rsidP="00853082">
      <w:pPr>
        <w:pStyle w:val="a9"/>
        <w:numPr>
          <w:ilvl w:val="0"/>
          <w:numId w:val="3"/>
        </w:numPr>
        <w:rPr>
          <w:rFonts w:ascii="Times New Roman" w:eastAsia="宋体" w:hAnsi="Times New Roman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 xml:space="preserve">When </w:t>
      </w:r>
      <w:proofErr w:type="gramStart"/>
      <w:r w:rsidRPr="00853082">
        <w:rPr>
          <w:rFonts w:ascii="Times New Roman" w:eastAsia="宋体" w:hAnsi="Times New Roman"/>
          <w:sz w:val="24"/>
          <w:szCs w:val="24"/>
        </w:rPr>
        <w:t>controlling for</w:t>
      </w:r>
      <w:proofErr w:type="gramEnd"/>
      <w:r w:rsidRPr="00853082">
        <w:rPr>
          <w:rFonts w:ascii="Times New Roman" w:eastAsia="宋体" w:hAnsi="Times New Roman"/>
          <w:sz w:val="24"/>
          <w:szCs w:val="24"/>
        </w:rPr>
        <w:t xml:space="preserve"> the influence of economic conditions, population, and transportation accessibility, we assumed their effects were linear, potentially overlooking nonlinear influences.</w:t>
      </w:r>
    </w:p>
    <w:p w14:paraId="149D49AE" w14:textId="1C1EEFFB" w:rsidR="00853082" w:rsidRPr="00853082" w:rsidRDefault="00853082" w:rsidP="00853082">
      <w:pPr>
        <w:pStyle w:val="a9"/>
        <w:numPr>
          <w:ilvl w:val="0"/>
          <w:numId w:val="3"/>
        </w:numPr>
        <w:rPr>
          <w:rFonts w:ascii="Times New Roman" w:eastAsia="宋体" w:hAnsi="Times New Roman" w:hint="eastAsia"/>
          <w:sz w:val="24"/>
          <w:szCs w:val="24"/>
        </w:rPr>
      </w:pPr>
      <w:r w:rsidRPr="00853082">
        <w:rPr>
          <w:rFonts w:ascii="Times New Roman" w:eastAsia="宋体" w:hAnsi="Times New Roman"/>
          <w:sz w:val="24"/>
          <w:szCs w:val="24"/>
        </w:rPr>
        <w:t>The residuals after controlling for economic, population, and transportation factors may still include unaccounted external effects, meaning they do not solely represent the impact of short-term rental distribution.</w:t>
      </w:r>
    </w:p>
    <w:sectPr w:rsidR="00853082" w:rsidRPr="0085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52E9"/>
    <w:multiLevelType w:val="hybridMultilevel"/>
    <w:tmpl w:val="62442910"/>
    <w:lvl w:ilvl="0" w:tplc="F226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5C3BE9"/>
    <w:multiLevelType w:val="hybridMultilevel"/>
    <w:tmpl w:val="1CB83D82"/>
    <w:lvl w:ilvl="0" w:tplc="F226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611003"/>
    <w:multiLevelType w:val="hybridMultilevel"/>
    <w:tmpl w:val="F984FBA2"/>
    <w:lvl w:ilvl="0" w:tplc="F226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D36B2F"/>
    <w:multiLevelType w:val="hybridMultilevel"/>
    <w:tmpl w:val="78BAE076"/>
    <w:lvl w:ilvl="0" w:tplc="F226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734097">
    <w:abstractNumId w:val="0"/>
  </w:num>
  <w:num w:numId="2" w16cid:durableId="222765433">
    <w:abstractNumId w:val="2"/>
  </w:num>
  <w:num w:numId="3" w16cid:durableId="93017971">
    <w:abstractNumId w:val="1"/>
  </w:num>
  <w:num w:numId="4" w16cid:durableId="141906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C"/>
    <w:rsid w:val="00077137"/>
    <w:rsid w:val="0007747A"/>
    <w:rsid w:val="000B37B0"/>
    <w:rsid w:val="00120267"/>
    <w:rsid w:val="00420E94"/>
    <w:rsid w:val="00533BB1"/>
    <w:rsid w:val="006A1CCB"/>
    <w:rsid w:val="00853082"/>
    <w:rsid w:val="00A653BC"/>
    <w:rsid w:val="00B57CB8"/>
    <w:rsid w:val="00DA5493"/>
    <w:rsid w:val="00D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7D36"/>
  <w15:chartTrackingRefBased/>
  <w15:docId w15:val="{E7741658-3E16-46D8-8A4D-DFF0C155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3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3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3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3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3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3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3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3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3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3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53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3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3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3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3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3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3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3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3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3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3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t90967</dc:creator>
  <cp:keywords/>
  <dc:description/>
  <cp:lastModifiedBy>t90967</cp:lastModifiedBy>
  <cp:revision>2</cp:revision>
  <dcterms:created xsi:type="dcterms:W3CDTF">2024-12-16T04:31:00Z</dcterms:created>
  <dcterms:modified xsi:type="dcterms:W3CDTF">2024-12-16T06:06:00Z</dcterms:modified>
</cp:coreProperties>
</file>