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left"/>
        <w:rPr>
          <w:rFonts w:ascii="Times new roman" w:hAnsi="Times new roman"/>
        </w:rPr>
      </w:pPr>
      <w:r>
        <w:rPr>
          <w:rFonts w:ascii="Times new roman" w:hAnsi="Times new roman"/>
        </w:rPr>
      </w:r>
    </w:p>
    <w:p>
      <w:pPr>
        <w:pStyle w:val="Normal"/>
        <w:bidi w:val="0"/>
        <w:spacing w:lineRule="auto" w:line="360"/>
        <w:jc w:val="left"/>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t>Calidad del aire en entornos escolares del casco urbano de Guachetá, Cundinamarca: monitoreo y sensibilización.</w:t>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Style w:val="Emphasis"/>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Style w:val="Emphasis"/>
          <w:rFonts w:ascii="Times new roman" w:hAnsi="Times new roman"/>
        </w:rPr>
        <w:t>“</w:t>
      </w:r>
      <w:r>
        <w:rPr>
          <w:rStyle w:val="Emphasis"/>
          <w:rFonts w:ascii="Times new roman" w:hAnsi="Times new roman"/>
        </w:rPr>
        <w:t>Una aproximación participativa desde la cartografía social”</w:t>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t>María Sofía Ojeda Mejía</w:t>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t>Proyecto de investigación</w:t>
      </w:r>
    </w:p>
    <w:p>
      <w:pPr>
        <w:pStyle w:val="Normal"/>
        <w:bidi w:val="0"/>
        <w:spacing w:lineRule="auto" w:line="360"/>
        <w:jc w:val="center"/>
        <w:rPr>
          <w:rFonts w:ascii="Times new roman" w:hAnsi="Times new roman"/>
        </w:rPr>
      </w:pPr>
      <w:r>
        <w:rPr>
          <w:rFonts w:ascii="Times new roman" w:hAnsi="Times new roman"/>
        </w:rPr>
        <w:t>Universidad Jorge Tadeo Lozano</w:t>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rPr>
      </w:pPr>
      <w:r>
        <w:rPr>
          <w:rFonts w:ascii="Times new roman" w:hAnsi="Times new roman"/>
        </w:rPr>
        <w:t>2025</w:t>
      </w:r>
    </w:p>
    <w:p>
      <w:pPr>
        <w:pStyle w:val="Normal"/>
        <w:bidi w:val="0"/>
        <w:spacing w:lineRule="auto" w:line="360"/>
        <w:jc w:val="center"/>
        <w:rPr>
          <w:rFonts w:ascii="Times new roman" w:hAnsi="Times new roman"/>
        </w:rPr>
      </w:pPr>
      <w:r>
        <w:rPr>
          <w:rFonts w:ascii="Times new roman" w:hAnsi="Times new roman"/>
        </w:rPr>
      </w:r>
      <w:r>
        <w:br w:type="page"/>
      </w:r>
    </w:p>
    <w:p>
      <w:pPr>
        <w:pStyle w:val="Normal"/>
        <w:bidi w:val="0"/>
        <w:spacing w:lineRule="auto" w:line="360"/>
        <w:jc w:val="both"/>
        <w:rPr>
          <w:rFonts w:ascii="Times new roman" w:hAnsi="Times new roman"/>
          <w:b/>
          <w:bCs/>
        </w:rPr>
      </w:pPr>
      <w:r>
        <w:rPr>
          <w:rFonts w:ascii="Times new roman" w:hAnsi="Times new roman"/>
          <w:b/>
          <w:bCs/>
        </w:rPr>
        <w:t>Abstract</w:t>
      </w:r>
    </w:p>
    <w:p>
      <w:pPr>
        <w:pStyle w:val="BodyText"/>
        <w:bidi w:val="0"/>
        <w:spacing w:lineRule="auto" w:line="360"/>
        <w:jc w:val="both"/>
        <w:rPr>
          <w:rFonts w:ascii="Times new roman" w:hAnsi="Times new roman"/>
          <w:b w:val="false"/>
          <w:bCs w:val="false"/>
          <w:highlight w:val="none"/>
          <w:shd w:fill="E8F2A1" w:val="clear"/>
        </w:rPr>
      </w:pPr>
      <w:r>
        <w:rPr>
          <w:rFonts w:ascii="Times new roman" w:hAnsi="Times new roman"/>
          <w:b w:val="false"/>
          <w:bCs w:val="false"/>
          <w:shd w:fill="E8F2A1" w:val="clear"/>
        </w:rPr>
        <w:t xml:space="preserve">El presente artículo hace parte de un proceso de investigación orientado a la comprensión </w:t>
      </w:r>
      <w:r>
        <w:rPr>
          <w:rFonts w:ascii="Times new roman" w:hAnsi="Times new roman"/>
          <w:b w:val="false"/>
          <w:bCs w:val="false"/>
          <w:shd w:fill="E8F2A1" w:val="clear"/>
        </w:rPr>
        <w:t xml:space="preserve">y análisis </w:t>
      </w:r>
      <w:r>
        <w:rPr>
          <w:rFonts w:ascii="Times new roman" w:hAnsi="Times new roman"/>
          <w:b w:val="false"/>
          <w:bCs w:val="false"/>
          <w:shd w:fill="E8F2A1" w:val="clear"/>
        </w:rPr>
        <w:t>de la calidad del aire en el municipio de Guachetá, Cundinamarca, a partir del monitoreo de contaminantes atmosféricos y el desarrollo de estrategias de sensibilización con población estudiantil. En esta contribución se profundiza específicamente en el proceso de cartografía social como herramienta pedagógica y participativa, aplicada con niños y niñas de instituciones educativas del municipio, con el fin de reconocer sus percepciones sobre el entorno escolar y las posibles fuentes de contaminación del aire.</w:t>
      </w:r>
    </w:p>
    <w:p>
      <w:pPr>
        <w:pStyle w:val="BodyText"/>
        <w:bidi w:val="0"/>
        <w:spacing w:lineRule="auto" w:line="360"/>
        <w:jc w:val="both"/>
        <w:rPr>
          <w:rFonts w:ascii="Times new roman" w:hAnsi="Times new roman"/>
          <w:b w:val="false"/>
          <w:bCs w:val="false"/>
        </w:rPr>
      </w:pPr>
      <w:r>
        <w:rPr>
          <w:rFonts w:ascii="Times new roman" w:hAnsi="Times new roman"/>
          <w:b w:val="false"/>
          <w:bCs w:val="false"/>
        </w:rPr>
        <w:t>Los resultados evidencian que los estudiantes identifican determinados espacios del colegio, como los baños y zonas con menor ventilación, como puntos donde perciben una mayor acumulación de contaminantes, lo cual refleja una lectura territorial construida desde su experiencia cotidiana. La cartografía social permitió integrar el conocimiento técnico con el saber local de los estudiantes, fortaleciendo su comprensión del problema ambiental y promoviendo una mayor apropiación del territorio escolar. En este sentido, el estudio resalta el valor de los enfoques participativos en procesos de educación ambiental, al facilitar la construcción colectiva de conocimiento y el desarrollo de conciencia ambiental desde edades tempranas.</w:t>
      </w:r>
    </w:p>
    <w:p>
      <w:pPr>
        <w:pStyle w:val="Normal"/>
        <w:bidi w:val="0"/>
        <w:spacing w:lineRule="auto" w:line="360"/>
        <w:jc w:val="both"/>
        <w:rPr>
          <w:rFonts w:ascii="Times new roman" w:hAnsi="Times new roman"/>
          <w:b/>
          <w:bCs/>
        </w:rPr>
      </w:pPr>
      <w:r>
        <w:rPr>
          <w:rFonts w:ascii="Times new roman" w:hAnsi="Times new roman"/>
          <w:b/>
          <w:bCs/>
        </w:rPr>
      </w:r>
    </w:p>
    <w:p>
      <w:pPr>
        <w:pStyle w:val="Normal"/>
        <w:bidi w:val="0"/>
        <w:spacing w:lineRule="auto" w:line="360"/>
        <w:jc w:val="both"/>
        <w:rPr>
          <w:rFonts w:ascii="Times new roman" w:hAnsi="Times new roman"/>
          <w:b/>
          <w:bCs/>
        </w:rPr>
      </w:pPr>
      <w:r>
        <w:rPr>
          <w:rFonts w:ascii="Times new roman" w:hAnsi="Times new roman"/>
          <w:b/>
          <w:bCs/>
        </w:rPr>
        <w:t xml:space="preserve">Introducción </w:t>
      </w:r>
      <w:r>
        <w:rPr>
          <w:rFonts w:ascii="Times new roman" w:hAnsi="Times new roman"/>
          <w:b/>
          <w:bCs/>
        </w:rPr>
        <w:t>1.5-2pag</w:t>
      </w:r>
    </w:p>
    <w:p>
      <w:pPr>
        <w:pStyle w:val="BodyText"/>
        <w:bidi w:val="0"/>
        <w:spacing w:lineRule="auto" w:line="360"/>
        <w:jc w:val="both"/>
        <w:rPr>
          <w:rFonts w:ascii="Times new roman" w:hAnsi="Times new roman"/>
          <w:b w:val="false"/>
          <w:bCs w:val="false"/>
        </w:rPr>
      </w:pPr>
      <w:r>
        <w:rPr>
          <w:rFonts w:ascii="Times new roman" w:hAnsi="Times new roman"/>
          <w:b w:val="false"/>
          <w:bCs w:val="false"/>
        </w:rPr>
        <w:t xml:space="preserve">La calidad del aire se ha consolidado como uno de los principales problemas ambientales y de salud pública a nivel mundial, especialmente en contextos urbanos donde confluyen actividades industriales, tráfico vehicular y dinámicas territoriales complejas. </w:t>
      </w:r>
      <w:r>
        <w:rPr>
          <w:rFonts w:ascii="Times new roman" w:hAnsi="Times new roman"/>
          <w:b w:val="false"/>
          <w:bCs w:val="false"/>
        </w:rPr>
        <w:t>Ejemplo de esto está India, país que tiene 63 de las ciudades más contaminadas en el mundo, donde a concentración actual de PM2.5 es 17 veces superior a lo estipulado por la OMS (https://casossobrecambioclimatico.com/assets/documents/CASO_07_Contaminacion_Delhi.pdf)</w:t>
      </w:r>
    </w:p>
    <w:p>
      <w:pPr>
        <w:pStyle w:val="BodyText"/>
        <w:bidi w:val="0"/>
        <w:spacing w:lineRule="auto" w:line="360"/>
        <w:jc w:val="both"/>
        <w:rPr>
          <w:rFonts w:ascii="Times new roman" w:hAnsi="Times new roman"/>
          <w:b w:val="false"/>
          <w:bCs w:val="false"/>
        </w:rPr>
      </w:pPr>
      <w:r>
        <w:rPr>
          <w:rFonts w:ascii="Times new roman" w:hAnsi="Times new roman"/>
          <w:b w:val="false"/>
          <w:bCs w:val="false"/>
        </w:rPr>
        <w:t>Organismos internacionales como la Organización Mundial de la Salud han advertido que la exposición prolongada a contaminantes atmosféricos, particularmente material particulado fino (PM₂.₅ y PM₁₀), está asociada a enfermedades respiratorias, cardiovasculares y a efectos adversos en el desarrollo infantil. En este escenario, la población escolar emerge como uno de los grupos más vulnerables, no solo por su mayor susceptibilidad fisiológica, sino también por el tiempo significativo que permanece en espacios cerrados como aulas y zonas comunes dentro de las instituciones educativas.</w:t>
      </w:r>
    </w:p>
    <w:p>
      <w:pPr>
        <w:pStyle w:val="BodyText"/>
        <w:bidi w:val="0"/>
        <w:spacing w:lineRule="auto" w:line="360"/>
        <w:jc w:val="both"/>
        <w:rPr>
          <w:rFonts w:ascii="Times new roman" w:hAnsi="Times new roman"/>
        </w:rPr>
      </w:pPr>
      <w:r>
        <w:rPr>
          <w:rFonts w:ascii="Times new roman" w:hAnsi="Times new roman"/>
          <w:b w:val="false"/>
          <w:bCs w:val="false"/>
        </w:rPr>
        <w:t>F</w:t>
      </w:r>
      <w:r>
        <w:rPr>
          <w:rFonts w:ascii="Times new roman" w:hAnsi="Times new roman"/>
        </w:rPr>
        <w:t>rente a este panorama, la educación ambiental ha adquirido un rol estratégico en la formación de ciudadanos críticos y conscientes, capaces de comprender los problemas ambientales que afectan su entorno inmediato y de participar activamente en la construcción de soluciones. A nivel internacional, diversas experiencias han evidenciado que los procesos educativos que integran enfoques participativos y territoriales fortalecen la apropiación del conocimiento ambiental, especialmente cuando involucran a niños y niñas como actores activos y no únicamente como receptores de información. En este sentido, la participación infantil se reconoce hoy como un componente fundamental para promover procesos de aprendizaje significativo, empoderamiento comunitario y corresponsabilidad ambiental desde edades tempranas.</w:t>
      </w:r>
    </w:p>
    <w:p>
      <w:pPr>
        <w:pStyle w:val="BodyText"/>
        <w:bidi w:val="0"/>
        <w:spacing w:lineRule="auto" w:line="360"/>
        <w:jc w:val="both"/>
        <w:rPr>
          <w:rFonts w:ascii="Times new roman" w:hAnsi="Times new roman"/>
        </w:rPr>
      </w:pPr>
      <w:r>
        <w:rPr>
          <w:rFonts w:ascii="Times new roman" w:hAnsi="Times new roman"/>
        </w:rPr>
        <w:t>Dentro de estos enfoques participativos, la cartografía social se ha posicionado como una herramienta pedagógica y metodológica que permite articular el conocimiento técnico con las percepciones, experiencias y saberes locales de las comunidades. A través del mapeo colectivo, los participantes no solo identifican problemáticas ambientales, sino que también construyen una lectura crítica del territorio, reconociendo relaciones espaciales, fuentes de impacto y dinámicas sociales que influyen en su calidad de vida. En contextos escolares, esta herramienta adquiere un valor adicional al facilitar la expresión gráfica y simbólica de los niños, permitiéndoles representar cómo perciben su entorno y los riesgos ambientales presentes en él.</w:t>
      </w:r>
    </w:p>
    <w:p>
      <w:pPr>
        <w:pStyle w:val="BodyText"/>
        <w:bidi w:val="0"/>
        <w:spacing w:lineRule="auto" w:line="360"/>
        <w:jc w:val="both"/>
        <w:rPr>
          <w:rFonts w:ascii="Times new roman" w:hAnsi="Times new roman"/>
        </w:rPr>
      </w:pPr>
      <w:r>
        <w:rPr>
          <w:rFonts w:ascii="Times new roman" w:hAnsi="Times new roman"/>
        </w:rPr>
        <w:t>En el contexto colombiano, y particularmente en municipios de pequeña y mediana escala como Guachetá, Cundinamarca, la problemática de la calidad del aire suele abordarse desde una perspectiva técnica o institucional, con limitada incorporación de procesos educativos participativos a nivel escolar. A pesar de la presencia de actividades productivas como la minería y el tránsito vehicular asociado, persiste una desconexión entre las dinámicas ambientales locales y la comprensión que tienen los niños y niñas sobre los impactos que estas generan en su salud y bienestar cotidiano. Esta brecha entre el entorno que habitan y su interpretación de los problemas ambientales limita el desarrollo de una conciencia ambiental territorializada y reduce las posibilidades de acción colectiva desde la escuela.</w:t>
      </w:r>
    </w:p>
    <w:p>
      <w:pPr>
        <w:pStyle w:val="BodyText"/>
        <w:bidi w:val="0"/>
        <w:spacing w:lineRule="auto" w:line="360"/>
        <w:jc w:val="both"/>
        <w:rPr>
          <w:rFonts w:ascii="Times new roman" w:hAnsi="Times new roman"/>
        </w:rPr>
      </w:pPr>
      <w:r>
        <w:rPr>
          <w:rFonts w:ascii="Times new roman" w:hAnsi="Times new roman"/>
        </w:rPr>
        <w:t>En este marco, el presente estudio se propone analizar la calidad del aire en entornos escolares del casco urbano de Guachetá a partir de un enfoque integrador que combina el monitoreo de contaminantes atmosféricos con procesos de educación ambiental y cartografía social participativa. Particularmente, se busca profundizar en el papel de la cartografía social como herramienta pedagógica para visibilizar las percepciones infantiles sobre la contaminación del aire, identificar puntos críticos dentro de las instituciones educativas y fortalecer la comprensión de los problemas ambientales locales desde la experiencia y el territorio. De esta manera, la investigación aporta a la discusión sobre la necesidad de vincular la dimensión técnica del monitoreo ambiental con estrategias educativas participativas que promuevan una relación más consciente y activa entre los niños y su entorno.</w:t>
      </w:r>
    </w:p>
    <w:p>
      <w:pPr>
        <w:pStyle w:val="BodyText"/>
        <w:bidi w:val="0"/>
        <w:spacing w:lineRule="auto" w:line="360"/>
        <w:jc w:val="both"/>
        <w:rPr>
          <w:rFonts w:ascii="Times new roman" w:hAnsi="Times new roman"/>
          <w:b w:val="false"/>
          <w:bCs w:val="false"/>
        </w:rPr>
      </w:pPr>
      <w:r>
        <w:rPr>
          <w:rFonts w:ascii="Times new roman" w:hAnsi="Times new roman"/>
          <w:b w:val="false"/>
          <w:bCs w:val="false"/>
        </w:rPr>
      </w:r>
    </w:p>
    <w:p>
      <w:pPr>
        <w:pStyle w:val="BodyText"/>
        <w:numPr>
          <w:ilvl w:val="0"/>
          <w:numId w:val="4"/>
        </w:numPr>
        <w:bidi w:val="0"/>
        <w:spacing w:lineRule="auto" w:line="360"/>
        <w:jc w:val="both"/>
        <w:rPr/>
      </w:pPr>
      <w:r>
        <w:rPr>
          <w:rFonts w:ascii="Times new roman" w:hAnsi="Times new roman"/>
          <w:b w:val="false"/>
          <w:bCs w:val="false"/>
        </w:rPr>
        <w:t>I</w:t>
      </w:r>
      <w:r>
        <w:rPr>
          <w:rFonts w:ascii="Times new roman" w:hAnsi="Times new roman"/>
          <w:b w:val="false"/>
          <w:bCs w:val="false"/>
        </w:rPr>
        <w:t xml:space="preserve">mportancia de la </w:t>
      </w:r>
      <w:r>
        <w:rPr>
          <w:rStyle w:val="Strong"/>
          <w:rFonts w:ascii="Times new roman" w:hAnsi="Times new roman"/>
          <w:b w:val="false"/>
          <w:bCs w:val="false"/>
        </w:rPr>
        <w:t>educación ambiental en contextos escolares</w:t>
      </w:r>
    </w:p>
    <w:p>
      <w:pPr>
        <w:pStyle w:val="BodyText"/>
        <w:numPr>
          <w:ilvl w:val="0"/>
          <w:numId w:val="1"/>
        </w:numPr>
        <w:tabs>
          <w:tab w:val="clear" w:pos="709"/>
          <w:tab w:val="left" w:pos="720" w:leader="none"/>
        </w:tabs>
        <w:bidi w:val="0"/>
        <w:spacing w:lineRule="auto" w:line="360"/>
        <w:ind w:hanging="283" w:left="720"/>
        <w:jc w:val="both"/>
        <w:rPr>
          <w:rFonts w:ascii="Times new roman" w:hAnsi="Times new roman"/>
          <w:b/>
          <w:bCs/>
        </w:rPr>
      </w:pPr>
      <w:r>
        <w:rPr>
          <w:rFonts w:ascii="Times new roman" w:hAnsi="Times new roman"/>
          <w:b w:val="false"/>
          <w:bCs w:val="false"/>
        </w:rPr>
        <w:t xml:space="preserve">Rol de la </w:t>
      </w:r>
      <w:r>
        <w:rPr>
          <w:rStyle w:val="Strong"/>
          <w:rFonts w:ascii="Times new roman" w:hAnsi="Times new roman"/>
          <w:b w:val="false"/>
          <w:bCs w:val="false"/>
        </w:rPr>
        <w:t>participación infantil</w:t>
      </w:r>
    </w:p>
    <w:p>
      <w:pPr>
        <w:pStyle w:val="BodyText"/>
        <w:numPr>
          <w:ilvl w:val="0"/>
          <w:numId w:val="2"/>
        </w:numPr>
        <w:tabs>
          <w:tab w:val="clear" w:pos="709"/>
          <w:tab w:val="left" w:pos="720" w:leader="none"/>
        </w:tabs>
        <w:bidi w:val="0"/>
        <w:spacing w:lineRule="auto" w:line="360"/>
        <w:ind w:hanging="283" w:left="720"/>
        <w:jc w:val="both"/>
        <w:rPr>
          <w:rFonts w:ascii="Times new roman" w:hAnsi="Times new roman"/>
          <w:b w:val="false"/>
          <w:bCs w:val="false"/>
        </w:rPr>
      </w:pPr>
      <w:r>
        <w:rPr>
          <w:rFonts w:ascii="Times new roman" w:hAnsi="Times new roman"/>
          <w:b w:val="false"/>
          <w:bCs w:val="false"/>
        </w:rPr>
        <w:t>Cartografía social como herramienta pedagógica</w:t>
      </w:r>
    </w:p>
    <w:p>
      <w:pPr>
        <w:pStyle w:val="BodyText"/>
        <w:numPr>
          <w:ilvl w:val="0"/>
          <w:numId w:val="3"/>
        </w:numPr>
        <w:tabs>
          <w:tab w:val="clear" w:pos="709"/>
          <w:tab w:val="left" w:pos="720" w:leader="none"/>
        </w:tabs>
        <w:bidi w:val="0"/>
        <w:spacing w:lineRule="auto" w:line="360"/>
        <w:ind w:hanging="283" w:left="720"/>
        <w:jc w:val="both"/>
        <w:rPr>
          <w:rFonts w:ascii="Times new roman" w:hAnsi="Times new roman"/>
          <w:b w:val="false"/>
          <w:bCs w:val="false"/>
        </w:rPr>
      </w:pPr>
      <w:r>
        <w:rPr>
          <w:rFonts w:ascii="Times new roman" w:hAnsi="Times new roman"/>
          <w:b w:val="false"/>
          <w:bCs w:val="false"/>
        </w:rPr>
        <w:t>Problema: desconexión entre niños y comprensión de problemas ambientales locales</w:t>
      </w:r>
    </w:p>
    <w:p>
      <w:pPr>
        <w:pStyle w:val="Normal"/>
        <w:bidi w:val="0"/>
        <w:spacing w:lineRule="auto" w:line="360"/>
        <w:jc w:val="both"/>
        <w:rPr>
          <w:rFonts w:ascii="Times new roman" w:hAnsi="Times new roman"/>
          <w:b w:val="false"/>
          <w:bCs w:val="false"/>
        </w:rPr>
      </w:pPr>
      <w:r>
        <w:rPr>
          <w:rFonts w:ascii="Times new roman" w:hAnsi="Times new roman"/>
          <w:b w:val="false"/>
          <w:bCs w:val="false"/>
        </w:rPr>
      </w:r>
    </w:p>
    <w:p>
      <w:pPr>
        <w:pStyle w:val="Normal"/>
        <w:bidi w:val="0"/>
        <w:spacing w:lineRule="auto" w:line="360"/>
        <w:jc w:val="both"/>
        <w:rPr/>
      </w:pPr>
      <w:r>
        <w:rPr>
          <w:rFonts w:ascii="Times new roman" w:hAnsi="Times new roman"/>
          <w:b/>
          <w:bCs/>
        </w:rPr>
        <w:t xml:space="preserve">Metodología </w:t>
      </w:r>
      <w:r>
        <w:rPr/>
        <w:t>2–2.5 páginas</w:t>
      </w:r>
    </w:p>
    <w:p>
      <w:pPr>
        <w:pStyle w:val="BodyText"/>
        <w:bidi w:val="0"/>
        <w:spacing w:lineRule="auto" w:line="360"/>
        <w:jc w:val="both"/>
        <w:rPr/>
      </w:pPr>
      <w:r>
        <w:rPr/>
        <w:t>El proceso metodológico se desarrolló desde un enfoque cualitativo y participativo, enmarcado en principios de educación ambiental y aprendizaje situado, en el que los estudiantes asumieron un rol activo en la construcción del conocimiento sobre su entorno. Más que un ejercicio de diagnóstico, la cartografía social se concibió como una estrategia pedagógica orientada a promover la reflexión crítica, el diálogo colectivo y la apropiación del territorio escolar.</w:t>
      </w:r>
    </w:p>
    <w:p>
      <w:pPr>
        <w:pStyle w:val="BodyText"/>
        <w:bidi w:val="0"/>
        <w:spacing w:lineRule="auto" w:line="360"/>
        <w:jc w:val="both"/>
        <w:rPr/>
      </w:pPr>
      <w:r>
        <w:rPr/>
        <w:t>La actividad se inició con espacios de sensibilización diseñados para activar los saberes previos de los participantes, a partir de preguntas orientadoras relacionadas con sus experiencias cotidianas dentro y fuera de la institución educativa. Este momento permitió identificar percepciones iniciales sobre la calidad del aire, así como las sensaciones físicas y emocionales asociadas a determinados espacios del colegio y su entorno inmediato.</w:t>
      </w:r>
    </w:p>
    <w:p>
      <w:pPr>
        <w:pStyle w:val="BodyText"/>
        <w:bidi w:val="0"/>
        <w:spacing w:lineRule="auto" w:line="360"/>
        <w:jc w:val="both"/>
        <w:rPr/>
      </w:pPr>
      <w:r>
        <w:rPr/>
        <w:t>Posteriormente, la construcción cartográfica se desarrolló de manera colaborativa en pequeños grupos, fomentando la discusión y la toma de decisiones consensuadas. Los mapas en blanco funcionaron como soportes abiertos de representación, en los que los estudiantes plasmaron no solo ubicaciones físicas, sino también significados asociados a los lugares, utilizando símbolos, colores y anotaciones propias. Este proceso evidenció cómo la percepción infantil de la contaminación atmosférica se articula con elementos como el uso del espacio, la ventilación, la presencia de olores, el ruido y la interacción social.</w:t>
      </w:r>
    </w:p>
    <w:p>
      <w:pPr>
        <w:pStyle w:val="BodyText"/>
        <w:bidi w:val="0"/>
        <w:spacing w:lineRule="auto" w:line="360"/>
        <w:jc w:val="both"/>
        <w:rPr/>
      </w:pPr>
      <w:r>
        <w:rPr/>
        <w:t>La definición de convenciones gráficas surgió de manera colectiva, lo que permitió estandarizar las representaciones sin limitar la expresión individual. Este ejercicio fortaleció la capacidad de los estudiantes para argumentar, justificar y negociar sus puntos de vista, consolidando el mapa como una construcción social más que como un producto individual.</w:t>
      </w:r>
    </w:p>
    <w:p>
      <w:pPr>
        <w:pStyle w:val="BodyText"/>
        <w:bidi w:val="0"/>
        <w:spacing w:lineRule="auto" w:line="360"/>
        <w:jc w:val="both"/>
        <w:rPr/>
      </w:pPr>
      <w:r>
        <w:rPr/>
        <w:t>Finalmente, se llevó a cabo una discusión plenaria en la que los mapas elaborados fueron socializados y analizados de forma conjunta. Este espacio facilitó la identificación de patrones comunes y divergencias entre los grupos, así como la reflexión sobre la relación entre las percepciones construidas y las condiciones ambientales reales del entorno escolar. El proceso concluyó con la validación colectiva de los puntos críticos, reforzando el sentido de corresponsabilidad y el reconocimiento de los estudiantes como actores clave en la comprensión y cuidado de su ambiente.</w:t>
      </w:r>
    </w:p>
    <w:p>
      <w:pPr>
        <w:pStyle w:val="Normal"/>
        <w:bidi w:val="0"/>
        <w:spacing w:lineRule="auto" w:line="360"/>
        <w:jc w:val="both"/>
        <w:rPr/>
      </w:pPr>
      <w:r>
        <w:rPr/>
      </w:r>
    </w:p>
    <w:p>
      <w:pPr>
        <w:pStyle w:val="Normal"/>
        <w:bidi w:val="0"/>
        <w:spacing w:lineRule="auto" w:line="360"/>
        <w:jc w:val="both"/>
        <w:rPr/>
      </w:pPr>
      <w:r>
        <w:rPr/>
      </w:r>
    </w:p>
    <w:p>
      <w:pPr>
        <w:pStyle w:val="BodyText"/>
        <w:bidi w:val="0"/>
        <w:spacing w:lineRule="auto" w:line="360"/>
        <w:jc w:val="both"/>
        <w:rPr>
          <w:rFonts w:ascii="Times new roman" w:hAnsi="Times new roman"/>
          <w:b/>
          <w:bCs/>
        </w:rPr>
      </w:pPr>
      <w:r>
        <w:rPr>
          <w:rFonts w:ascii="Times new roman" w:hAnsi="Times new roman"/>
          <w:b w:val="false"/>
          <w:bCs w:val="false"/>
        </w:rPr>
        <w:t xml:space="preserve">Aquí </w:t>
      </w:r>
      <w:r>
        <w:rPr>
          <w:rStyle w:val="Strong"/>
          <w:rFonts w:ascii="Times new roman" w:hAnsi="Times new roman"/>
          <w:b w:val="false"/>
          <w:bCs w:val="false"/>
        </w:rPr>
        <w:t>no describes todo el monitoreo</w:t>
      </w:r>
      <w:r>
        <w:rPr>
          <w:rFonts w:ascii="Times new roman" w:hAnsi="Times new roman"/>
          <w:b w:val="false"/>
          <w:bCs w:val="false"/>
        </w:rPr>
        <w:t>. Solo lo necesario como contexto.</w:t>
      </w:r>
    </w:p>
    <w:p>
      <w:pPr>
        <w:pStyle w:val="Heading4"/>
        <w:bidi w:val="0"/>
        <w:spacing w:lineRule="auto" w:line="360"/>
        <w:jc w:val="both"/>
        <w:rPr>
          <w:rFonts w:ascii="Times new roman" w:hAnsi="Times new roman"/>
          <w:b w:val="false"/>
          <w:bCs w:val="false"/>
        </w:rPr>
      </w:pPr>
      <w:r>
        <w:rPr>
          <w:rFonts w:ascii="Times new roman" w:hAnsi="Times new roman"/>
          <w:b w:val="false"/>
          <w:bCs w:val="false"/>
        </w:rPr>
        <w:t>4.1 Enfoque metodológico</w:t>
      </w:r>
    </w:p>
    <w:p>
      <w:pPr>
        <w:pStyle w:val="BodyText"/>
        <w:numPr>
          <w:ilvl w:val="0"/>
          <w:numId w:val="5"/>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Cualitativo–participativo</w:t>
      </w:r>
    </w:p>
    <w:p>
      <w:pPr>
        <w:pStyle w:val="BodyText"/>
        <w:numPr>
          <w:ilvl w:val="0"/>
          <w:numId w:val="5"/>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Investigación–acción educativa</w:t>
      </w:r>
    </w:p>
    <w:p>
      <w:pPr>
        <w:pStyle w:val="BodyText"/>
        <w:numPr>
          <w:ilvl w:val="0"/>
          <w:numId w:val="5"/>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Aprendizaje situado</w:t>
      </w:r>
    </w:p>
    <w:p>
      <w:pPr>
        <w:pStyle w:val="Heading4"/>
        <w:bidi w:val="0"/>
        <w:spacing w:lineRule="auto" w:line="360"/>
        <w:jc w:val="both"/>
        <w:rPr>
          <w:b w:val="false"/>
          <w:bCs w:val="false"/>
        </w:rPr>
      </w:pPr>
      <w:r>
        <w:rPr>
          <w:rFonts w:ascii="Times new roman" w:hAnsi="Times new roman"/>
          <w:b w:val="false"/>
          <w:bCs w:val="false"/>
        </w:rPr>
        <w:t xml:space="preserve">4.2 Población participante </w:t>
      </w:r>
    </w:p>
    <w:p>
      <w:pPr>
        <w:pStyle w:val="BodyText"/>
        <w:numPr>
          <w:ilvl w:val="0"/>
          <w:numId w:val="6"/>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Niños y niñas</w:t>
      </w:r>
    </w:p>
    <w:p>
      <w:pPr>
        <w:pStyle w:val="BodyText"/>
        <w:numPr>
          <w:ilvl w:val="0"/>
          <w:numId w:val="6"/>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Grados</w:t>
      </w:r>
    </w:p>
    <w:p>
      <w:pPr>
        <w:pStyle w:val="BodyText"/>
        <w:numPr>
          <w:ilvl w:val="0"/>
          <w:numId w:val="6"/>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Rol activo (no “objeto de estudio”)</w:t>
      </w:r>
    </w:p>
    <w:p>
      <w:pPr>
        <w:pStyle w:val="Heading4"/>
        <w:bidi w:val="0"/>
        <w:spacing w:lineRule="auto" w:line="360"/>
        <w:jc w:val="both"/>
        <w:rPr>
          <w:rFonts w:ascii="Times new roman" w:hAnsi="Times new roman"/>
          <w:b w:val="false"/>
          <w:bCs w:val="false"/>
        </w:rPr>
      </w:pPr>
      <w:r>
        <w:rPr>
          <w:rFonts w:ascii="Times new roman" w:hAnsi="Times new roman"/>
          <w:b w:val="false"/>
          <w:bCs w:val="false"/>
        </w:rPr>
        <w:t>4.3 Desarrollo del proceso de cartografía social</w:t>
      </w:r>
    </w:p>
    <w:p>
      <w:pPr>
        <w:pStyle w:val="BodyText"/>
        <w:bidi w:val="0"/>
        <w:spacing w:lineRule="auto" w:line="360"/>
        <w:jc w:val="both"/>
        <w:rPr>
          <w:rFonts w:ascii="Times new roman" w:hAnsi="Times new roman"/>
          <w:b w:val="false"/>
          <w:bCs w:val="false"/>
        </w:rPr>
      </w:pPr>
      <w:r>
        <w:rPr>
          <w:rFonts w:ascii="Times new roman" w:hAnsi="Times new roman"/>
          <w:b w:val="false"/>
          <w:bCs w:val="false"/>
        </w:rPr>
        <w:t>Aquí profundizas MUCHO más que en el artículo:</w:t>
      </w:r>
    </w:p>
    <w:p>
      <w:pPr>
        <w:pStyle w:val="BodyText"/>
        <w:numPr>
          <w:ilvl w:val="0"/>
          <w:numId w:val="7"/>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Taller introductorio</w:t>
      </w:r>
    </w:p>
    <w:p>
      <w:pPr>
        <w:pStyle w:val="BodyText"/>
        <w:numPr>
          <w:ilvl w:val="0"/>
          <w:numId w:val="7"/>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Preguntas detonantes</w:t>
      </w:r>
    </w:p>
    <w:p>
      <w:pPr>
        <w:pStyle w:val="BodyText"/>
        <w:numPr>
          <w:ilvl w:val="0"/>
          <w:numId w:val="7"/>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Trabajo grupal</w:t>
      </w:r>
    </w:p>
    <w:p>
      <w:pPr>
        <w:pStyle w:val="BodyText"/>
        <w:numPr>
          <w:ilvl w:val="0"/>
          <w:numId w:val="7"/>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Construcción de símbolos</w:t>
      </w:r>
    </w:p>
    <w:p>
      <w:pPr>
        <w:pStyle w:val="BodyText"/>
        <w:numPr>
          <w:ilvl w:val="0"/>
          <w:numId w:val="7"/>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Discusión colectiva</w:t>
      </w:r>
    </w:p>
    <w:p>
      <w:pPr>
        <w:pStyle w:val="BodyText"/>
        <w:numPr>
          <w:ilvl w:val="0"/>
          <w:numId w:val="7"/>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Validación de puntos críticos</w:t>
      </w:r>
    </w:p>
    <w:p>
      <w:pPr>
        <w:pStyle w:val="Normal"/>
        <w:bidi w:val="0"/>
        <w:spacing w:lineRule="auto" w:line="360"/>
        <w:jc w:val="both"/>
        <w:rPr>
          <w:rFonts w:ascii="Times new roman" w:hAnsi="Times new roman"/>
          <w:b w:val="false"/>
          <w:bCs w:val="false"/>
        </w:rPr>
      </w:pPr>
      <w:r>
        <w:rPr>
          <w:rFonts w:ascii="Times new roman" w:hAnsi="Times new roman"/>
          <w:b w:val="false"/>
          <w:bCs w:val="false"/>
        </w:rPr>
      </w:r>
    </w:p>
    <w:p>
      <w:pPr>
        <w:pStyle w:val="Normal"/>
        <w:bidi w:val="0"/>
        <w:spacing w:lineRule="auto" w:line="360"/>
        <w:jc w:val="both"/>
        <w:rPr>
          <w:b w:val="false"/>
          <w:bCs w:val="false"/>
        </w:rPr>
      </w:pPr>
      <w:r>
        <w:rPr>
          <w:rFonts w:ascii="Times new roman" w:hAnsi="Times new roman"/>
          <w:b w:val="false"/>
          <w:bCs w:val="false"/>
        </w:rPr>
        <w:t xml:space="preserve">Resultados </w:t>
      </w:r>
      <w:r>
        <w:rPr>
          <w:b w:val="false"/>
          <w:bCs w:val="false"/>
        </w:rPr>
        <w:t>2–2.5 páginas</w:t>
      </w:r>
    </w:p>
    <w:p>
      <w:pPr>
        <w:pStyle w:val="Heading4"/>
        <w:bidi w:val="0"/>
        <w:spacing w:lineRule="auto" w:line="360"/>
        <w:jc w:val="both"/>
        <w:rPr>
          <w:rFonts w:ascii="Times new roman" w:hAnsi="Times new roman"/>
          <w:b w:val="false"/>
          <w:bCs w:val="false"/>
        </w:rPr>
      </w:pPr>
      <w:r>
        <w:rPr>
          <w:rFonts w:ascii="Times new roman" w:hAnsi="Times new roman"/>
          <w:b w:val="false"/>
          <w:bCs w:val="false"/>
        </w:rPr>
        <w:t>5.1 Representaciones espaciales construidas por los niños</w:t>
      </w:r>
    </w:p>
    <w:p>
      <w:pPr>
        <w:pStyle w:val="BodyText"/>
        <w:numPr>
          <w:ilvl w:val="0"/>
          <w:numId w:val="8"/>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Qué lugares aparecen más</w:t>
      </w:r>
    </w:p>
    <w:p>
      <w:pPr>
        <w:pStyle w:val="BodyText"/>
        <w:numPr>
          <w:ilvl w:val="0"/>
          <w:numId w:val="8"/>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Cómo los dibujan</w:t>
      </w:r>
    </w:p>
    <w:p>
      <w:pPr>
        <w:pStyle w:val="BodyText"/>
        <w:numPr>
          <w:ilvl w:val="0"/>
          <w:numId w:val="8"/>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Qué símbolos usan</w:t>
      </w:r>
    </w:p>
    <w:p>
      <w:pPr>
        <w:pStyle w:val="Heading4"/>
        <w:bidi w:val="0"/>
        <w:spacing w:lineRule="auto" w:line="360"/>
        <w:jc w:val="both"/>
        <w:rPr>
          <w:rFonts w:ascii="Times new roman" w:hAnsi="Times new roman"/>
          <w:b w:val="false"/>
          <w:bCs w:val="false"/>
        </w:rPr>
      </w:pPr>
      <w:r>
        <w:rPr>
          <w:rFonts w:ascii="Times new roman" w:hAnsi="Times new roman"/>
          <w:b w:val="false"/>
          <w:bCs w:val="false"/>
        </w:rPr>
        <w:t>5.2 Percepción de la contaminación del aire</w:t>
      </w:r>
    </w:p>
    <w:p>
      <w:pPr>
        <w:pStyle w:val="BodyText"/>
        <w:numPr>
          <w:ilvl w:val="0"/>
          <w:numId w:val="9"/>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Baños</w:t>
      </w:r>
    </w:p>
    <w:p>
      <w:pPr>
        <w:pStyle w:val="BodyText"/>
        <w:numPr>
          <w:ilvl w:val="0"/>
          <w:numId w:val="9"/>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Espacios cerrados</w:t>
      </w:r>
    </w:p>
    <w:p>
      <w:pPr>
        <w:pStyle w:val="BodyText"/>
        <w:numPr>
          <w:ilvl w:val="0"/>
          <w:numId w:val="9"/>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Zonas de tránsito</w:t>
      </w:r>
    </w:p>
    <w:p>
      <w:pPr>
        <w:pStyle w:val="BodyText"/>
        <w:numPr>
          <w:ilvl w:val="0"/>
          <w:numId w:val="9"/>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Relación con olores, polvo, incomodidad</w:t>
      </w:r>
    </w:p>
    <w:p>
      <w:pPr>
        <w:pStyle w:val="Heading4"/>
        <w:bidi w:val="0"/>
        <w:spacing w:lineRule="auto" w:line="360"/>
        <w:jc w:val="both"/>
        <w:rPr>
          <w:rFonts w:ascii="Times new roman" w:hAnsi="Times new roman"/>
          <w:b w:val="false"/>
          <w:bCs w:val="false"/>
        </w:rPr>
      </w:pPr>
      <w:r>
        <w:rPr>
          <w:rFonts w:ascii="Times new roman" w:hAnsi="Times new roman"/>
          <w:b w:val="false"/>
          <w:bCs w:val="false"/>
        </w:rPr>
        <w:t>5.3 Aprendizajes y cambios en la percepción</w:t>
      </w:r>
    </w:p>
    <w:p>
      <w:pPr>
        <w:pStyle w:val="BodyText"/>
        <w:numPr>
          <w:ilvl w:val="0"/>
          <w:numId w:val="10"/>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Antes vs después</w:t>
      </w:r>
    </w:p>
    <w:p>
      <w:pPr>
        <w:pStyle w:val="BodyText"/>
        <w:numPr>
          <w:ilvl w:val="0"/>
          <w:numId w:val="10"/>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Nuevas preguntas</w:t>
      </w:r>
    </w:p>
    <w:p>
      <w:pPr>
        <w:pStyle w:val="BodyText"/>
        <w:numPr>
          <w:ilvl w:val="0"/>
          <w:numId w:val="10"/>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Mayor conciencia</w:t>
      </w:r>
    </w:p>
    <w:p>
      <w:pPr>
        <w:pStyle w:val="BodyText"/>
        <w:bidi w:val="0"/>
        <w:spacing w:lineRule="auto" w:line="360"/>
        <w:jc w:val="both"/>
        <w:rPr>
          <w:rFonts w:ascii="Times new roman" w:hAnsi="Times new roman"/>
          <w:b/>
          <w:bCs/>
        </w:rPr>
      </w:pPr>
      <w:r>
        <w:rPr>
          <w:rFonts w:ascii="Times new roman" w:hAnsi="Times new roman"/>
          <w:b w:val="false"/>
          <w:bCs w:val="false"/>
        </w:rPr>
        <w:t xml:space="preserve">👉 </w:t>
      </w:r>
      <w:r>
        <w:rPr>
          <w:rFonts w:ascii="Times new roman" w:hAnsi="Times new roman"/>
          <w:b w:val="false"/>
          <w:bCs w:val="false"/>
        </w:rPr>
        <w:t xml:space="preserve">Puedes mencionar que los resultados dialogan con mediciones, </w:t>
      </w:r>
      <w:r>
        <w:rPr>
          <w:rStyle w:val="Strong"/>
          <w:rFonts w:ascii="Times new roman" w:hAnsi="Times new roman"/>
          <w:b w:val="false"/>
          <w:bCs w:val="false"/>
        </w:rPr>
        <w:t>sin repetir cifras</w:t>
      </w:r>
      <w:r>
        <w:rPr>
          <w:rFonts w:ascii="Times new roman" w:hAnsi="Times new roman"/>
          <w:b w:val="false"/>
          <w:bCs w:val="false"/>
        </w:rPr>
        <w:t>.</w:t>
      </w:r>
    </w:p>
    <w:p>
      <w:pPr>
        <w:pStyle w:val="Normal"/>
        <w:bidi w:val="0"/>
        <w:spacing w:lineRule="auto" w:line="360"/>
        <w:jc w:val="both"/>
        <w:rPr>
          <w:rFonts w:ascii="Times new roman" w:hAnsi="Times new roman"/>
          <w:b w:val="false"/>
          <w:bCs w:val="false"/>
        </w:rPr>
      </w:pPr>
      <w:r>
        <w:rPr>
          <w:rFonts w:ascii="Times new roman" w:hAnsi="Times new roman"/>
          <w:b w:val="false"/>
          <w:bCs w:val="false"/>
        </w:rPr>
      </w:r>
    </w:p>
    <w:p>
      <w:pPr>
        <w:pStyle w:val="Normal"/>
        <w:bidi w:val="0"/>
        <w:spacing w:lineRule="auto" w:line="360"/>
        <w:jc w:val="both"/>
        <w:rPr>
          <w:rFonts w:ascii="Times new roman" w:hAnsi="Times new roman"/>
          <w:b/>
          <w:bCs/>
        </w:rPr>
      </w:pPr>
      <w:r>
        <w:rPr>
          <w:rFonts w:ascii="Times new roman" w:hAnsi="Times new roman"/>
          <w:b/>
          <w:bCs/>
        </w:rPr>
        <w:t xml:space="preserve">Conslusiones </w:t>
      </w:r>
      <w:r>
        <w:rPr>
          <w:rFonts w:ascii="Times new roman" w:hAnsi="Times new roman"/>
          <w:b/>
          <w:bCs/>
        </w:rPr>
        <w:t>1</w:t>
      </w:r>
    </w:p>
    <w:p>
      <w:pPr>
        <w:pStyle w:val="Normal"/>
        <w:bidi w:val="0"/>
        <w:spacing w:lineRule="auto" w:line="360"/>
        <w:jc w:val="both"/>
        <w:rPr>
          <w:rFonts w:ascii="Times new roman" w:hAnsi="Times new roman"/>
          <w:b w:val="false"/>
          <w:bCs w:val="false"/>
        </w:rPr>
      </w:pPr>
      <w:r>
        <w:rPr>
          <w:rFonts w:ascii="Times new roman" w:hAnsi="Times new roman"/>
          <w:b w:val="false"/>
          <w:bCs w:val="false"/>
        </w:rPr>
      </w:r>
    </w:p>
    <w:p>
      <w:pPr>
        <w:pStyle w:val="BodyText"/>
        <w:bidi w:val="0"/>
        <w:spacing w:lineRule="auto" w:line="360"/>
        <w:jc w:val="both"/>
        <w:rPr>
          <w:rFonts w:ascii="Times new roman" w:hAnsi="Times new roman"/>
          <w:b w:val="false"/>
          <w:bCs w:val="false"/>
        </w:rPr>
      </w:pPr>
      <w:r>
        <w:rPr>
          <w:rFonts w:ascii="Times new roman" w:hAnsi="Times new roman"/>
          <w:b w:val="false"/>
          <w:bCs w:val="false"/>
        </w:rPr>
        <w:t>No repetir conclusiones del artículo original.</w:t>
      </w:r>
    </w:p>
    <w:p>
      <w:pPr>
        <w:pStyle w:val="BodyText"/>
        <w:bidi w:val="0"/>
        <w:spacing w:lineRule="auto" w:line="360"/>
        <w:jc w:val="both"/>
        <w:rPr>
          <w:rFonts w:ascii="Times new roman" w:hAnsi="Times new roman"/>
          <w:b w:val="false"/>
          <w:bCs w:val="false"/>
        </w:rPr>
      </w:pPr>
      <w:r>
        <w:rPr>
          <w:rFonts w:ascii="Times new roman" w:hAnsi="Times new roman"/>
          <w:b w:val="false"/>
          <w:bCs w:val="false"/>
        </w:rPr>
        <w:t>Enfócate en:</w:t>
      </w:r>
    </w:p>
    <w:p>
      <w:pPr>
        <w:pStyle w:val="BodyText"/>
        <w:numPr>
          <w:ilvl w:val="0"/>
          <w:numId w:val="11"/>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Valor pedagógico del proceso</w:t>
      </w:r>
    </w:p>
    <w:p>
      <w:pPr>
        <w:pStyle w:val="BodyText"/>
        <w:numPr>
          <w:ilvl w:val="0"/>
          <w:numId w:val="11"/>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Rol de los niños como actores ambientales</w:t>
      </w:r>
    </w:p>
    <w:p>
      <w:pPr>
        <w:pStyle w:val="BodyText"/>
        <w:numPr>
          <w:ilvl w:val="0"/>
          <w:numId w:val="11"/>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Importancia de metodologías participativas</w:t>
      </w:r>
    </w:p>
    <w:p>
      <w:pPr>
        <w:pStyle w:val="BodyText"/>
        <w:numPr>
          <w:ilvl w:val="0"/>
          <w:numId w:val="11"/>
        </w:numPr>
        <w:tabs>
          <w:tab w:val="clear" w:pos="709"/>
          <w:tab w:val="left" w:pos="709" w:leader="none"/>
        </w:tabs>
        <w:bidi w:val="0"/>
        <w:spacing w:lineRule="auto" w:line="360"/>
        <w:ind w:hanging="283" w:left="709"/>
        <w:jc w:val="both"/>
        <w:rPr>
          <w:rFonts w:ascii="Times new roman" w:hAnsi="Times new roman"/>
          <w:b w:val="false"/>
          <w:bCs w:val="false"/>
        </w:rPr>
      </w:pPr>
      <w:r>
        <w:rPr>
          <w:rFonts w:ascii="Times new roman" w:hAnsi="Times new roman"/>
          <w:b w:val="false"/>
          <w:bCs w:val="false"/>
        </w:rPr>
        <w:t>Potencial de replicabilidad en otros contextos escolare</w:t>
      </w:r>
    </w:p>
    <w:p>
      <w:pPr>
        <w:pStyle w:val="Normal"/>
        <w:bidi w:val="0"/>
        <w:spacing w:lineRule="auto" w:line="360"/>
        <w:jc w:val="both"/>
        <w:rPr>
          <w:rFonts w:ascii="Times new roman" w:hAnsi="Times new roman"/>
          <w:b w:val="false"/>
          <w:bCs w:val="false"/>
        </w:rPr>
      </w:pPr>
      <w:r>
        <w:rPr>
          <w:rFonts w:ascii="Times new roman" w:hAnsi="Times new roman"/>
          <w:b w:val="false"/>
          <w:bCs w:val="false"/>
        </w:rPr>
      </w:r>
      <w:r>
        <w:br w:type="page"/>
      </w:r>
    </w:p>
    <w:p>
      <w:pPr>
        <w:pStyle w:val="Normal"/>
        <w:bidi w:val="0"/>
        <w:spacing w:lineRule="auto" w:line="360"/>
        <w:jc w:val="both"/>
        <w:rPr>
          <w:rFonts w:ascii="Times new roman" w:hAnsi="Times new roman"/>
          <w:b/>
          <w:bCs/>
        </w:rPr>
      </w:pPr>
      <w:r>
        <w:rPr>
          <w:rFonts w:ascii="Times new roman" w:hAnsi="Times new roman"/>
          <w:b/>
          <w:bCs/>
        </w:rPr>
        <w:t>Bibliografía</w:t>
      </w:r>
    </w:p>
    <w:p>
      <w:pPr>
        <w:pStyle w:val="Normal"/>
        <w:bidi w:val="0"/>
        <w:spacing w:lineRule="auto" w:line="360"/>
        <w:jc w:val="both"/>
        <w:rPr>
          <w:rFonts w:ascii="Times new roman" w:hAnsi="Times new roman"/>
        </w:rPr>
      </w:pPr>
      <w:r>
        <w:rPr>
          <w:rFonts w:ascii="Times new roman" w:hAnsi="Times new roman"/>
        </w:rPr>
      </w:r>
    </w:p>
    <w:p>
      <w:pPr>
        <w:pStyle w:val="Normal"/>
        <w:bidi w:val="0"/>
        <w:spacing w:lineRule="auto" w:line="360"/>
        <w:jc w:val="both"/>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LibreOffice/25.2.7.2$Linux_X86_64 LibreOffice_project/520$Build-2</Application>
  <AppVersion>15.0000</AppVersion>
  <Pages>7</Pages>
  <Words>1414</Words>
  <Characters>8559</Characters>
  <CharactersWithSpaces>9868</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2026-01-11T08:12:25Z</dcterms:created>
  <dc:creator/>
  <dc:description/>
  <dc:language>en-US</dc:language>
  <cp:lastModifiedBy/>
  <dcterms:modified xsi:type="dcterms:W3CDTF">2026-01-11T09:17:47Z</dcterms:modified>
  <cp:revision>3</cp:revision>
  <dc:subject/>
  <dc:title/>
</cp:coreProperties>
</file>