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OPF 한국어 PII 평가 — 문의 사항 회신</w:t>
      </w:r>
    </w:p>
    <w:p>
      <w:pPr>
        <w:pBdr>
          <w:bottom w:val="single" w:color="1F3864" w:sz="12" w:space="4"/>
        </w:pBdr>
        <w:spacing w:after="1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2026.08.24  |  AI솔루션팀 OJT 최중현  |  수신: 정홍규 수석님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rPr>
          <w:tblHeader/>
        </w:trPr>
        <w:tc>
          <w:tcPr>
            <w:tcW w:type="dxa" w:w="1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문의</w:t>
            </w:r>
          </w:p>
        </w:tc>
        <w:tc>
          <w:tcPr>
            <w:tcW w:type="dxa" w:w="46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회신 요지</w:t>
            </w:r>
          </w:p>
        </w:tc>
        <w:tc>
          <w:tcPr>
            <w:tcW w:type="dxa" w:w="35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KDPII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미채택 — 증권 문맥 부재(53,778문장 중 증권 1·펀드 1·주식 15)가 주 사유. 방법론 4건 승계 주장 중 2건만 실제 반영 확인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일부 정정</w:t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 원본 구성</w:t>
            </w:r>
          </w:p>
        </w:tc>
        <w:tc>
          <w:tcPr>
            <w:tcW w:type="dxa" w:w="4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openpii-1.5m 은 train·validation 2개 split (test 없음). 양쪽을 통합한 뒤 한국어 서브셋 26,498행을 뽑고, 거기서 3,000건 표집</w:t>
            </w:r>
          </w:p>
        </w:tc>
        <w:tc>
          <w:tcPr>
            <w:tcW w:type="dxa" w:w="35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확인 완료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 분자 통일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지적 정확. 재현율·정밀도가 서로 다른 매칭 규칙으로 계수됨. 표준 정의(TP 1개)로 통일하고 F1·F2 재산출 예정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재계산 대기</w:t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 단위 통일</w:t>
            </w:r>
          </w:p>
        </w:tc>
        <w:tc>
          <w:tcPr>
            <w:tcW w:type="dxa" w:w="4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스팬(문자 오프셋)을 정본 단위로 확정. 문서·문자를 보조, 토큰은 모델카드 대조용 참고로만 사용</w:t>
            </w:r>
          </w:p>
        </w:tc>
        <w:tc>
          <w:tcPr>
            <w:tcW w:type="dxa" w:w="35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확정</w:t>
            </w:r>
          </w:p>
        </w:tc>
      </w:tr>
    </w:tbl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KDPII 미채택 사유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KDPII(연세대 · 개인정보위/KISA 과제)는 실물을 반입해 검토했고, 데이터는 채택하지 않았습니다. 라이선스 문제가 아니라 도메인 문제입니다.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78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검토 범위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실물 반입 후 검토 (train.json 49.8MB / valid.json 6.3MB / test.json 6.1MB / PII_dataset_V3.json 33.3MB). 문장 50,011 · PII 22,411 · 라벨 33종 · 고유식별번호 4종 각 200건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미채택 사유 1</w:t>
            </w:r>
          </w:p>
        </w:tc>
        <w:tc>
          <w:tcPr>
            <w:tcW w:type="dxa" w:w="78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증권 문맥 부재 — 전 53,778문장 중 증권 1건 · 펀드 1건 · 주식 15건. 일상 대화(회비 정산·친구 간 송금) 중심으로, 사내 상담 문서와 장르가 다름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미채택 사유 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체계 불일치 — KDPII 33종은 대화 코퍼스용 개체명 체계(LCP_COUNTRY·QT_AGE·OG_WORKPLACE 등)로, 사내 11개 마스킹 항목과 직접 대응하지 않음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미채택 사유 3</w:t>
            </w:r>
          </w:p>
        </w:tc>
        <w:tc>
          <w:tcPr>
            <w:tcW w:type="dxa" w:w="78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인용 제약 — 논문이 CC BY-NC-ND 4.0이라 표 전재 불가. 재구성·출처 명시 방식으로만 인용 가능 (데이터셋 자체는 CC BY 4.0)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대신 채택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ai4privacy/pii-masking-openpii-1.5m 한국어 서브셋 (CC BY 4.0). 업무 문서 장르(회의록·영수증·계약 안내·협상 메일)이고, 금융 문맥은 자체 주입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1-1. 승계했다고 보고한 방법론 4건 — 실제 반영 여부 재점검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1주차 발표에서 “데이터 미채택, 방법론만 승계”로 4건을 제시했습니다. 코드와 산출물을 다시 대조한 결과, 2건은 반영이 확인되고 2건은 정정이 필요합니다.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승계 항목</w:t>
            </w:r>
          </w:p>
        </w:tc>
        <w:tc>
          <w:tcPr>
            <w:tcW w:type="dxa" w:w="1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판정</w:t>
            </w:r>
          </w:p>
        </w:tc>
        <w:tc>
          <w:tcPr>
            <w:tcW w:type="dxa" w:w="5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근거 / 정정 내용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 희소 항목 최소 건수 확보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반영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다양성 우선 표집 + 부족 항목 신규 주입. 원본 ACCOUNTNUM 12행 → 계좌번호 803건 주입, 외국인등록번호 245건 · 국문 성명 1,000건 주입. 총 주입 2,048 / 28,420 스팬, injected 플래그로 분리 집계 가능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 정형/비정형 분리 보고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반영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정본 스팬마다 corp_group 필드 보유 — 고유식별정보 7,689 / 개인식별정보 20,731. aggregate_recall.py 가 고유식별 4종을 별도 집계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라벨 정의를 TTAK.KO-10.0852에 근거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정정 필요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리포 전체 grep 결과 TTAK 참조 0건. 사내 11개 항목은 사내 지정 항목을 그대로 따랐고 표준 문서에 소급 대조하지 않았습니다. “TTAK 근거”가 아니라 “사내 항목 정의 준용”이 정확한 표현입니다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 주석자 간 일치도 공개 관행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미실시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표본검수 300건 층화 시트는 생성 완료(review_sheet_300.csv)이나 인간 검수 미실시. 따라서 일치도 산출 불가. “관행 승계”가 아니라 “후속 과제”로 정정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※ ①②는 1주차 발표 문구가 실제 수행 범위보다 앞서 나간 것으로, 이번에 정정합니다.</w:t>
      </w:r>
    </w:p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openpii-1.5m 서브셋 구성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원본은 train·validation 2개 split이며 test split은 없습니다. 두 split을 통합한 뒤 한국어만 추출하고, 거기서 3,000건을 표집한 것이 맞습니다.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단계</w:t>
            </w:r>
          </w:p>
        </w:tc>
        <w:tc>
          <w:tcPr>
            <w:tcW w:type="dxa" w:w="3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결과</w:t>
            </w:r>
          </w:p>
        </w:tc>
        <w:tc>
          <w:tcPr>
            <w:tcW w:type="dxa" w:w="3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원본 전체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1,636,375행 · 30개 언어 / 37개 지역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ai4privacy/pii-masking-openpii-1.5m, CC BY 4.0, 완전 합성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split 구성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train + validation 2종 (test 없음)</w:t>
            </w:r>
          </w:p>
        </w:tc>
        <w:tc>
          <w:tcPr>
            <w:tcW w:type="dxa" w:w="3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정본 문서마다 원본 split 값을 보존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한국어 추출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26,498행 (1.62%, 30개 언어 중 24위)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language=ko · region=KR · script=Hang 단일 조합. PII 스팬 189,429, 오프셋 전건 정합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 └ split 내역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train 21,225 / validation 5,273</w:t>
            </w:r>
          </w:p>
        </w:tc>
        <w:tc>
          <w:tcPr>
            <w:tcW w:type="dxa" w:w="3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양쪽을 합쳐 하나의 모집단으로 사용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표집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3,000문서 / 28,420스팬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다양성 우선 표집 (희소 라벨 16종 전량 포함)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 └ split 내역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train 2,405 / validation 595</w:t>
            </w:r>
          </w:p>
        </w:tc>
        <w:tc>
          <w:tcPr>
            <w:tcW w:type="dxa" w:w="3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표집 후 실측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2-1. 해석 시 유의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69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표집 편향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라벨 다양성 우선 표집이라 행당 평균 PII가 전체 7.15 vs 표집 15.99로 2.2배. 이 테스트셋의 재현율은 다중 PII 밀집 문서에 편중된 값이며, 전체 모집단 성능으로 일반화할 수 없습니다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값 전량 교체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원본 값은 한국 실물 형식과 어긋납니다(여권 0/4,020 · 운전면허 0/5,077 · 연락처 25/10,594 일치). 원본은 문맥 공급원으로만 쓰고 값은 전량 한국 형식 가명값으로 교체했습니다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금융 문맥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원본에 증권 문맥이 없어 자체 주입. 금융 문맥 문서 1,569 / 3,000 (52.30%)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미대응 라벨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사내 11항목에 대응하지 않는 20개 라벨이 원본 PII의 42,992 / 189,429 (22.70%). 정답 스팬 없이 원문에 남아 있으므로 모델이 탐지하면 전부 FP — 의도된 과탐 측정 설계</w:t>
            </w:r>
          </w:p>
        </w:tc>
      </w:tr>
    </w:tbl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정밀도·재현율 분자 통일 및 성능 수치 재정리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3-1. 원인 — 코드 확인 결과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지적하신 내용이 정확합니다. 집계 스크립트가 두 축을 서로 다른 매칭 규칙으로, 서로 다른 모집단 위에서 계수하고 있었습니다.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3060"/>
      </w:tblGrid>
      <w:tr>
        <w:trPr>
          <w:tblHeader/>
        </w:trPr>
        <w:tc>
          <w:tcPr>
            <w:tcW w:type="dxa" w:w="16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축</w:t>
            </w:r>
          </w:p>
        </w:tc>
        <w:tc>
          <w:tcPr>
            <w:tcW w:type="dxa" w:w="21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위치</w:t>
            </w:r>
          </w:p>
        </w:tc>
        <w:tc>
          <w:tcPr>
            <w:tcW w:type="dxa" w:w="26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매칭 조건</w:t>
            </w:r>
          </w:p>
        </w:tc>
        <w:tc>
          <w:tcPr>
            <w:tcW w:type="dxa" w:w="30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계수 대상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재현율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standalone_metrics.py 411행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ps &lt;= gs and ge &lt;= pe  (정답이 예측에 포함)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정답 스팬 28,420건을 순회</w:t>
            </w:r>
          </w:p>
        </w:tc>
      </w:tr>
      <w:tr>
        <w:tc>
          <w:tcPr>
            <w:tcW w:type="dxa" w:w="1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정밀도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standalone_metrics.py 468행</w:t>
            </w:r>
          </w:p>
        </w:tc>
        <w:tc>
          <w:tcPr>
            <w:tcW w:type="dxa" w:w="2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gs &lt;= ps and pe &lt;= ge  (예측이 정답에 포함)</w:t>
            </w:r>
          </w:p>
        </w:tc>
        <w:tc>
          <w:tcPr>
            <w:tcW w:type="dxa" w:w="30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예측 스팬 34,658건을 순회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두 조건 모두 any() 판정이라 1:1 배정 제약이 없어, 한 예측이 여러 정답에 중복 기여할 수 있습니다. 이 때문에 두 축의 TP가 별개 값이 되고, 조화평균인 F1·F2는 정의상 성립하지 않습니다.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3-2. 표준 정의로의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71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채택 정의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정답 스팬과 예측 스팬이 1자 이상 겹치고 라벨이 일치하면 후보로 두고, 겹침 길이 내림차순으로 1:1 그리디 배정. 배정된 쌍의 수 = TP (하나). FN = 미배정 정답, FP = 미배정 예측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표준 준거</w:t>
            </w:r>
          </w:p>
        </w:tc>
        <w:tc>
          <w:tcPr>
            <w:tcW w:type="dxa" w:w="7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SemEval-2013 Task 9.1 / MUC-5 계열 엔티티 단위 평가의 partial 기준. NER 평가 라이브러리 nervaluate 의 기본 4기준 중 하나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병기 기준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Strict(오프셋 완전 일치 + 라벨 일치) 를 하한으로 같은 표에 병기. 겹침 기준만 제시하면 경계 과확장이 전부 정답 처리되어 정밀도가 과대평가됩니다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보조 지표</w:t>
            </w:r>
          </w:p>
        </w:tc>
        <w:tc>
          <w:tcPr>
            <w:tcW w:type="dxa" w:w="7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과잉 마스킹 문자 수를 정밀도 옆에 상시 병기 — 겹침 기준이 가리는 과확장을 잡아내는 유일한 지표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3-3. 현행 확정 수치 (2주차 실측) — 유효/무효 구분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아래 재현율 축은 정의가 명확하므로 그대로 유효합니다. 정밀도·F1·F2는 정의 결함으로 무효 처리하고 재산출합니다.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500"/>
        <w:gridCol w:w="2760"/>
      </w:tblGrid>
      <w:tr>
        <w:trPr>
          <w:tblHeader/>
        </w:trPr>
        <w:tc>
          <w:tcPr>
            <w:tcW w:type="dxa" w:w="2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지표</w:t>
            </w:r>
          </w:p>
        </w:tc>
        <w:tc>
          <w:tcPr>
            <w:tcW w:type="dxa" w:w="2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값</w:t>
            </w:r>
          </w:p>
        </w:tc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판정</w:t>
            </w:r>
          </w:p>
        </w:tc>
        <w:tc>
          <w:tcPr>
            <w:tcW w:type="dxa" w:w="27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재현율 (정답이 예측에 포함)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24,489 / 28,420 (86.17%)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명칭을 '정답 피복률'로 변경 권장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미탐 FN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3,931 / 28,420 (13.83%)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주지표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문서 단위 미탐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2,040 / 3,000 (68.00%)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경영 보고용 핵심 수치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완전 마스킹 문서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960 / 3,000 (32.00%)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Exact Match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 / 28,420 (39.00%)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Strict 기준 하한의 근사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노출 3분류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완전피복 25,576 (89.99%) / 부분노출 705 (2.48%) / 완전미탐 2,139 (7.53%)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부분노출 실제 노출 3,827자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과잉 마스킹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117,746 / 1,392,067자 (8.46%)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유효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정밀도 대체 지표로 승격</w:t>
            </w:r>
          </w:p>
        </w:tc>
      </w:tr>
      <w:tr>
        <w:tc>
          <w:tcPr>
            <w:tcW w:type="dxa" w:w="2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정밀도 (예측이 정답에 포함)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14,784 / 34,658 (42.66%)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무효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분자가 재현율과 불일치 → 재산출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F1 / F2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0.5706 / 0.7157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무효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정의상 성립하지 않음 → 재산출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3-4. 표준 정의 전환 후 예상 구간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재계산은 개발망에서 스크립트 수정 후 실행해야 확정됩니다. 현재 확보된 노출 3분류로 상한은 산출 가능합니다.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000"/>
        <w:gridCol w:w="1730"/>
        <w:gridCol w:w="1730"/>
      </w:tblGrid>
      <w:tr>
        <w:trPr>
          <w:tblHeader/>
        </w:trPr>
        <w:tc>
          <w:tcPr>
            <w:tcW w:type="dxa" w:w="19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기준</w:t>
            </w:r>
          </w:p>
        </w:tc>
        <w:tc>
          <w:tcPr>
            <w:tcW w:type="dxa" w:w="20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TP</w:t>
            </w:r>
          </w:p>
        </w:tc>
        <w:tc>
          <w:tcPr>
            <w:tcW w:type="dxa" w:w="20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재현율</w:t>
            </w:r>
          </w:p>
        </w:tc>
        <w:tc>
          <w:tcPr>
            <w:tcW w:type="dxa" w:w="173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정밀도</w:t>
            </w:r>
          </w:p>
        </w:tc>
        <w:tc>
          <w:tcPr>
            <w:tcW w:type="dxa" w:w="173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F1 / F2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Strict (하한)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 / 28,420 (39.00%)</w:t>
            </w:r>
          </w:p>
        </w:tc>
        <w:tc>
          <w:tcPr>
            <w:tcW w:type="dxa" w:w="1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11,084 / 34,658 (31.98%)</w:t>
            </w:r>
          </w:p>
        </w:tc>
        <w:tc>
          <w:tcPr>
            <w:tcW w:type="dxa" w:w="17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0.35 / 0.37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Partial (상한)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26,281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26,281 / 28,420 (92.47%)</w:t>
            </w:r>
          </w:p>
        </w:tc>
        <w:tc>
          <w:tcPr>
            <w:tcW w:type="dxa" w:w="173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26,281 / 34,658 (75.83%)</w:t>
            </w:r>
          </w:p>
        </w:tc>
        <w:tc>
          <w:tcPr>
            <w:tcW w:type="dxa" w:w="173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≤ 0.83 / ≤ 0.89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Partial 상한 26,281 = 전체 정답 28,420 − 완전 미탐 2,139. 예측과 1자도 겹치지 않는 정답만 제외한 값이므로, 1:1 배정 충돌을 반영하면 실제 TP는 이보다 작습니다. 확정값은 재계산 후 보고드리겠습니다.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주의 — 표준 정의로 바꾸면 정밀도가 42.66%에서 크게 오릅니다. 정의를 유리하게 바꾼 것이 아니라 과확장을 정답으로 인정하는 기준이기 때문이며, 그래서 Strict 하한과 과잉 마스킹 8.46%를 반드시 함께 제시합니다.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3-5. 항목별 재현율 (재현율 축만 — 정밀도·F 계열은 재산출 대기)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200"/>
        <w:gridCol w:w="1500"/>
        <w:gridCol w:w="1400"/>
        <w:gridCol w:w="1160"/>
      </w:tblGrid>
      <w:tr>
        <w:trPr>
          <w:tblHeader/>
        </w:trPr>
        <w:tc>
          <w:tcPr>
            <w:tcW w:type="dxa" w:w="18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사내 항목</w:t>
            </w:r>
          </w:p>
        </w:tc>
        <w:tc>
          <w:tcPr>
            <w:tcW w:type="dxa" w:w="1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정답</w:t>
            </w:r>
          </w:p>
        </w:tc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재현율</w:t>
            </w:r>
          </w:p>
        </w:tc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미탐</w:t>
            </w:r>
          </w:p>
        </w:tc>
        <w:tc>
          <w:tcPr>
            <w:tcW w:type="dxa" w:w="1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부분노출</w:t>
            </w:r>
          </w:p>
        </w:tc>
        <w:tc>
          <w:tcPr>
            <w:tcW w:type="dxa" w:w="11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EM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계좌번호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814 (99.88%)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812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이메일 주소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3,095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3,090 (99.84%)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208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연락처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2,803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2,676 (95.47%)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2,618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여권번호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1,283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1,205 (93.92%)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외국인등록번호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1,580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1,459 (92.34%)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1,398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주민등록번호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3,320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3,017 (90.87%)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303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2,909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카드번호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1,788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1,575 (88.09%)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1,515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주소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6,423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5,535 (86.17%)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운전면허번호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1,506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1,259 (83.60%)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1,202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영문 성명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2,512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1,864 (74.20%)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221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국문 성명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3,295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1,995 (60.55%)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1,300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95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80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28,420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24,489 (86.17%)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3,931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705</w:t>
            </w:r>
          </w:p>
        </w:tc>
        <w:tc>
          <w:tcPr>
            <w:tcW w:type="dxa" w:w="1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11,084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미탐 원인 분해 — 단서 부재 1,948 (49.55%) · 경계 절단 888 (22.59%) · 형식 미인식 375 (9.54%) · 기타 720. 항목군으로는 문맥 의존(성명·주소) 2,836 (72.14%) · 고유식별 4종 749 (19.05%) · 금융·연락 346 (8.80%).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3-6. 규칙 레이어 병행 시 (고유식별 4종)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00"/>
        <w:gridCol w:w="2660"/>
      </w:tblGrid>
      <w:tr>
        <w:trPr>
          <w:tblHeader/>
        </w:trPr>
        <w:tc>
          <w:tcPr>
            <w:tcW w:type="dxa" w:w="2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OPF 단독</w:t>
            </w:r>
          </w:p>
        </w:tc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규칙 단독</w:t>
            </w:r>
          </w:p>
        </w:tc>
        <w:tc>
          <w:tcPr>
            <w:tcW w:type="dxa" w:w="2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합집합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주민등록번호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3,017 / 3,320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3,320 / 3,320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3,318 / 3,320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외국인등록번호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1,459 / 1,580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1,580 / 1,580</w:t>
            </w:r>
          </w:p>
        </w:tc>
        <w:tc>
          <w:tcPr>
            <w:tcW w:type="dxa" w:w="2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1,580 / 1,580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여권번호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1,205 / 1,283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1,283 / 1,283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1,280 / 1,283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운전면허번호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1,259 / 1,506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1,506 / 1,506</w:t>
            </w:r>
          </w:p>
        </w:tc>
        <w:tc>
          <w:tcPr>
            <w:tcW w:type="dxa" w:w="2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1,503 / 1,506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6,940 / 7,689 (90.26%)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7,689 / 7,689 (100%)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7,681 / 7,689 (99.90%)</w:t>
            </w:r>
          </w:p>
        </w:tc>
      </w:tr>
      <w:tr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미탐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749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합집합 잔여 미탐 8건은 hybrid_merge.py 의 “겹치면 넓은 쪽 채택” 규칙 때문입니다. 규칙이 정확히 잡은 예측을 경계가 밀린 OPF 예측이 대체합니다. 구간 합집합 유지로 변경 시 0건이 될 것으로 예상하며 3주차에 수정합니다. 규칙 100% 는 합성 테스트셋이 규칙적 형식이라는 점의 산물이므로 실 데이터 성능으로 읽으면 안 됩니다.</w:t>
      </w:r>
    </w:p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측정 단위 통일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스팬(문자 오프셋)을 정본 단위로 확정하고, 이후 모든 산출물에서 단일 단위로 보고합니다.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400"/>
        <w:gridCol w:w="2760"/>
      </w:tblGrid>
      <w:tr>
        <w:trPr>
          <w:tblHeader/>
        </w:trPr>
        <w:tc>
          <w:tcPr>
            <w:tcW w:type="dxa" w:w="1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층위</w:t>
            </w:r>
          </w:p>
        </w:tc>
        <w:tc>
          <w:tcPr>
            <w:tcW w:type="dxa" w:w="1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단위</w:t>
            </w:r>
          </w:p>
        </w:tc>
        <w:tc>
          <w:tcPr>
            <w:tcW w:type="dxa" w:w="3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용도</w:t>
            </w:r>
          </w:p>
        </w:tc>
        <w:tc>
          <w:tcPr>
            <w:tcW w:type="dxa" w:w="27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표기 예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스팬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재현율 · 정밀도 · F1 · F2 · 항목별 표 전부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24,489 / 28,420 (86.17%)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보조</w:t>
            </w:r>
          </w:p>
        </w:tc>
        <w:tc>
          <w:tcPr>
            <w:tcW w:type="dxa" w:w="1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문서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경영 보고 — 문서 100건 중 몇 건이 새는가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2,040 / 3,000 (68.00%)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보조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실제 노출량 · 과잉 마스킹량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3,827자 / 117,746자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참고</w:t>
            </w:r>
          </w:p>
        </w:tc>
        <w:tc>
          <w:tcPr>
            <w:tcW w:type="dxa" w:w="1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토큰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OPF 모델카드 대조 시에만</w:t>
            </w:r>
          </w:p>
        </w:tc>
        <w:tc>
          <w:tcPr>
            <w:tcW w:type="dxa" w:w="2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F1(token) 0.960 (모델카드 인용)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4-1. 스팬을 정본으로 삼는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근거</w:t>
            </w:r>
          </w:p>
        </w:tc>
        <w:tc>
          <w:tcPr>
            <w:tcW w:type="dxa" w:w="74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규칙 레이어 호환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정규식은 문자 오프셋만 산출하므로 토큰 단위로 계측할 수 없습니다. 3단 레이어(규칙 → OPF → 사람 검토) 구조에서 두 레이어를 같은 자로 재려면 스팬뿐입니다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컴플라이언스 환산</w:t>
            </w:r>
          </w:p>
        </w:tc>
        <w:tc>
          <w:tcPr>
            <w:tcW w:type="dxa" w:w="74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「가명정보 처리 가이드라인」의 식별자 제거율 99.9%는 식별자 1건 단위입니다. 토큰 단위로는 환산되지 않습니다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정답 정의와 일치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정본 라벨이 이미 문자 오프셋으로 정의되어 있고 오프셋 정합 28,420 / 28,420 (100.00%) 확인 완료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학계 관행</w:t>
            </w:r>
          </w:p>
        </w:tc>
        <w:tc>
          <w:tcPr>
            <w:tcW w:type="dxa" w:w="74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MUC-5 · SemEval-2013 Task 9.1 · CoNLL-2003 계열 NER 평가의 기본 단위가 엔티티(=스팬)입니다. OPF 평가 논문도 span-level 을 정본으로 사용합니다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인간 검수 단위</w:t>
            </w:r>
          </w:p>
        </w:tc>
        <w:tc>
          <w:tcPr>
            <w:tcW w:type="dxa" w:w="7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표본검수 300건 시트도 스팬 단위로 작성되어 있습니다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용어 정리 — 문헌에서 혼용되는 “청크(chunk)”는 연속된 동일 라벨 토큰 묶음을 뜻하며 사실상 스팬과 같은 것으로, 독립된 제3의 단위가 아닙니다. 실질 선택지는 토큰과 스팬 두 가지입니다. 모델 벤더 기술 리포트가 토큰 F1을 앞세우는 것은 모델 단독 평가이기 때문이며, 본 과제는 규칙 레이어를 합산해야 하므로 tokenizer 에 독립적인 스팬이 정본이어야 합니다.</w:t>
      </w:r>
    </w:p>
    <w:p>
      <w:pPr>
        <w:pStyle w:val="Heading1"/>
        <w:pBdr>
          <w:bottom w:val="single" w:color="1F3864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후속 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2300"/>
        <w:gridCol w:w="1660"/>
      </w:tblGrid>
      <w:tr>
        <w:trPr>
          <w:tblHeader/>
        </w:trPr>
        <w:tc>
          <w:tcPr>
            <w:tcW w:type="dxa" w:w="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작업</w:t>
            </w:r>
          </w:p>
        </w:tc>
        <w:tc>
          <w:tcPr>
            <w:tcW w:type="dxa" w:w="23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선행 조건</w:t>
            </w:r>
          </w:p>
        </w:tc>
        <w:tc>
          <w:tcPr>
            <w:tcW w:type="dxa" w:w="1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산출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standalone_metrics.py 매칭 로직 교체 (1:1 그리디, Strict·Partial 병기)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개발망 실행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확정 P/R/F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hybrid_merge.py 구간 합집합 유지로 변경 (잔여 미탐 8 → 0 목표)</w:t>
            </w:r>
          </w:p>
        </w:tc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9,012건 병합 재검증</w:t>
            </w:r>
          </w:p>
        </w:tc>
        <w:tc>
          <w:tcPr>
            <w:tcW w:type="dxa" w:w="1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재측정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미탐·과탐 실사례 추출 (OPF vs 규칙 대조 포함)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개발망 예측 로그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발표 예시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표본검수 300건 인간 검수 및 주석자 간 일치도 산출</w:t>
            </w:r>
          </w:p>
        </w:tc>
        <w:tc>
          <w:tcPr>
            <w:tcW w:type="dxa" w:w="2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검수 인력 배정</w:t>
            </w:r>
          </w:p>
        </w:tc>
        <w:tc>
          <w:tcPr>
            <w:tcW w:type="dxa" w:w="1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§1-1 ② 해소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사내 11항목 정의를 TTAK.KO-10.0852 에 소급 대조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표준 문서 열람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§1-1 ① 해소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출처 표기 — 본 데이터셋은 ai4privacy/pii-masking-openpii-1.5m (Ai4Privacy, CC BY 4.0) 의 한국어 서브셋을 가공하여 제작하였습니다. 가명처리 기준: 개인정보보호위원회, 「가명정보 처리 가이드라인」 2026.03.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2026-08-24T03:43:44.597Z</dcterms:created>
  <dcterms:modified xsi:type="dcterms:W3CDTF">2026-08-24T03:43:44.597Z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