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color w:val="4A4438"/>
          <w:spacing w:val="60"/>
          <w:sz w:val="22"/>
          <w:szCs w:val="22"/>
        </w:rPr>
        <w:t xml:space="preserve">S C Y T H E</w:t>
      </w:r>
    </w:p>
    <w:p>
      <w:pPr>
        <w:spacing w:after="40"/>
        <w:jc w:val="center"/>
      </w:pPr>
      <w:r>
        <w:rPr>
          <w:rFonts w:ascii="Georgia" w:cs="Georgia" w:eastAsia="Georgia" w:hAnsi="Georgia"/>
          <w:b/>
          <w:bCs/>
          <w:color w:val="2B2318"/>
          <w:spacing w:val="40"/>
          <w:sz w:val="48"/>
          <w:szCs w:val="48"/>
        </w:rPr>
        <w:t xml:space="preserve">PANAMERICA 1920+</w:t>
      </w:r>
    </w:p>
    <w:p>
      <w:pPr>
        <w:spacing w:after="60"/>
        <w:jc w:val="center"/>
      </w:pPr>
      <w:r>
        <w:rPr>
          <w:rFonts w:ascii="Georgia" w:cs="Georgia" w:eastAsia="Georgia" w:hAnsi="Georgia"/>
          <w:i/>
          <w:iCs/>
          <w:color w:val="8C4A34"/>
          <w:sz w:val="22"/>
          <w:szCs w:val="22"/>
        </w:rPr>
        <w:t xml:space="preserve">Document de cadrage — Refonte visuelle de l'écran de sélection de partie</w:t>
      </w:r>
    </w:p>
    <w:p>
      <w:pPr>
        <w:pBdr>
          <w:bottom w:val="single" w:color="C9A24B" w:sz="8"/>
        </w:pBdr>
        <w:spacing w:after="400"/>
        <w:jc w:val="center"/>
      </w:pPr>
      <w:r>
        <w:rPr>
          <w:sz w:val="10"/>
          <w:szCs w:val="10"/>
        </w:rPr>
        <w:t xml:space="preserve"> </w:t>
      </w:r>
    </w:p>
    <w:p>
      <w:pPr>
        <w:pStyle w:val="Heading1"/>
        <w:pBdr>
          <w:bottom w:val="single" w:color="9C7A3C" w:sz="4"/>
        </w:pBdr>
        <w:spacing w:after="200" w:before="480"/>
      </w:pPr>
      <w:r>
        <w:rPr>
          <w:rFonts w:ascii="Georgia" w:cs="Georgia" w:eastAsia="Georgia" w:hAnsi="Georgia"/>
          <w:b/>
          <w:bCs/>
          <w:color w:val="2B2318"/>
          <w:spacing w:val="20"/>
          <w:sz w:val="30"/>
          <w:szCs w:val="30"/>
        </w:rPr>
        <w:t xml:space="preserve">1. CONTEXTE &amp; OBJECTIF</w:t>
      </w:r>
    </w:p>
    <w:p>
      <w:pPr>
        <w:spacing w:after="160" w:line="300"/>
      </w:pPr>
      <w:r>
        <w:rPr>
          <w:rFonts w:ascii="Calibri" w:cs="Calibri" w:eastAsia="Calibri" w:hAnsi="Calibri"/>
          <w:b w:val="false"/>
          <w:bCs w:val="false"/>
          <w:i w:val="false"/>
          <w:iCs w:val="false"/>
          <w:color w:val="2B2318"/>
          <w:sz w:val="21"/>
          <w:szCs w:val="21"/>
        </w:rPr>
        <w:t xml:space="preserve">Ce document cadre la refonte visuelle de l'écran de sélection de partie de Panamerica 1920+ (accueil, réglages de partie, sélection de faction), suite à l'analyse comparative avec Scythe Digital Edition et à un constat de terrain : l'interface actuelle est fonctionnellement complète mais visuellement peu lisible et peu identifiée au thème dieselpunk du projet.</w:t>
      </w:r>
    </w:p>
    <w:p>
      <w:pPr>
        <w:spacing w:after="160" w:line="300"/>
      </w:pPr>
      <w:r>
        <w:rPr>
          <w:rFonts w:ascii="Calibri" w:cs="Calibri" w:eastAsia="Calibri" w:hAnsi="Calibri"/>
          <w:b w:val="false"/>
          <w:bCs w:val="false"/>
          <w:i w:val="false"/>
          <w:iCs w:val="false"/>
          <w:color w:val="2B2318"/>
          <w:sz w:val="21"/>
          <w:szCs w:val="21"/>
        </w:rPr>
        <w:t xml:space="preserve">Objectif de la refonte : conserver la densité d'information actuelle (elle est pertinente pour le joueur) tout en la rendant lisible en un coup d'œil, et en ancrant l'interface dans l'univers visuel du jeu plutôt que dans un habillage neutre type SaaS.</w:t>
      </w:r>
    </w:p>
    <w:p>
      <w:pPr>
        <w:pStyle w:val="Heading1"/>
        <w:pBdr>
          <w:bottom w:val="single" w:color="9C7A3C" w:sz="4"/>
        </w:pBdr>
        <w:spacing w:after="200" w:before="480"/>
      </w:pPr>
      <w:r>
        <w:rPr>
          <w:rFonts w:ascii="Georgia" w:cs="Georgia" w:eastAsia="Georgia" w:hAnsi="Georgia"/>
          <w:b/>
          <w:bCs/>
          <w:color w:val="2B2318"/>
          <w:spacing w:val="20"/>
          <w:sz w:val="30"/>
          <w:szCs w:val="30"/>
        </w:rPr>
        <w:t xml:space="preserve">2. DIAGNOSTIC — ÉTAT ACTUEL</w:t>
      </w:r>
    </w:p>
    <w:p>
      <w:pPr>
        <w:pStyle w:val="Heading2"/>
        <w:spacing w:after="140" w:before="320"/>
      </w:pPr>
      <w:r>
        <w:rPr>
          <w:rFonts w:ascii="Georgia" w:cs="Georgia" w:eastAsia="Georgia" w:hAnsi="Georgia"/>
          <w:b/>
          <w:bCs/>
          <w:color w:val="8C4A34"/>
          <w:sz w:val="24"/>
          <w:szCs w:val="24"/>
        </w:rPr>
        <w:t xml:space="preserve">2.1 Constat principal : lisibilité</w:t>
      </w:r>
    </w:p>
    <w:p>
      <w:pPr>
        <w:spacing w:after="160" w:line="300"/>
      </w:pPr>
      <w:r>
        <w:rPr>
          <w:rFonts w:ascii="Calibri" w:cs="Calibri" w:eastAsia="Calibri" w:hAnsi="Calibri"/>
          <w:b w:val="false"/>
          <w:bCs w:val="false"/>
          <w:i w:val="false"/>
          <w:iCs w:val="false"/>
          <w:color w:val="2B2318"/>
          <w:sz w:val="21"/>
          <w:szCs w:val="21"/>
        </w:rPr>
        <w:t xml:space="preserve">Le doute soulevé en amont de ce document — "tout est difficile à lire" — est fondé et se décompose en trois causes distinctes, à ne pas traiter comme un seul problème :</w:t>
      </w:r>
    </w:p>
    <w:p>
      <w:pPr>
        <w:pStyle w:val="ListParagraph"/>
        <w:numPr>
          <w:ilvl w:val="0"/>
          <w:numId w:val="2"/>
        </w:numPr>
        <w:spacing w:after="90"/>
      </w:pPr>
      <w:r>
        <w:rPr>
          <w:rFonts w:ascii="Calibri" w:cs="Calibri" w:eastAsia="Calibri" w:hAnsi="Calibri"/>
          <w:b/>
          <w:bCs/>
          <w:color w:val="8C4A34"/>
          <w:sz w:val="21"/>
          <w:szCs w:val="21"/>
        </w:rPr>
        <w:t xml:space="preserve">Absence d'échelle typographique — </w:t>
      </w:r>
      <w:r>
        <w:rPr>
          <w:rFonts w:ascii="Calibri" w:cs="Calibri" w:eastAsia="Calibri" w:hAnsi="Calibri"/>
          <w:color w:val="2B2318"/>
          <w:sz w:val="21"/>
          <w:szCs w:val="21"/>
        </w:rPr>
        <w:t xml:space="preserve">les tailles de police sont trop proches les unes des autres (titre de section, nom de faction, stats et texte de lore utilisent des corps très voisins), ce qui aplatit la hiérarchie visuelle et oblige à tout lire pour trouver l'info cherchée.</w:t>
      </w:r>
    </w:p>
    <w:p>
      <w:pPr>
        <w:pStyle w:val="ListParagraph"/>
        <w:numPr>
          <w:ilvl w:val="0"/>
          <w:numId w:val="2"/>
        </w:numPr>
        <w:spacing w:after="90"/>
      </w:pPr>
      <w:r>
        <w:rPr>
          <w:rFonts w:ascii="Calibri" w:cs="Calibri" w:eastAsia="Calibri" w:hAnsi="Calibri"/>
          <w:b/>
          <w:bCs/>
          <w:color w:val="8C4A34"/>
          <w:sz w:val="21"/>
          <w:szCs w:val="21"/>
        </w:rPr>
        <w:t xml:space="preserve">Contraste insuffisant — </w:t>
      </w:r>
      <w:r>
        <w:rPr>
          <w:rFonts w:ascii="Calibri" w:cs="Calibri" w:eastAsia="Calibri" w:hAnsi="Calibri"/>
          <w:color w:val="2B2318"/>
          <w:sz w:val="21"/>
          <w:szCs w:val="21"/>
        </w:rPr>
        <w:t xml:space="preserve">le texte clair sur fond noir profond est appliqué uniformément, y compris pour les stats de jeu qui devraient être l'information la plus visible de la carte — leur opacité/contraste actuel les fait passer au second plan derrière le nom de faction.</w:t>
      </w:r>
    </w:p>
    <w:p>
      <w:pPr>
        <w:pStyle w:val="ListParagraph"/>
        <w:numPr>
          <w:ilvl w:val="0"/>
          <w:numId w:val="2"/>
        </w:numPr>
        <w:spacing w:after="90"/>
      </w:pPr>
      <w:r>
        <w:rPr>
          <w:rFonts w:ascii="Calibri" w:cs="Calibri" w:eastAsia="Calibri" w:hAnsi="Calibri"/>
          <w:b/>
          <w:bCs/>
          <w:color w:val="8C4A34"/>
          <w:sz w:val="21"/>
          <w:szCs w:val="21"/>
        </w:rPr>
        <w:t xml:space="preserve">Pas de distinction fonctionnelle — </w:t>
      </w:r>
      <w:r>
        <w:rPr>
          <w:rFonts w:ascii="Calibri" w:cs="Calibri" w:eastAsia="Calibri" w:hAnsi="Calibri"/>
          <w:color w:val="2B2318"/>
          <w:sz w:val="21"/>
          <w:szCs w:val="21"/>
        </w:rPr>
        <w:t xml:space="preserve">le texte de lore ("Le Joug", "Terre Libérée"...), les stats chiffrées et les noms de meneurs sont traités avec la même graisse et la même couleur, alors qu'ils n'ont pas la même fonction pour le joueur (ambiance vs décision).</w:t>
      </w:r>
    </w:p>
    <w:p>
      <w:pPr>
        <w:spacing w:after="160" w:line="300"/>
      </w:pPr>
      <w:r>
        <w:rPr>
          <w:rFonts w:ascii="Calibri" w:cs="Calibri" w:eastAsia="Calibri" w:hAnsi="Calibri"/>
          <w:b w:val="false"/>
          <w:bCs w:val="false"/>
          <w:i w:val="false"/>
          <w:iCs w:val="false"/>
          <w:color w:val="2B2318"/>
          <w:sz w:val="21"/>
          <w:szCs w:val="21"/>
        </w:rPr>
        <w:t xml:space="preserve">Ces trois causes se cumulent visuellement mais se corrigent indépendamment — voir §4 pour l'échelle proposée et §6 pour la priorisation.</w:t>
      </w:r>
    </w:p>
    <w:p>
      <w:pPr>
        <w:pStyle w:val="Heading2"/>
        <w:spacing w:after="140" w:before="320"/>
      </w:pPr>
      <w:r>
        <w:rPr>
          <w:rFonts w:ascii="Georgia" w:cs="Georgia" w:eastAsia="Georgia" w:hAnsi="Georgia"/>
          <w:b/>
          <w:bCs/>
          <w:color w:val="8C4A34"/>
          <w:sz w:val="24"/>
          <w:szCs w:val="24"/>
        </w:rPr>
        <w:t xml:space="preserve">2.2 Autres écarts identifiés vs la référence Scythe</w:t>
      </w:r>
    </w:p>
    <w:p>
      <w:pPr>
        <w:pStyle w:val="ListParagraph"/>
        <w:numPr>
          <w:ilvl w:val="0"/>
          <w:numId w:val="2"/>
        </w:numPr>
        <w:spacing w:after="90"/>
      </w:pPr>
      <w:r>
        <w:rPr>
          <w:rFonts w:ascii="Calibri" w:cs="Calibri" w:eastAsia="Calibri" w:hAnsi="Calibri"/>
          <w:b/>
          <w:bCs/>
          <w:color w:val="8C4A34"/>
          <w:sz w:val="21"/>
          <w:szCs w:val="21"/>
        </w:rPr>
        <w:t xml:space="preserve">Absence de portrait/blason — </w:t>
      </w:r>
      <w:r>
        <w:rPr>
          <w:rFonts w:ascii="Calibri" w:cs="Calibri" w:eastAsia="Calibri" w:hAnsi="Calibri"/>
          <w:color w:val="2B2318"/>
          <w:sz w:val="21"/>
          <w:szCs w:val="21"/>
        </w:rPr>
        <w:t xml:space="preserve">les cartes de faction n'ont ni blason ni illustration : l'identité de chaque faction repose uniquement sur une couleur de titre, ce qui multiplie les teintes à l'écran sans renforcer la reconnaissance.</w:t>
      </w:r>
    </w:p>
    <w:p>
      <w:pPr>
        <w:pStyle w:val="ListParagraph"/>
        <w:numPr>
          <w:ilvl w:val="0"/>
          <w:numId w:val="2"/>
        </w:numPr>
        <w:spacing w:after="90"/>
      </w:pPr>
      <w:r>
        <w:rPr>
          <w:rFonts w:ascii="Calibri" w:cs="Calibri" w:eastAsia="Calibri" w:hAnsi="Calibri"/>
          <w:b/>
          <w:bCs/>
          <w:color w:val="8C4A34"/>
          <w:sz w:val="21"/>
          <w:szCs w:val="21"/>
        </w:rPr>
        <w:t xml:space="preserve">Pas de matérialité — </w:t>
      </w:r>
      <w:r>
        <w:rPr>
          <w:rFonts w:ascii="Calibri" w:cs="Calibri" w:eastAsia="Calibri" w:hAnsi="Calibri"/>
          <w:color w:val="2B2318"/>
          <w:sz w:val="21"/>
          <w:szCs w:val="21"/>
        </w:rPr>
        <w:t xml:space="preserve">les cadres sont de simples rectangles à bordure fine, sans bord biseauté, gravure ou grain — l'UI ne "touche" pas encore à l'univers diégétique du jeu.</w:t>
      </w:r>
    </w:p>
    <w:p>
      <w:pPr>
        <w:pStyle w:val="ListParagraph"/>
        <w:numPr>
          <w:ilvl w:val="0"/>
          <w:numId w:val="2"/>
        </w:numPr>
        <w:spacing w:after="90"/>
      </w:pPr>
      <w:r>
        <w:rPr>
          <w:rFonts w:ascii="Calibri" w:cs="Calibri" w:eastAsia="Calibri" w:hAnsi="Calibri"/>
          <w:b/>
          <w:bCs/>
          <w:color w:val="8C4A34"/>
          <w:sz w:val="21"/>
          <w:szCs w:val="21"/>
        </w:rPr>
        <w:t xml:space="preserve">Couleur utilisée comme différenciateur de contenu — </w:t>
      </w:r>
      <w:r>
        <w:rPr>
          <w:rFonts w:ascii="Calibri" w:cs="Calibri" w:eastAsia="Calibri" w:hAnsi="Calibri"/>
          <w:color w:val="2B2318"/>
          <w:sz w:val="21"/>
          <w:szCs w:val="21"/>
        </w:rPr>
        <w:t xml:space="preserve">chaque faction porte une couleur de titre différente (violet, orange, cyan, vert, rose, rouge), alors que sur la référence la couleur est réservée aux états et CTA, jamais utilisée pour différencier du contenu.</w:t>
      </w:r>
    </w:p>
    <w:p>
      <w:pPr>
        <w:pStyle w:val="ListParagraph"/>
        <w:numPr>
          <w:ilvl w:val="0"/>
          <w:numId w:val="2"/>
        </w:numPr>
        <w:spacing w:after="90"/>
      </w:pPr>
      <w:r>
        <w:rPr>
          <w:rFonts w:ascii="Calibri" w:cs="Calibri" w:eastAsia="Calibri" w:hAnsi="Calibri"/>
          <w:b/>
          <w:bCs/>
          <w:color w:val="8C4A34"/>
          <w:sz w:val="21"/>
          <w:szCs w:val="21"/>
        </w:rPr>
        <w:t xml:space="preserve">Incohérence d'état actif — </w:t>
      </w:r>
      <w:r>
        <w:rPr>
          <w:rFonts w:ascii="Calibri" w:cs="Calibri" w:eastAsia="Calibri" w:hAnsi="Calibri"/>
          <w:color w:val="2B2318"/>
          <w:sz w:val="21"/>
          <w:szCs w:val="21"/>
        </w:rPr>
        <w:t xml:space="preserve">le bouton "Bots de l'Empire : ACTIVÉS" en rouge vif lit comme une alerte/erreur alors qu'il s'agit d'un simple toggle de règle — à harmoniser avec la teinte d'accent dorée.</w:t>
      </w:r>
    </w:p>
    <w:p>
      <w:pPr>
        <w:pStyle w:val="Heading2"/>
        <w:spacing w:after="140" w:before="320"/>
      </w:pPr>
      <w:r>
        <w:rPr>
          <w:rFonts w:ascii="Georgia" w:cs="Georgia" w:eastAsia="Georgia" w:hAnsi="Georgia"/>
          <w:b/>
          <w:bCs/>
          <w:color w:val="8C4A34"/>
          <w:sz w:val="24"/>
          <w:szCs w:val="24"/>
        </w:rPr>
        <w:t xml:space="preserve">2.3 Écran de plateau — lisibilité territoriale</w:t>
      </w:r>
    </w:p>
    <w:p>
      <w:pPr>
        <w:spacing w:after="160" w:line="300"/>
      </w:pPr>
      <w:r>
        <w:rPr>
          <w:rFonts w:ascii="Calibri" w:cs="Calibri" w:eastAsia="Calibri" w:hAnsi="Calibri"/>
          <w:b w:val="false"/>
          <w:bCs w:val="false"/>
          <w:i w:val="false"/>
          <w:iCs w:val="false"/>
          <w:color w:val="2B2318"/>
          <w:sz w:val="21"/>
          <w:szCs w:val="21"/>
        </w:rPr>
        <w:t xml:space="preserve">Constat complémentaire suite à l'observation de l'écran de jeu en cours de partie : le plateau hexagonal utilise des couleurs pleines et saturées par type de terrain (vert forêt, bleu eau, gris montagne, jaune/beige plaine), ce qui occupe déjà tout le canal couleur disponible. Le contrôle territorial par faction n'a donc plus de code couleur propre — il repose uniquement sur de petits drapeaux de faction en bordure de plateau et des symboles "X" de faible contraste, une information pourtant consultée en continu pendant toute la partie.</w:t>
      </w:r>
    </w:p>
    <w:p>
      <w:pPr>
        <w:spacing w:after="160" w:line="300"/>
      </w:pPr>
      <w:r>
        <w:rPr>
          <w:rFonts w:ascii="Calibri" w:cs="Calibri" w:eastAsia="Calibri" w:hAnsi="Calibri"/>
          <w:b w:val="false"/>
          <w:bCs w:val="false"/>
          <w:i w:val="false"/>
          <w:iCs w:val="false"/>
          <w:color w:val="2B2318"/>
          <w:sz w:val="21"/>
          <w:szCs w:val="21"/>
        </w:rPr>
        <w:t xml:space="preserve">Sur la référence Scythe, ce conflit n'existe pas : le fond de plateau est volontairement désaturé, ce qui laisse le contour coloré des hexagones porter seul l'information "qui contrôle quoi". C'est l'écart le plus critique identifié à ce stade, car il touche l'information la plus fréquemment consultée du jeu — il est donc intégré en priorité A ci-dessous, malgré le fait que l'écran de plateau reste par ailleurs hors scope de ce document (voir §7).</w:t>
      </w:r>
    </w:p>
    <w:p>
      <w:pPr>
        <w:pStyle w:val="Heading1"/>
        <w:pBdr>
          <w:bottom w:val="single" w:color="9C7A3C" w:sz="4"/>
        </w:pBdr>
        <w:spacing w:after="200" w:before="480"/>
      </w:pPr>
      <w:r>
        <w:rPr>
          <w:rFonts w:ascii="Georgia" w:cs="Georgia" w:eastAsia="Georgia" w:hAnsi="Georgia"/>
          <w:b/>
          <w:bCs/>
          <w:color w:val="2B2318"/>
          <w:spacing w:val="20"/>
          <w:sz w:val="30"/>
          <w:szCs w:val="30"/>
        </w:rPr>
        <w:t xml:space="preserve">3. PRINCIPES DIRECTEURS</w:t>
      </w:r>
    </w:p>
    <w:p>
      <w:pPr>
        <w:pStyle w:val="ListParagraph"/>
        <w:numPr>
          <w:ilvl w:val="0"/>
          <w:numId w:val="2"/>
        </w:numPr>
        <w:spacing w:after="90"/>
      </w:pPr>
      <w:r>
        <w:rPr>
          <w:rFonts w:ascii="Calibri" w:cs="Calibri" w:eastAsia="Calibri" w:hAnsi="Calibri"/>
          <w:b/>
          <w:bCs/>
          <w:color w:val="8C4A34"/>
          <w:sz w:val="21"/>
          <w:szCs w:val="21"/>
        </w:rPr>
        <w:t xml:space="preserve">Une hiérarchie, pas un aplat — </w:t>
      </w:r>
      <w:r>
        <w:rPr>
          <w:rFonts w:ascii="Calibri" w:cs="Calibri" w:eastAsia="Calibri" w:hAnsi="Calibri"/>
          <w:color w:val="2B2318"/>
          <w:sz w:val="21"/>
          <w:szCs w:val="21"/>
        </w:rPr>
        <w:t xml:space="preserve">chaque niveau d'information (titre, nom de faction, stat, lore) a une taille et une graisse propres, jamais partagées avec le niveau voisin.</w:t>
      </w:r>
    </w:p>
    <w:p>
      <w:pPr>
        <w:pStyle w:val="ListParagraph"/>
        <w:numPr>
          <w:ilvl w:val="0"/>
          <w:numId w:val="2"/>
        </w:numPr>
        <w:spacing w:after="90"/>
      </w:pPr>
      <w:r>
        <w:rPr>
          <w:rFonts w:ascii="Calibri" w:cs="Calibri" w:eastAsia="Calibri" w:hAnsi="Calibri"/>
          <w:b/>
          <w:bCs/>
          <w:color w:val="8C4A34"/>
          <w:sz w:val="21"/>
          <w:szCs w:val="21"/>
        </w:rPr>
        <w:t xml:space="preserve">La fonction avant le style — </w:t>
      </w:r>
      <w:r>
        <w:rPr>
          <w:rFonts w:ascii="Calibri" w:cs="Calibri" w:eastAsia="Calibri" w:hAnsi="Calibri"/>
          <w:color w:val="2B2318"/>
          <w:sz w:val="21"/>
          <w:szCs w:val="21"/>
        </w:rPr>
        <w:t xml:space="preserve">l'information qui sert à la décision du joueur (stats, capacités) prime toujours visuellement sur l'information d'ambiance (texte de lore, citations).</w:t>
      </w:r>
    </w:p>
    <w:p>
      <w:pPr>
        <w:pStyle w:val="ListParagraph"/>
        <w:numPr>
          <w:ilvl w:val="0"/>
          <w:numId w:val="2"/>
        </w:numPr>
        <w:spacing w:after="90"/>
      </w:pPr>
      <w:r>
        <w:rPr>
          <w:rFonts w:ascii="Calibri" w:cs="Calibri" w:eastAsia="Calibri" w:hAnsi="Calibri"/>
          <w:b/>
          <w:bCs/>
          <w:color w:val="8C4A34"/>
          <w:sz w:val="21"/>
          <w:szCs w:val="21"/>
        </w:rPr>
        <w:t xml:space="preserve">Une seule couleur d'accent — </w:t>
      </w:r>
      <w:r>
        <w:rPr>
          <w:rFonts w:ascii="Calibri" w:cs="Calibri" w:eastAsia="Calibri" w:hAnsi="Calibri"/>
          <w:color w:val="2B2318"/>
          <w:sz w:val="21"/>
          <w:szCs w:val="21"/>
        </w:rPr>
        <w:t xml:space="preserve">un accent doré unique porte les CTA et états actifs ; la couleur ne sert plus à distinguer du contenu informatif.</w:t>
      </w:r>
    </w:p>
    <w:p>
      <w:pPr>
        <w:pStyle w:val="ListParagraph"/>
        <w:numPr>
          <w:ilvl w:val="0"/>
          <w:numId w:val="2"/>
        </w:numPr>
        <w:spacing w:after="90"/>
      </w:pPr>
      <w:r>
        <w:rPr>
          <w:rFonts w:ascii="Calibri" w:cs="Calibri" w:eastAsia="Calibri" w:hAnsi="Calibri"/>
          <w:b/>
          <w:bCs/>
          <w:color w:val="8C4A34"/>
          <w:sz w:val="21"/>
          <w:szCs w:val="21"/>
        </w:rPr>
        <w:t xml:space="preserve">Texture diégétique — </w:t>
      </w:r>
      <w:r>
        <w:rPr>
          <w:rFonts w:ascii="Calibri" w:cs="Calibri" w:eastAsia="Calibri" w:hAnsi="Calibri"/>
          <w:color w:val="2B2318"/>
          <w:sz w:val="21"/>
          <w:szCs w:val="21"/>
        </w:rPr>
        <w:t xml:space="preserve">cadres, séparateurs et fonds empruntent une matérialité (bord biseauté, grain léger, rivets) cohérente avec l'univers dieselpunk, plutôt qu'un habillage flat générique.</w:t>
      </w:r>
    </w:p>
    <w:p>
      <w:pPr>
        <w:pStyle w:val="Heading1"/>
        <w:pBdr>
          <w:bottom w:val="single" w:color="9C7A3C" w:sz="4"/>
        </w:pBdr>
        <w:spacing w:after="200" w:before="480"/>
      </w:pPr>
      <w:r>
        <w:rPr>
          <w:rFonts w:ascii="Georgia" w:cs="Georgia" w:eastAsia="Georgia" w:hAnsi="Georgia"/>
          <w:b/>
          <w:bCs/>
          <w:color w:val="2B2318"/>
          <w:spacing w:val="20"/>
          <w:sz w:val="30"/>
          <w:szCs w:val="30"/>
        </w:rPr>
        <w:t xml:space="preserve">4. SPEC TYPOGRAPHIQUE</w:t>
      </w:r>
    </w:p>
    <w:p>
      <w:pPr>
        <w:spacing w:after="160" w:line="300"/>
      </w:pPr>
      <w:r>
        <w:rPr>
          <w:rFonts w:ascii="Calibri" w:cs="Calibri" w:eastAsia="Calibri" w:hAnsi="Calibri"/>
          <w:b w:val="false"/>
          <w:bCs w:val="false"/>
          <w:i w:val="false"/>
          <w:iCs w:val="false"/>
          <w:color w:val="2B2318"/>
          <w:sz w:val="21"/>
          <w:szCs w:val="21"/>
        </w:rPr>
        <w:t xml:space="preserve">Réponse directe au doute sur la lisibilité : l'échelle ci-dessous introduit un écart mesurable entre chaque niveau (au moins 2px et un changement de graisse ou de casse), de sorte qu'aucun niveau ne puisse être confondu visuellement avec son voisin.</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300"/>
        <w:gridCol w:w="1900"/>
        <w:gridCol w:w="4300"/>
      </w:tblGrid>
      <w:tr>
        <w:trPr>
          <w:tblHeader/>
        </w:trPr>
        <w:tc>
          <w:tcPr>
            <w:tcW w:type="dxa" w:w="1700"/>
            <w:shd w:fill="2B2318"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Niveau</w:t>
            </w:r>
          </w:p>
        </w:tc>
        <w:tc>
          <w:tcPr>
            <w:tcW w:type="dxa" w:w="3400"/>
            <w:shd w:fill="2B2318"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Usage</w:t>
            </w:r>
          </w:p>
        </w:tc>
        <w:tc>
          <w:tcPr>
            <w:tcW w:type="dxa" w:w="1300"/>
            <w:shd w:fill="2B2318"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Taille</w:t>
            </w:r>
          </w:p>
        </w:tc>
        <w:tc>
          <w:tcPr>
            <w:tcW w:type="dxa" w:w="1900"/>
            <w:shd w:fill="2B2318"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Graisse</w:t>
            </w:r>
          </w:p>
        </w:tc>
        <w:tc>
          <w:tcPr>
            <w:tcW w:type="dxa" w:w="4300"/>
            <w:shd w:fill="2B2318"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Casse / traitement</w:t>
            </w:r>
          </w:p>
        </w:tc>
      </w:tr>
      <w:tr>
        <w:trPr>
          <w:tblHeader w:val="false"/>
        </w:trPr>
        <w:tc>
          <w:tcPr>
            <w:tcW w:type="dxa" w:w="17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Titre écran</w:t>
            </w:r>
          </w:p>
        </w:tc>
        <w:tc>
          <w:tcPr>
            <w:tcW w:type="dxa" w:w="34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"PANAMERICA", titres de vue</w:t>
            </w:r>
          </w:p>
        </w:tc>
        <w:tc>
          <w:tcPr>
            <w:tcW w:type="dxa" w:w="13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28–32 px</w:t>
            </w:r>
          </w:p>
        </w:tc>
        <w:tc>
          <w:tcPr>
            <w:tcW w:type="dxa" w:w="19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Bold</w:t>
            </w:r>
          </w:p>
        </w:tc>
        <w:tc>
          <w:tcPr>
            <w:tcW w:type="dxa" w:w="43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Majuscules, tracking large (+2 à +4%)</w:t>
            </w:r>
          </w:p>
        </w:tc>
      </w:tr>
      <w:tr>
        <w:trPr>
          <w:tblHeader w:val="false"/>
        </w:trPr>
        <w:tc>
          <w:tcPr>
            <w:tcW w:type="dxa" w:w="17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Titre de section</w:t>
            </w:r>
          </w:p>
        </w:tc>
        <w:tc>
          <w:tcPr>
            <w:tcW w:type="dxa" w:w="34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"RÈGLES DU JEU", "VOTRE FACTION"</w:t>
            </w:r>
          </w:p>
        </w:tc>
        <w:tc>
          <w:tcPr>
            <w:tcW w:type="dxa" w:w="13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13–14 px</w:t>
            </w:r>
          </w:p>
        </w:tc>
        <w:tc>
          <w:tcPr>
            <w:tcW w:type="dxa" w:w="19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Semi-bold</w:t>
            </w:r>
          </w:p>
        </w:tc>
        <w:tc>
          <w:tcPr>
            <w:tcW w:type="dxa" w:w="43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Majuscules, tracking moyen — jamais plus petit que le corps de carte</w:t>
            </w:r>
          </w:p>
        </w:tc>
      </w:tr>
      <w:tr>
        <w:trPr>
          <w:tblHeader w:val="false"/>
        </w:trPr>
        <w:tc>
          <w:tcPr>
            <w:tcW w:type="dxa" w:w="17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Nom de faction</w:t>
            </w:r>
          </w:p>
        </w:tc>
        <w:tc>
          <w:tcPr>
            <w:tcW w:type="dxa" w:w="34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"Confédération", "Bayou"...</w:t>
            </w:r>
          </w:p>
        </w:tc>
        <w:tc>
          <w:tcPr>
            <w:tcW w:type="dxa" w:w="13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18–20 px</w:t>
            </w:r>
          </w:p>
        </w:tc>
        <w:tc>
          <w:tcPr>
            <w:tcW w:type="dxa" w:w="19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Bold</w:t>
            </w:r>
          </w:p>
        </w:tc>
        <w:tc>
          <w:tcPr>
            <w:tcW w:type="dxa" w:w="43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Casse normale — c'est l'ancre visuelle de la carte</w:t>
            </w:r>
          </w:p>
        </w:tc>
      </w:tr>
      <w:tr>
        <w:trPr>
          <w:tblHeader w:val="false"/>
        </w:trPr>
        <w:tc>
          <w:tcPr>
            <w:tcW w:type="dxa" w:w="17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Corps de carte / stats</w:t>
            </w:r>
          </w:p>
        </w:tc>
        <w:tc>
          <w:tcPr>
            <w:tcW w:type="dxa" w:w="34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Icônes + valeurs, noms de meneurs</w:t>
            </w:r>
          </w:p>
        </w:tc>
        <w:tc>
          <w:tcPr>
            <w:tcW w:type="dxa" w:w="13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15–16 px</w:t>
            </w:r>
          </w:p>
        </w:tc>
        <w:tc>
          <w:tcPr>
            <w:tcW w:type="dxa" w:w="19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Regular / Medium pour les chiffres</w:t>
            </w:r>
          </w:p>
        </w:tc>
        <w:tc>
          <w:tcPr>
            <w:tcW w:type="dxa" w:w="43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Casse normale, jamais en italique</w:t>
            </w:r>
          </w:p>
        </w:tc>
      </w:tr>
      <w:tr>
        <w:trPr>
          <w:tblHeader w:val="false"/>
        </w:trPr>
        <w:tc>
          <w:tcPr>
            <w:tcW w:type="dxa" w:w="17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Texte de lore</w:t>
            </w:r>
          </w:p>
        </w:tc>
        <w:tc>
          <w:tcPr>
            <w:tcW w:type="dxa" w:w="34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"Le Joug", "Terre Libérée"...</w:t>
            </w:r>
          </w:p>
        </w:tc>
        <w:tc>
          <w:tcPr>
            <w:tcW w:type="dxa" w:w="13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13 px</w:t>
            </w:r>
          </w:p>
        </w:tc>
        <w:tc>
          <w:tcPr>
            <w:tcW w:type="dxa" w:w="19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Italic Regular</w:t>
            </w:r>
          </w:p>
        </w:tc>
        <w:tc>
          <w:tcPr>
            <w:tcW w:type="dxa" w:w="43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Contraste réduit assumé (texte d'ambiance, pas d'info de jeu)</w:t>
            </w:r>
          </w:p>
        </w:tc>
      </w:tr>
      <w:tr>
        <w:trPr>
          <w:tblHeader w:val="false"/>
        </w:trPr>
        <w:tc>
          <w:tcPr>
            <w:tcW w:type="dxa" w:w="17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Micro-label</w:t>
            </w:r>
          </w:p>
        </w:tc>
        <w:tc>
          <w:tcPr>
            <w:tcW w:type="dxa" w:w="34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"EXTENSION", badges d'état</w:t>
            </w:r>
          </w:p>
        </w:tc>
        <w:tc>
          <w:tcPr>
            <w:tcW w:type="dxa" w:w="13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11 px</w:t>
            </w:r>
          </w:p>
        </w:tc>
        <w:tc>
          <w:tcPr>
            <w:tcW w:type="dxa" w:w="19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Semi-bold</w:t>
            </w:r>
          </w:p>
        </w:tc>
        <w:tc>
          <w:tcPr>
            <w:tcW w:type="dxa" w:w="43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8"/>
                <w:szCs w:val="18"/>
              </w:rPr>
              <w:t xml:space="preserve">Majuscules, usage très ponctuel</w:t>
            </w:r>
          </w:p>
        </w:tc>
      </w:tr>
    </w:tbl>
    <w:p>
      <w:pPr>
        <w:spacing w:after="0" w:before="200"/>
      </w:pPr>
    </w:p>
    <w:p>
      <w:pPr>
        <w:pStyle w:val="Heading1"/>
        <w:pBdr>
          <w:bottom w:val="single" w:color="9C7A3C" w:sz="4"/>
        </w:pBdr>
        <w:spacing w:after="200" w:before="480"/>
      </w:pPr>
      <w:r>
        <w:rPr>
          <w:rFonts w:ascii="Georgia" w:cs="Georgia" w:eastAsia="Georgia" w:hAnsi="Georgia"/>
          <w:b/>
          <w:bCs/>
          <w:color w:val="2B2318"/>
          <w:spacing w:val="20"/>
          <w:sz w:val="30"/>
          <w:szCs w:val="30"/>
        </w:rPr>
        <w:t xml:space="preserve">5. CONTRASTE — RECOMMANDATIONS CONCRÈTES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5800"/>
      </w:tblGrid>
      <w:tr>
        <w:trPr>
          <w:tblHeader/>
        </w:trPr>
        <w:tc>
          <w:tcPr>
            <w:tcW w:type="dxa" w:w="2600"/>
            <w:shd w:fill="8C4A3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Élément</w:t>
            </w:r>
          </w:p>
        </w:tc>
        <w:tc>
          <w:tcPr>
            <w:tcW w:type="dxa" w:w="4200"/>
            <w:shd w:fill="8C4A3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Avant (constat)</w:t>
            </w:r>
          </w:p>
        </w:tc>
        <w:tc>
          <w:tcPr>
            <w:tcW w:type="dxa" w:w="5800"/>
            <w:shd w:fill="8C4A3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Recommandation</w:t>
            </w:r>
          </w:p>
        </w:tc>
      </w:tr>
      <w:tr>
        <w:trPr>
          <w:tblHeader w:val="false"/>
        </w:trPr>
        <w:tc>
          <w:tcPr>
            <w:tcW w:type="dxa" w:w="26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Texte de stats sur fond noir</w:t>
            </w:r>
          </w:p>
        </w:tc>
        <w:tc>
          <w:tcPr>
            <w:tcW w:type="dxa" w:w="42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Gris clair ~60% opacité, taille 13–14px</w:t>
            </w:r>
          </w:p>
        </w:tc>
        <w:tc>
          <w:tcPr>
            <w:tcW w:type="dxa" w:w="58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Blanc cassé (#F4EFE3) à 95%+ opacité, 15–16px minimum</w:t>
            </w:r>
          </w:p>
        </w:tc>
      </w:tr>
      <w:tr>
        <w:trPr>
          <w:tblHeader w:val="false"/>
        </w:trPr>
        <w:tc>
          <w:tcPr>
            <w:tcW w:type="dxa" w:w="26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Titre de faction coloré</w:t>
            </w:r>
          </w:p>
        </w:tc>
        <w:tc>
          <w:tcPr>
            <w:tcW w:type="dxa" w:w="42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6 teintes différentes (violet, orange, cyan...) au même poids que le texte</w:t>
            </w:r>
          </w:p>
        </w:tc>
        <w:tc>
          <w:tcPr>
            <w:tcW w:type="dxa" w:w="58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Une seule teinte dorée pour le nom + un blason distinct pour l'identité</w:t>
            </w:r>
          </w:p>
        </w:tc>
      </w:tr>
      <w:tr>
        <w:trPr>
          <w:tblHeader w:val="false"/>
        </w:trPr>
        <w:tc>
          <w:tcPr>
            <w:tcW w:type="dxa" w:w="26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Icônes + valeurs numériques</w:t>
            </w:r>
          </w:p>
        </w:tc>
        <w:tc>
          <w:tcPr>
            <w:tcW w:type="dxa" w:w="42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Alignées mais peu contrastées entre elles</w:t>
            </w:r>
          </w:p>
        </w:tc>
        <w:tc>
          <w:tcPr>
            <w:tcW w:type="dxa" w:w="5800"/>
            <w:shd w:fill="F4EFE3"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Valeur numérique en Medium/Bold, icône monochrome dorée, espacement fixe</w:t>
            </w:r>
          </w:p>
        </w:tc>
      </w:tr>
      <w:tr>
        <w:trPr>
          <w:tblHeader w:val="false"/>
        </w:trPr>
        <w:tc>
          <w:tcPr>
            <w:tcW w:type="dxa" w:w="26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Texte de lore vs stats de jeu</w:t>
            </w:r>
          </w:p>
        </w:tc>
        <w:tc>
          <w:tcPr>
            <w:tcW w:type="dxa" w:w="42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Même contraste, même taille que les stats</w:t>
            </w:r>
          </w:p>
        </w:tc>
        <w:tc>
          <w:tcPr>
            <w:tcW w:type="dxa" w:w="5800"/>
            <w:shd w:fill="E8DFC8" w:val="clear"/>
            <w:tcMar>
              <w:top w:type="dxa" w:w="100"/>
              <w:left w:type="dxa" w:w="120"/>
              <w:bottom w:type="dxa" w:w="100"/>
              <w:right w:type="dxa" w:w="120"/>
            </w:tcMar>
            <w:vAlign w:val="center"/>
          </w:tcPr>
          <w:p>
            <w:pPr>
              <w:jc w:val="left"/>
            </w:pPr>
            <w:r>
              <w:rPr>
                <w:rFonts w:ascii="Calibri" w:cs="Calibri" w:eastAsia="Calibri" w:hAnsi="Calibri"/>
                <w:b w:val="false"/>
                <w:bCs w:val="false"/>
                <w:color w:val="2B2318"/>
                <w:sz w:val="19"/>
                <w:szCs w:val="19"/>
              </w:rPr>
              <w:t xml:space="preserve">Fond légèrement distinct (encart) + italique + contraste réduit assumé</w:t>
            </w:r>
          </w:p>
        </w:tc>
      </w:tr>
    </w:tbl>
    <w:p>
      <w:pPr>
        <w:pStyle w:val="Heading1"/>
        <w:pBdr>
          <w:bottom w:val="single" w:color="9C7A3C" w:sz="4"/>
        </w:pBdr>
        <w:spacing w:after="200" w:before="480"/>
      </w:pPr>
      <w:r>
        <w:rPr>
          <w:rFonts w:ascii="Georgia" w:cs="Georgia" w:eastAsia="Georgia" w:hAnsi="Georgia"/>
          <w:b/>
          <w:bCs/>
          <w:color w:val="2B2318"/>
          <w:spacing w:val="20"/>
          <w:sz w:val="30"/>
          <w:szCs w:val="30"/>
        </w:rPr>
        <w:t xml:space="preserve">6. PRIORISATION (A → B → C)</w:t>
      </w:r>
    </w:p>
    <w:p>
      <w:pPr>
        <w:spacing w:after="160" w:line="300"/>
      </w:pPr>
      <w:r>
        <w:rPr>
          <w:rFonts w:ascii="Calibri" w:cs="Calibri" w:eastAsia="Calibri" w:hAnsi="Calibri"/>
          <w:b w:val="false"/>
          <w:bCs w:val="false"/>
          <w:i w:val="false"/>
          <w:iCs w:val="false"/>
          <w:color w:val="2B2318"/>
          <w:sz w:val="21"/>
          <w:szCs w:val="21"/>
        </w:rPr>
        <w:t xml:space="preserve">Séquencement cohérent avec la méthode déjà en place sur le projet : traiter d'abord ce qui bloque la lisibilité/compréhension avant d'investir dans l'identité visuelle fine.</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8300"/>
      </w:tblGrid>
      <w:tr>
        <w:trPr>
          <w:tblHeader/>
        </w:trPr>
        <w:tc>
          <w:tcPr>
            <w:tcW w:type="dxa" w:w="900"/>
            <w:shd w:fill="2B2318"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Priorité</w:t>
            </w:r>
          </w:p>
        </w:tc>
        <w:tc>
          <w:tcPr>
            <w:tcW w:type="dxa" w:w="3400"/>
            <w:shd w:fill="2B2318"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Axe</w:t>
            </w:r>
          </w:p>
        </w:tc>
        <w:tc>
          <w:tcPr>
            <w:tcW w:type="dxa" w:w="8300"/>
            <w:shd w:fill="2B2318"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Actions</w:t>
            </w:r>
          </w:p>
        </w:tc>
      </w:tr>
      <w:tr>
        <w:tc>
          <w:tcPr>
            <w:tcW w:type="dxa" w:w="900"/>
            <w:shd w:fill="8C4A34" w:val="clear"/>
            <w:tcMar>
              <w:top w:type="dxa" w:w="100"/>
              <w:left w:type="dxa" w:w="120"/>
              <w:bottom w:type="dxa" w:w="100"/>
              <w:right w:type="dxa" w:w="120"/>
            </w:tcMar>
            <w:vAlign w:val="center"/>
          </w:tcPr>
          <w:p>
            <w:pPr>
              <w:jc w:val="center"/>
            </w:pPr>
            <w:r>
              <w:rPr>
                <w:rFonts w:ascii="Calibri" w:cs="Calibri" w:eastAsia="Calibri" w:hAnsi="Calibri"/>
                <w:b/>
                <w:bCs/>
                <w:color w:val="FFFFFF"/>
                <w:sz w:val="24"/>
                <w:szCs w:val="24"/>
              </w:rPr>
              <w:t xml:space="preserve">A</w:t>
            </w:r>
          </w:p>
        </w:tc>
        <w:tc>
          <w:tcPr>
            <w:tcW w:type="dxa" w:w="3400"/>
            <w:shd w:fill="E8DFC8" w:val="clear"/>
            <w:tcMar>
              <w:top w:type="dxa" w:w="100"/>
              <w:left w:type="dxa" w:w="120"/>
              <w:bottom w:type="dxa" w:w="100"/>
              <w:right w:type="dxa" w:w="120"/>
            </w:tcMar>
            <w:vAlign w:val="center"/>
          </w:tcPr>
          <w:p>
            <w:pPr>
              <w:jc w:val="left"/>
            </w:pPr>
            <w:r>
              <w:rPr>
                <w:rFonts w:ascii="Calibri" w:cs="Calibri" w:eastAsia="Calibri" w:hAnsi="Calibri"/>
                <w:b/>
                <w:bCs/>
                <w:color w:val="2B2318"/>
                <w:sz w:val="19"/>
                <w:szCs w:val="19"/>
              </w:rPr>
              <w:t xml:space="preserve">Lisibilité &amp; hiérarchie typographique</w:t>
            </w:r>
          </w:p>
        </w:tc>
        <w:tc>
          <w:tcPr>
            <w:tcW w:type="dxa" w:w="8300"/>
            <w:shd w:fill="F4EFE3" w:val="clear"/>
            <w:tcMar>
              <w:top w:type="dxa" w:w="100"/>
              <w:left w:type="dxa" w:w="120"/>
              <w:bottom w:type="dxa" w:w="100"/>
              <w:right w:type="dxa" w:w="120"/>
            </w:tcMar>
          </w:tcPr>
          <w:p>
            <w:pPr>
              <w:pStyle w:val="ListParagraph"/>
              <w:numPr>
                <w:ilvl w:val="0"/>
                <w:numId w:val="2"/>
              </w:numPr>
              <w:spacing w:after="60"/>
            </w:pPr>
            <w:r>
              <w:rPr>
                <w:rFonts w:ascii="Calibri" w:cs="Calibri" w:eastAsia="Calibri" w:hAnsi="Calibri"/>
                <w:color w:val="2B2318"/>
                <w:sz w:val="19"/>
                <w:szCs w:val="19"/>
              </w:rPr>
              <w:t xml:space="preserve">Définir l'échelle typographique ci-dessus et l'appliquer partout (fin des tailles/graisses ad hoc)</w:t>
            </w:r>
          </w:p>
          <w:p>
            <w:pPr>
              <w:pStyle w:val="ListParagraph"/>
              <w:numPr>
                <w:ilvl w:val="0"/>
                <w:numId w:val="2"/>
              </w:numPr>
              <w:spacing w:after="60"/>
            </w:pPr>
            <w:r>
              <w:rPr>
                <w:rFonts w:ascii="Calibri" w:cs="Calibri" w:eastAsia="Calibri" w:hAnsi="Calibri"/>
                <w:color w:val="2B2318"/>
                <w:sz w:val="19"/>
                <w:szCs w:val="19"/>
              </w:rPr>
              <w:t xml:space="preserve">Remonter le contraste texte/fond sur toutes les cartes de faction</w:t>
            </w:r>
          </w:p>
          <w:p>
            <w:pPr>
              <w:pStyle w:val="ListParagraph"/>
              <w:numPr>
                <w:ilvl w:val="0"/>
                <w:numId w:val="2"/>
              </w:numPr>
              <w:spacing w:after="60"/>
            </w:pPr>
            <w:r>
              <w:rPr>
                <w:rFonts w:ascii="Calibri" w:cs="Calibri" w:eastAsia="Calibri" w:hAnsi="Calibri"/>
                <w:color w:val="2B2318"/>
                <w:sz w:val="19"/>
                <w:szCs w:val="19"/>
              </w:rPr>
              <w:t xml:space="preserve">Unifier la couleur d'accent (une teinte dorée) — sortir les couleurs de faction du texte, les déplacer vers un blason</w:t>
            </w:r>
          </w:p>
          <w:p>
            <w:pPr>
              <w:pStyle w:val="ListParagraph"/>
              <w:numPr>
                <w:ilvl w:val="0"/>
                <w:numId w:val="2"/>
              </w:numPr>
              <w:spacing w:after="60"/>
            </w:pPr>
            <w:r>
              <w:rPr>
                <w:rFonts w:ascii="Calibri" w:cs="Calibri" w:eastAsia="Calibri" w:hAnsi="Calibri"/>
                <w:color w:val="2B2318"/>
                <w:sz w:val="19"/>
                <w:szCs w:val="19"/>
              </w:rPr>
              <w:t xml:space="preserve">Plateau de jeu : ajouter un contour de couleur de faction sur les hexagones contrôlés (cf. §2.3) — l'info territoriale ne doit plus reposer sur les seuls drapeaux/symboles X</w:t>
            </w:r>
          </w:p>
        </w:tc>
      </w:tr>
      <w:tr>
        <w:tc>
          <w:tcPr>
            <w:tcW w:type="dxa" w:w="900"/>
            <w:shd w:fill="9C7A3C" w:val="clear"/>
            <w:tcMar>
              <w:top w:type="dxa" w:w="100"/>
              <w:left w:type="dxa" w:w="120"/>
              <w:bottom w:type="dxa" w:w="100"/>
              <w:right w:type="dxa" w:w="120"/>
            </w:tcMar>
            <w:vAlign w:val="center"/>
          </w:tcPr>
          <w:p>
            <w:pPr>
              <w:jc w:val="center"/>
            </w:pPr>
            <w:r>
              <w:rPr>
                <w:rFonts w:ascii="Calibri" w:cs="Calibri" w:eastAsia="Calibri" w:hAnsi="Calibri"/>
                <w:b/>
                <w:bCs/>
                <w:color w:val="FFFFFF"/>
                <w:sz w:val="24"/>
                <w:szCs w:val="24"/>
              </w:rPr>
              <w:t xml:space="preserve">B</w:t>
            </w:r>
          </w:p>
        </w:tc>
        <w:tc>
          <w:tcPr>
            <w:tcW w:type="dxa" w:w="3400"/>
            <w:shd w:fill="E8DFC8" w:val="clear"/>
            <w:tcMar>
              <w:top w:type="dxa" w:w="100"/>
              <w:left w:type="dxa" w:w="120"/>
              <w:bottom w:type="dxa" w:w="100"/>
              <w:right w:type="dxa" w:w="120"/>
            </w:tcMar>
            <w:vAlign w:val="center"/>
          </w:tcPr>
          <w:p>
            <w:pPr>
              <w:jc w:val="left"/>
            </w:pPr>
            <w:r>
              <w:rPr>
                <w:rFonts w:ascii="Calibri" w:cs="Calibri" w:eastAsia="Calibri" w:hAnsi="Calibri"/>
                <w:b/>
                <w:bCs/>
                <w:color w:val="2B2318"/>
                <w:sz w:val="19"/>
                <w:szCs w:val="19"/>
              </w:rPr>
              <w:t xml:space="preserve">Matérialité des composants</w:t>
            </w:r>
          </w:p>
        </w:tc>
        <w:tc>
          <w:tcPr>
            <w:tcW w:type="dxa" w:w="8300"/>
            <w:shd w:fill="F4EFE3" w:val="clear"/>
            <w:tcMar>
              <w:top w:type="dxa" w:w="100"/>
              <w:left w:type="dxa" w:w="120"/>
              <w:bottom w:type="dxa" w:w="100"/>
              <w:right w:type="dxa" w:w="120"/>
            </w:tcMar>
          </w:tcPr>
          <w:p>
            <w:pPr>
              <w:pStyle w:val="ListParagraph"/>
              <w:numPr>
                <w:ilvl w:val="0"/>
                <w:numId w:val="2"/>
              </w:numPr>
              <w:spacing w:after="60"/>
            </w:pPr>
            <w:r>
              <w:rPr>
                <w:rFonts w:ascii="Calibri" w:cs="Calibri" w:eastAsia="Calibri" w:hAnsi="Calibri"/>
                <w:color w:val="2B2318"/>
                <w:sz w:val="19"/>
                <w:szCs w:val="19"/>
              </w:rPr>
              <w:t xml:space="preserve">Cadres de carte : bordure biseautée / texture légère au lieu de simple stroke</w:t>
            </w:r>
          </w:p>
          <w:p>
            <w:pPr>
              <w:pStyle w:val="ListParagraph"/>
              <w:numPr>
                <w:ilvl w:val="0"/>
                <w:numId w:val="2"/>
              </w:numPr>
              <w:spacing w:after="60"/>
            </w:pPr>
            <w:r>
              <w:rPr>
                <w:rFonts w:ascii="Calibri" w:cs="Calibri" w:eastAsia="Calibri" w:hAnsi="Calibri"/>
                <w:color w:val="2B2318"/>
                <w:sz w:val="19"/>
                <w:szCs w:val="19"/>
              </w:rPr>
              <w:t xml:space="preserve">Boutons et toggles : état actif cohérent (retirer le rouge du toggle "Bots de l'Empire")</w:t>
            </w:r>
          </w:p>
          <w:p>
            <w:pPr>
              <w:pStyle w:val="ListParagraph"/>
              <w:numPr>
                <w:ilvl w:val="0"/>
                <w:numId w:val="2"/>
              </w:numPr>
              <w:spacing w:after="60"/>
            </w:pPr>
            <w:r>
              <w:rPr>
                <w:rFonts w:ascii="Calibri" w:cs="Calibri" w:eastAsia="Calibri" w:hAnsi="Calibri"/>
                <w:color w:val="2B2318"/>
                <w:sz w:val="19"/>
                <w:szCs w:val="19"/>
              </w:rPr>
              <w:t xml:space="preserve">Fond de carte faction : texture papier/métal discrète au lieu du noir uni</w:t>
            </w:r>
          </w:p>
        </w:tc>
      </w:tr>
      <w:tr>
        <w:tc>
          <w:tcPr>
            <w:tcW w:type="dxa" w:w="900"/>
            <w:shd w:fill="C9A24B" w:val="clear"/>
            <w:tcMar>
              <w:top w:type="dxa" w:w="100"/>
              <w:left w:type="dxa" w:w="120"/>
              <w:bottom w:type="dxa" w:w="100"/>
              <w:right w:type="dxa" w:w="120"/>
            </w:tcMar>
            <w:vAlign w:val="center"/>
          </w:tcPr>
          <w:p>
            <w:pPr>
              <w:jc w:val="center"/>
            </w:pPr>
            <w:r>
              <w:rPr>
                <w:rFonts w:ascii="Calibri" w:cs="Calibri" w:eastAsia="Calibri" w:hAnsi="Calibri"/>
                <w:b/>
                <w:bCs/>
                <w:color w:val="FFFFFF"/>
                <w:sz w:val="24"/>
                <w:szCs w:val="24"/>
              </w:rPr>
              <w:t xml:space="preserve">C</w:t>
            </w:r>
          </w:p>
        </w:tc>
        <w:tc>
          <w:tcPr>
            <w:tcW w:type="dxa" w:w="3400"/>
            <w:shd w:fill="E8DFC8" w:val="clear"/>
            <w:tcMar>
              <w:top w:type="dxa" w:w="100"/>
              <w:left w:type="dxa" w:w="120"/>
              <w:bottom w:type="dxa" w:w="100"/>
              <w:right w:type="dxa" w:w="120"/>
            </w:tcMar>
            <w:vAlign w:val="center"/>
          </w:tcPr>
          <w:p>
            <w:pPr>
              <w:jc w:val="left"/>
            </w:pPr>
            <w:r>
              <w:rPr>
                <w:rFonts w:ascii="Calibri" w:cs="Calibri" w:eastAsia="Calibri" w:hAnsi="Calibri"/>
                <w:b/>
                <w:bCs/>
                <w:color w:val="2B2318"/>
                <w:sz w:val="19"/>
                <w:szCs w:val="19"/>
              </w:rPr>
              <w:t xml:space="preserve">Identité visuelle des factions</w:t>
            </w:r>
          </w:p>
        </w:tc>
        <w:tc>
          <w:tcPr>
            <w:tcW w:type="dxa" w:w="8300"/>
            <w:shd w:fill="F4EFE3" w:val="clear"/>
            <w:tcMar>
              <w:top w:type="dxa" w:w="100"/>
              <w:left w:type="dxa" w:w="120"/>
              <w:bottom w:type="dxa" w:w="100"/>
              <w:right w:type="dxa" w:w="120"/>
            </w:tcMar>
          </w:tcPr>
          <w:p>
            <w:pPr>
              <w:pStyle w:val="ListParagraph"/>
              <w:numPr>
                <w:ilvl w:val="0"/>
                <w:numId w:val="2"/>
              </w:numPr>
              <w:spacing w:after="60"/>
            </w:pPr>
            <w:r>
              <w:rPr>
                <w:rFonts w:ascii="Calibri" w:cs="Calibri" w:eastAsia="Calibri" w:hAnsi="Calibri"/>
                <w:color w:val="2B2318"/>
                <w:sz w:val="19"/>
                <w:szCs w:val="19"/>
              </w:rPr>
              <w:t xml:space="preserve">Un blason/icône SVG simple par faction (remplace la dépendance à la couleur de titre)</w:t>
            </w:r>
          </w:p>
          <w:p>
            <w:pPr>
              <w:pStyle w:val="ListParagraph"/>
              <w:numPr>
                <w:ilvl w:val="0"/>
                <w:numId w:val="2"/>
              </w:numPr>
              <w:spacing w:after="60"/>
            </w:pPr>
            <w:r>
              <w:rPr>
                <w:rFonts w:ascii="Calibri" w:cs="Calibri" w:eastAsia="Calibri" w:hAnsi="Calibri"/>
                <w:color w:val="2B2318"/>
                <w:sz w:val="19"/>
                <w:szCs w:val="19"/>
              </w:rPr>
              <w:t xml:space="preserve">Portrait ou illustration de faction en amorce (même low-fi) pour l'écran de sélection</w:t>
            </w:r>
          </w:p>
          <w:p>
            <w:pPr>
              <w:pStyle w:val="ListParagraph"/>
              <w:numPr>
                <w:ilvl w:val="0"/>
                <w:numId w:val="2"/>
              </w:numPr>
              <w:spacing w:after="60"/>
            </w:pPr>
            <w:r>
              <w:rPr>
                <w:rFonts w:ascii="Calibri" w:cs="Calibri" w:eastAsia="Calibri" w:hAnsi="Calibri"/>
                <w:color w:val="2B2318"/>
                <w:sz w:val="19"/>
                <w:szCs w:val="19"/>
              </w:rPr>
              <w:t xml:space="preserve">Séparation visuelle nette entre bloc "stats de jeu" et bloc "texte de lore"</w:t>
            </w:r>
          </w:p>
        </w:tc>
      </w:tr>
    </w:tbl>
    <w:p>
      <w:pPr>
        <w:pStyle w:val="Heading1"/>
        <w:pBdr>
          <w:bottom w:val="single" w:color="9C7A3C" w:sz="4"/>
        </w:pBdr>
        <w:spacing w:after="200" w:before="480"/>
      </w:pPr>
      <w:r>
        <w:rPr>
          <w:rFonts w:ascii="Georgia" w:cs="Georgia" w:eastAsia="Georgia" w:hAnsi="Georgia"/>
          <w:b/>
          <w:bCs/>
          <w:color w:val="2B2318"/>
          <w:spacing w:val="20"/>
          <w:sz w:val="30"/>
          <w:szCs w:val="30"/>
        </w:rPr>
        <w:t xml:space="preserve">7. HORS SCOPE (CE DOCUMENT NE COUVRE PAS)</w:t>
      </w:r>
    </w:p>
    <w:p>
      <w:pPr>
        <w:pStyle w:val="ListParagraph"/>
        <w:numPr>
          <w:ilvl w:val="0"/>
          <w:numId w:val="2"/>
        </w:numPr>
        <w:spacing w:after="90"/>
      </w:pPr>
      <w:r>
        <w:t xml:space="preserve"/>
      </w:r>
      <w:r>
        <w:rPr>
          <w:rFonts w:ascii="Calibri" w:cs="Calibri" w:eastAsia="Calibri" w:hAnsi="Calibri"/>
          <w:color w:val="2B2318"/>
          <w:sz w:val="21"/>
          <w:szCs w:val="21"/>
        </w:rPr>
        <w:t xml:space="preserve">l'écran de plateau de jeu et l'interaction de déplacement des unités (objet du chantier "Move interaction redesign" en cours par ailleurs) — à l'exception du contour de couleur territoriale (§2.3), traité ici car il s'agit d'un sujet de lisibilité pure, pas d'interaction.</w:t>
      </w:r>
    </w:p>
    <w:p>
      <w:pPr>
        <w:pStyle w:val="ListParagraph"/>
        <w:numPr>
          <w:ilvl w:val="0"/>
          <w:numId w:val="2"/>
        </w:numPr>
        <w:spacing w:after="90"/>
      </w:pPr>
      <w:r>
        <w:t xml:space="preserve"/>
      </w:r>
      <w:r>
        <w:rPr>
          <w:rFonts w:ascii="Calibri" w:cs="Calibri" w:eastAsia="Calibri" w:hAnsi="Calibri"/>
          <w:color w:val="2B2318"/>
          <w:sz w:val="21"/>
          <w:szCs w:val="21"/>
        </w:rPr>
        <w:t xml:space="preserve">la production finale des illustrations de faction — ce document cadre uniquement l'espace qui leur est réservé et leur traitement, pas leur création artistique.</w:t>
      </w:r>
    </w:p>
    <w:p>
      <w:pPr>
        <w:pStyle w:val="ListParagraph"/>
        <w:numPr>
          <w:ilvl w:val="0"/>
          <w:numId w:val="2"/>
        </w:numPr>
        <w:spacing w:after="90"/>
      </w:pPr>
      <w:r>
        <w:t xml:space="preserve"/>
      </w:r>
      <w:r>
        <w:rPr>
          <w:rFonts w:ascii="Calibri" w:cs="Calibri" w:eastAsia="Calibri" w:hAnsi="Calibri"/>
          <w:color w:val="2B2318"/>
          <w:sz w:val="21"/>
          <w:szCs w:val="21"/>
        </w:rPr>
        <w:t xml:space="preserve">l'animation et les micro-interactions (hover, transitions) — à cadrer dans un document séparé une fois la base statique validée.</w:t>
      </w:r>
    </w:p>
    <w:p>
      <w:pPr>
        <w:pStyle w:val="Heading1"/>
        <w:pBdr>
          <w:bottom w:val="single" w:color="9C7A3C" w:sz="4"/>
        </w:pBdr>
        <w:spacing w:after="200" w:before="480"/>
      </w:pPr>
      <w:r>
        <w:rPr>
          <w:rFonts w:ascii="Georgia" w:cs="Georgia" w:eastAsia="Georgia" w:hAnsi="Georgia"/>
          <w:b/>
          <w:bCs/>
          <w:color w:val="2B2318"/>
          <w:spacing w:val="20"/>
          <w:sz w:val="30"/>
          <w:szCs w:val="30"/>
        </w:rPr>
        <w:t xml:space="preserve">8. PROCHAINES ÉTAPES</w:t>
      </w:r>
    </w:p>
    <w:p>
      <w:pPr>
        <w:pStyle w:val="ListParagraph"/>
        <w:numPr>
          <w:ilvl w:val="0"/>
          <w:numId w:val="2"/>
        </w:numPr>
        <w:spacing w:after="90"/>
      </w:pPr>
      <w:r>
        <w:t xml:space="preserve"/>
      </w:r>
      <w:r>
        <w:rPr>
          <w:rFonts w:ascii="Calibri" w:cs="Calibri" w:eastAsia="Calibri" w:hAnsi="Calibri"/>
          <w:color w:val="2B2318"/>
          <w:sz w:val="21"/>
          <w:szCs w:val="21"/>
        </w:rPr>
        <w:t xml:space="preserve">valider l'échelle typographique du §4 sur une carte de faction unique avant généralisation.</w:t>
      </w:r>
    </w:p>
    <w:p>
      <w:pPr>
        <w:pStyle w:val="ListParagraph"/>
        <w:numPr>
          <w:ilvl w:val="0"/>
          <w:numId w:val="2"/>
        </w:numPr>
        <w:spacing w:after="90"/>
      </w:pPr>
      <w:r>
        <w:t xml:space="preserve"/>
      </w:r>
      <w:r>
        <w:rPr>
          <w:rFonts w:ascii="Calibri" w:cs="Calibri" w:eastAsia="Calibri" w:hAnsi="Calibri"/>
          <w:color w:val="2B2318"/>
          <w:sz w:val="21"/>
          <w:szCs w:val="21"/>
        </w:rPr>
        <w:t xml:space="preserve">produire un premier blason simple (SVG) pour une faction test et vérifier sa lisibilité à petite taille.</w:t>
      </w:r>
    </w:p>
    <w:p>
      <w:pPr>
        <w:pStyle w:val="ListParagraph"/>
        <w:numPr>
          <w:ilvl w:val="0"/>
          <w:numId w:val="2"/>
        </w:numPr>
        <w:spacing w:after="90"/>
      </w:pPr>
      <w:r>
        <w:t xml:space="preserve"/>
      </w:r>
      <w:r>
        <w:rPr>
          <w:rFonts w:ascii="Calibri" w:cs="Calibri" w:eastAsia="Calibri" w:hAnsi="Calibri"/>
          <w:color w:val="2B2318"/>
          <w:sz w:val="21"/>
          <w:szCs w:val="21"/>
        </w:rPr>
        <w:t xml:space="preserve">définir la texture de cadre commune (bord biseauté) réutilisable pour cartes, boutons et toggles.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438"/>
        <w:sz w:val="15"/>
        <w:szCs w:val="15"/>
      </w:rPr>
      <w:t xml:space="preserve">Page </w:t>
    </w:r>
    <w:r>
      <w:rPr>
        <w:rFonts w:ascii="Calibri" w:cs="Calibri" w:eastAsia="Calibri" w:hAnsi="Calibri"/>
        <w:color w:val="4A4438"/>
        <w:sz w:val="15"/>
        <w:szCs w:val="15"/>
      </w:rPr>
      <w:fldChar w:fldCharType="begin"/>
      <w:instrText xml:space="preserve">PAGE</w:instrText>
      <w:fldChar w:fldCharType="separate"/>
      <w:fldChar w:fldCharType="end"/>
    </w:r>
    <w:r>
      <w:rPr>
        <w:rFonts w:ascii="Calibri" w:cs="Calibri" w:eastAsia="Calibri" w:hAnsi="Calibri"/>
        <w:color w:val="4A4438"/>
        <w:sz w:val="15"/>
        <w:szCs w:val="15"/>
      </w:rPr>
      <w:t xml:space="preserve"> / </w:t>
    </w:r>
    <w:r>
      <w:rPr>
        <w:rFonts w:ascii="Calibri" w:cs="Calibri" w:eastAsia="Calibri" w:hAnsi="Calibri"/>
        <w:color w:val="4A443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4438"/>
        <w:spacing w:val="10"/>
        <w:sz w:val="15"/>
        <w:szCs w:val="15"/>
      </w:rPr>
      <w:t xml:space="preserve">SCYTHE — PANAMERICA 1920+ · CADRAGE REFONTE VISUELLE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2026-07-11T21:38:22.485Z</dcterms:created>
  <dcterms:modified xsi:type="dcterms:W3CDTF">2026-07-11T21:38:22.514Z</dcterms:modified>
</cp:coreProperties>
</file>

<file path=docProps/custom.xml><?xml version="1.0" encoding="utf-8"?>
<Properties xmlns="http://schemas.openxmlformats.org/officeDocument/2006/custom-properties" xmlns:vt="http://schemas.openxmlformats.org/officeDocument/2006/docPropsVTypes"/>
</file>