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D36" w:rsidRPr="0082245C" w:rsidRDefault="007F3F83" w:rsidP="007F3F83">
      <w:pPr>
        <w:spacing w:after="360"/>
        <w:rPr>
          <w:b/>
          <w:color w:val="000000" w:themeColor="text1"/>
          <w:sz w:val="44"/>
        </w:rPr>
      </w:pPr>
      <w:r>
        <w:rPr>
          <w:b/>
          <w:color w:val="1E293B"/>
          <w:sz w:val="44"/>
        </w:rPr>
        <w:t xml:space="preserve">                         </w:t>
      </w:r>
      <w:r w:rsidRPr="0082245C">
        <w:rPr>
          <w:b/>
          <w:color w:val="000000" w:themeColor="text1"/>
          <w:sz w:val="44"/>
        </w:rPr>
        <w:t>Dashboard</w:t>
      </w:r>
      <w:bookmarkStart w:id="0" w:name="_GoBack"/>
      <w:bookmarkEnd w:id="0"/>
    </w:p>
    <w:tbl>
      <w:tblPr>
        <w:tblStyle w:val="TableGrid"/>
        <w:tblW w:w="10401" w:type="dxa"/>
        <w:tblLook w:val="04A0" w:firstRow="1" w:lastRow="0" w:firstColumn="1" w:lastColumn="0" w:noHBand="0" w:noVBand="1"/>
      </w:tblPr>
      <w:tblGrid>
        <w:gridCol w:w="3463"/>
        <w:gridCol w:w="6938"/>
      </w:tblGrid>
      <w:tr w:rsidR="007F3F83" w:rsidTr="00744BB0">
        <w:trPr>
          <w:trHeight w:val="439"/>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7F3F83" w:rsidRPr="0082245C" w:rsidRDefault="007F3F83" w:rsidP="001330AF">
            <w:pPr>
              <w:rPr>
                <w:rFonts w:asciiTheme="minorHAnsi" w:hAnsiTheme="minorHAnsi"/>
                <w:b/>
                <w:bCs/>
                <w:color w:val="000000" w:themeColor="text1"/>
                <w:sz w:val="24"/>
                <w:szCs w:val="24"/>
              </w:rPr>
            </w:pPr>
            <w:r w:rsidRPr="0082245C">
              <w:rPr>
                <w:b/>
                <w:bCs/>
                <w:color w:val="000000" w:themeColor="text1"/>
              </w:rPr>
              <w:t>Team ID</w:t>
            </w:r>
          </w:p>
        </w:tc>
        <w:tc>
          <w:tcPr>
            <w:tcW w:w="6938" w:type="dxa"/>
            <w:tcBorders>
              <w:top w:val="single" w:sz="4" w:space="0" w:color="auto"/>
              <w:left w:val="single" w:sz="4" w:space="0" w:color="auto"/>
              <w:bottom w:val="single" w:sz="4" w:space="0" w:color="auto"/>
              <w:right w:val="single" w:sz="4" w:space="0" w:color="auto"/>
            </w:tcBorders>
            <w:hideMark/>
          </w:tcPr>
          <w:p w:rsidR="007F3F83" w:rsidRPr="0082245C" w:rsidRDefault="007F3F83" w:rsidP="001330AF">
            <w:pPr>
              <w:rPr>
                <w:b/>
                <w:color w:val="000000" w:themeColor="text1"/>
              </w:rPr>
            </w:pPr>
            <w:r w:rsidRPr="0082245C">
              <w:rPr>
                <w:b/>
                <w:color w:val="000000" w:themeColor="text1"/>
              </w:rPr>
              <w:t>MCA</w:t>
            </w:r>
          </w:p>
        </w:tc>
      </w:tr>
      <w:tr w:rsidR="007F3F83" w:rsidTr="00744BB0">
        <w:trPr>
          <w:trHeight w:val="454"/>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7F3F83" w:rsidRPr="0082245C" w:rsidRDefault="007F3F83" w:rsidP="001330AF">
            <w:pPr>
              <w:rPr>
                <w:b/>
                <w:bCs/>
                <w:color w:val="000000" w:themeColor="text1"/>
              </w:rPr>
            </w:pPr>
            <w:r w:rsidRPr="0082245C">
              <w:rPr>
                <w:b/>
                <w:bCs/>
                <w:color w:val="000000" w:themeColor="text1"/>
              </w:rPr>
              <w:t>Project Name</w:t>
            </w:r>
          </w:p>
        </w:tc>
        <w:tc>
          <w:tcPr>
            <w:tcW w:w="6938" w:type="dxa"/>
            <w:tcBorders>
              <w:top w:val="single" w:sz="4" w:space="0" w:color="auto"/>
              <w:left w:val="single" w:sz="4" w:space="0" w:color="auto"/>
              <w:bottom w:val="single" w:sz="4" w:space="0" w:color="auto"/>
              <w:right w:val="single" w:sz="4" w:space="0" w:color="auto"/>
            </w:tcBorders>
            <w:hideMark/>
          </w:tcPr>
          <w:p w:rsidR="007F3F83" w:rsidRPr="0082245C" w:rsidRDefault="007F3F83" w:rsidP="001330AF">
            <w:pPr>
              <w:rPr>
                <w:b/>
                <w:bCs/>
                <w:color w:val="000000" w:themeColor="text1"/>
              </w:rPr>
            </w:pPr>
            <w:r w:rsidRPr="0082245C">
              <w:rPr>
                <w:b/>
                <w:bCs/>
                <w:color w:val="000000" w:themeColor="text1"/>
              </w:rPr>
              <w:t>Smartphone Usage, Digital Addiction &amp; Well-Being Analysis</w:t>
            </w:r>
          </w:p>
        </w:tc>
      </w:tr>
      <w:tr w:rsidR="007F3F83" w:rsidTr="00744BB0">
        <w:trPr>
          <w:trHeight w:val="439"/>
        </w:trPr>
        <w:tc>
          <w:tcPr>
            <w:tcW w:w="346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7F3F83" w:rsidRPr="0082245C" w:rsidRDefault="007F3F83" w:rsidP="001330AF">
            <w:pPr>
              <w:rPr>
                <w:b/>
                <w:bCs/>
                <w:color w:val="000000" w:themeColor="text1"/>
              </w:rPr>
            </w:pPr>
            <w:r w:rsidRPr="0082245C">
              <w:rPr>
                <w:b/>
                <w:bCs/>
                <w:color w:val="000000" w:themeColor="text1"/>
              </w:rPr>
              <w:t>Maximum Marks</w:t>
            </w:r>
          </w:p>
        </w:tc>
        <w:tc>
          <w:tcPr>
            <w:tcW w:w="6938" w:type="dxa"/>
            <w:tcBorders>
              <w:top w:val="single" w:sz="4" w:space="0" w:color="auto"/>
              <w:left w:val="single" w:sz="4" w:space="0" w:color="auto"/>
              <w:bottom w:val="single" w:sz="4" w:space="0" w:color="auto"/>
              <w:right w:val="single" w:sz="4" w:space="0" w:color="auto"/>
            </w:tcBorders>
            <w:hideMark/>
          </w:tcPr>
          <w:p w:rsidR="007F3F83" w:rsidRPr="0082245C" w:rsidRDefault="007F3F83" w:rsidP="001330AF">
            <w:pPr>
              <w:rPr>
                <w:b/>
                <w:color w:val="000000" w:themeColor="text1"/>
              </w:rPr>
            </w:pPr>
            <w:r w:rsidRPr="0082245C">
              <w:rPr>
                <w:b/>
                <w:color w:val="000000" w:themeColor="text1"/>
              </w:rPr>
              <w:t>5 Marks</w:t>
            </w:r>
          </w:p>
        </w:tc>
      </w:tr>
    </w:tbl>
    <w:p w:rsidR="00B06D36" w:rsidRPr="0082245C" w:rsidRDefault="007F3F83">
      <w:pPr>
        <w:spacing w:before="360" w:after="160"/>
        <w:rPr>
          <w:color w:val="000000" w:themeColor="text1"/>
        </w:rPr>
      </w:pPr>
      <w:r w:rsidRPr="0082245C">
        <w:rPr>
          <w:b/>
          <w:color w:val="000000" w:themeColor="text1"/>
          <w:sz w:val="32"/>
        </w:rPr>
        <w:t>Activity 1: Interactive and Visually Appealing Dashboards</w:t>
      </w:r>
    </w:p>
    <w:p w:rsidR="00B06D36" w:rsidRDefault="007F3F83">
      <w:pPr>
        <w:spacing w:after="240"/>
      </w:pPr>
      <w:r w:rsidRPr="0082245C">
        <w:rPr>
          <w:color w:val="000000" w:themeColor="text1"/>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This analytics report evaluates the active architecture indicators and extracts the key metric conclusions parsed across user engagement levels</w:t>
      </w:r>
      <w:r>
        <w:t>.</w:t>
      </w:r>
    </w:p>
    <w:p w:rsidR="00B06D36" w:rsidRPr="0082245C" w:rsidRDefault="007F3F83">
      <w:pPr>
        <w:spacing w:before="240" w:after="120"/>
        <w:rPr>
          <w:color w:val="000000" w:themeColor="text1"/>
        </w:rPr>
      </w:pPr>
      <w:r w:rsidRPr="0082245C">
        <w:rPr>
          <w:b/>
          <w:color w:val="000000" w:themeColor="text1"/>
          <w:sz w:val="26"/>
        </w:rPr>
        <w:t>Framework Design Checklist &amp; Best Practices Applied</w:t>
      </w:r>
    </w:p>
    <w:p w:rsidR="00B06D36" w:rsidRPr="0082245C" w:rsidRDefault="007F3F83">
      <w:pPr>
        <w:pStyle w:val="ListBullet"/>
        <w:spacing w:after="80"/>
        <w:rPr>
          <w:color w:val="000000" w:themeColor="text1"/>
        </w:rPr>
      </w:pPr>
      <w:r w:rsidRPr="0082245C">
        <w:rPr>
          <w:b/>
          <w:color w:val="000000" w:themeColor="text1"/>
        </w:rPr>
        <w:t xml:space="preserve">Clear and Intuitive Layout: </w:t>
      </w:r>
      <w:r w:rsidRPr="0082245C">
        <w:rPr>
          <w:color w:val="000000" w:themeColor="text1"/>
        </w:rPr>
        <w:t>The canvas isolates high-level aggregate KPI cards uniformly across the upper margins. It guides reading visibility down into structured categorical columns below, aligning with native reading flow hierarchy.</w:t>
      </w:r>
    </w:p>
    <w:p w:rsidR="00B06D36" w:rsidRPr="0082245C" w:rsidRDefault="007F3F83">
      <w:pPr>
        <w:pStyle w:val="ListBullet"/>
        <w:spacing w:after="80"/>
        <w:rPr>
          <w:color w:val="000000" w:themeColor="text1"/>
        </w:rPr>
      </w:pPr>
      <w:r w:rsidRPr="0082245C">
        <w:rPr>
          <w:b/>
          <w:color w:val="000000" w:themeColor="text1"/>
        </w:rPr>
        <w:t xml:space="preserve">Use Appropriate Visualizations: </w:t>
      </w:r>
      <w:r w:rsidRPr="0082245C">
        <w:rPr>
          <w:color w:val="000000" w:themeColor="text1"/>
        </w:rPr>
        <w:t>Maintains strict format parity to the underlying variable context. Proportional demographic shares utilize donut-style split configurations, comparison parameters rely on linear bar tracks, and key volume measures load high-impact typography.</w:t>
      </w:r>
    </w:p>
    <w:p w:rsidR="00B06D36" w:rsidRPr="0082245C" w:rsidRDefault="007F3F83">
      <w:pPr>
        <w:pStyle w:val="ListBullet"/>
        <w:spacing w:after="80"/>
        <w:rPr>
          <w:color w:val="000000" w:themeColor="text1"/>
        </w:rPr>
      </w:pPr>
      <w:r w:rsidRPr="0082245C">
        <w:rPr>
          <w:b/>
          <w:color w:val="000000" w:themeColor="text1"/>
        </w:rPr>
        <w:t xml:space="preserve">Colour and Theming: </w:t>
      </w:r>
      <w:r w:rsidRPr="0082245C">
        <w:rPr>
          <w:color w:val="000000" w:themeColor="text1"/>
        </w:rPr>
        <w:t>Deploys a specialized dark corporate indigo and cobalt baseline environment. This eliminates eye fatigue while delivering crisp, readable item isolation using contrasting secondary color accents.</w:t>
      </w:r>
    </w:p>
    <w:p w:rsidR="00B06D36" w:rsidRPr="0082245C" w:rsidRDefault="007F3F83">
      <w:pPr>
        <w:pStyle w:val="ListBullet"/>
        <w:spacing w:after="80"/>
        <w:rPr>
          <w:color w:val="000000" w:themeColor="text1"/>
        </w:rPr>
      </w:pPr>
      <w:r w:rsidRPr="0082245C">
        <w:rPr>
          <w:b/>
          <w:color w:val="000000" w:themeColor="text1"/>
        </w:rPr>
        <w:t xml:space="preserve">Interactive Filters and Slicers: </w:t>
      </w:r>
      <w:r w:rsidRPr="0082245C">
        <w:rPr>
          <w:color w:val="000000" w:themeColor="text1"/>
        </w:rPr>
        <w:t>An integrated drop-down select component is anchored at the top horizontal control bar, enabling automated cross-filtering across distinct target user groups with real-time updates.</w:t>
      </w:r>
    </w:p>
    <w:p w:rsidR="00B06D36" w:rsidRPr="0082245C" w:rsidRDefault="007F3F83">
      <w:pPr>
        <w:pStyle w:val="ListBullet"/>
        <w:spacing w:after="80"/>
        <w:rPr>
          <w:color w:val="000000" w:themeColor="text1"/>
        </w:rPr>
      </w:pPr>
      <w:r w:rsidRPr="0082245C">
        <w:rPr>
          <w:b/>
          <w:color w:val="000000" w:themeColor="text1"/>
        </w:rPr>
        <w:t xml:space="preserve">Drill-Down Capabilities: </w:t>
      </w:r>
      <w:r w:rsidRPr="0082245C">
        <w:rPr>
          <w:color w:val="000000" w:themeColor="text1"/>
        </w:rPr>
        <w:t>The backend architecture supports variable granular mapping, allowing operators to systematically unpack baseline values directly down into micro age groups or isolated health stress indicators.</w:t>
      </w:r>
    </w:p>
    <w:p w:rsidR="00B06D36" w:rsidRPr="0082245C" w:rsidRDefault="007F3F83">
      <w:pPr>
        <w:pStyle w:val="ListBullet"/>
        <w:spacing w:after="80"/>
        <w:rPr>
          <w:color w:val="000000" w:themeColor="text1"/>
        </w:rPr>
      </w:pPr>
      <w:r w:rsidRPr="0082245C">
        <w:rPr>
          <w:b/>
          <w:color w:val="000000" w:themeColor="text1"/>
        </w:rPr>
        <w:t xml:space="preserve">Responsive Design: </w:t>
      </w:r>
      <w:r w:rsidRPr="0082245C">
        <w:rPr>
          <w:color w:val="000000" w:themeColor="text1"/>
        </w:rPr>
        <w:t>The interface objects utilize fluid container sizing frameworks, scaling parameters across distinct desktop display monitors, browser canvas layers, and remote mobile displays.</w:t>
      </w:r>
    </w:p>
    <w:p w:rsidR="00B06D36" w:rsidRPr="0082245C" w:rsidRDefault="007F3F83">
      <w:pPr>
        <w:pStyle w:val="ListBullet"/>
        <w:spacing w:after="80"/>
        <w:rPr>
          <w:color w:val="000000" w:themeColor="text1"/>
        </w:rPr>
      </w:pPr>
      <w:r w:rsidRPr="0082245C">
        <w:rPr>
          <w:b/>
          <w:color w:val="000000" w:themeColor="text1"/>
        </w:rPr>
        <w:t xml:space="preserve">Custom Visuals and Icons: </w:t>
      </w:r>
      <w:r w:rsidRPr="0082245C">
        <w:rPr>
          <w:color w:val="000000" w:themeColor="text1"/>
        </w:rPr>
        <w:t>Strips away unnecessary chart ink, focusing on localized target labels and precise tracking points to provide immediate answers instead of visual background noise.</w:t>
      </w:r>
    </w:p>
    <w:p w:rsidR="00B06D36" w:rsidRPr="0082245C" w:rsidRDefault="007F3F83">
      <w:pPr>
        <w:pStyle w:val="ListBullet"/>
        <w:spacing w:after="80"/>
        <w:rPr>
          <w:color w:val="000000" w:themeColor="text1"/>
        </w:rPr>
      </w:pPr>
      <w:r w:rsidRPr="0082245C">
        <w:rPr>
          <w:b/>
          <w:color w:val="000000" w:themeColor="text1"/>
        </w:rPr>
        <w:t xml:space="preserve">Use of Infographics: </w:t>
      </w:r>
      <w:r w:rsidRPr="0082245C">
        <w:rPr>
          <w:color w:val="000000" w:themeColor="text1"/>
        </w:rPr>
        <w:t>The high-volume aggregated metrics use large text infographics, providing direct orientation points immediately upon system configuration load.</w:t>
      </w:r>
    </w:p>
    <w:p w:rsidR="007F3F83" w:rsidRDefault="007F3F83" w:rsidP="007F3F83">
      <w:pPr>
        <w:pStyle w:val="ListBullet"/>
        <w:numPr>
          <w:ilvl w:val="0"/>
          <w:numId w:val="0"/>
        </w:numPr>
        <w:spacing w:after="80"/>
        <w:ind w:left="360"/>
      </w:pPr>
      <w:r w:rsidRPr="007F3F83">
        <w:rPr>
          <w:noProof/>
          <w:lang w:val="en-IN" w:eastAsia="en-IN"/>
        </w:rPr>
        <w:lastRenderedPageBreak/>
        <w:drawing>
          <wp:inline distT="0" distB="0" distL="0" distR="0" wp14:anchorId="2CD0D017" wp14:editId="7E308674">
            <wp:extent cx="5943600" cy="3322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2320"/>
                    </a:xfrm>
                    <a:prstGeom prst="rect">
                      <a:avLst/>
                    </a:prstGeom>
                  </pic:spPr>
                </pic:pic>
              </a:graphicData>
            </a:graphic>
          </wp:inline>
        </w:drawing>
      </w:r>
    </w:p>
    <w:p w:rsidR="00B06D36" w:rsidRPr="0082245C" w:rsidRDefault="007F3F83">
      <w:pPr>
        <w:spacing w:before="280" w:after="120"/>
        <w:rPr>
          <w:b/>
          <w:color w:val="000000" w:themeColor="text1"/>
        </w:rPr>
      </w:pPr>
      <w:r w:rsidRPr="0082245C">
        <w:rPr>
          <w:b/>
          <w:color w:val="000000" w:themeColor="text1"/>
          <w:sz w:val="26"/>
        </w:rPr>
        <w:t>Major Dashboard Outcomes &amp; Insights</w:t>
      </w:r>
    </w:p>
    <w:p w:rsidR="00B06D36" w:rsidRPr="0082245C" w:rsidRDefault="007F3F83">
      <w:pPr>
        <w:pStyle w:val="ListBullet"/>
        <w:spacing w:after="80"/>
        <w:rPr>
          <w:color w:val="000000" w:themeColor="text1"/>
        </w:rPr>
      </w:pPr>
      <w:r w:rsidRPr="0082245C">
        <w:rPr>
          <w:b/>
          <w:color w:val="000000" w:themeColor="text1"/>
        </w:rPr>
        <w:t xml:space="preserve">Total Enrolled Sample Base: </w:t>
      </w:r>
      <w:r w:rsidRPr="0082245C">
        <w:rPr>
          <w:color w:val="000000" w:themeColor="text1"/>
        </w:rPr>
        <w:t>The analytics platform successfully monitors a wide tracking scope capturing a verified count of 7,500 unique user IDs.</w:t>
      </w:r>
    </w:p>
    <w:p w:rsidR="00B06D36" w:rsidRPr="0082245C" w:rsidRDefault="007F3F83">
      <w:pPr>
        <w:pStyle w:val="ListBullet"/>
        <w:spacing w:after="80"/>
        <w:rPr>
          <w:color w:val="000000" w:themeColor="text1"/>
        </w:rPr>
      </w:pPr>
      <w:r w:rsidRPr="0082245C">
        <w:rPr>
          <w:b/>
          <w:color w:val="000000" w:themeColor="text1"/>
        </w:rPr>
        <w:t>Activity Baseline Tracking:</w:t>
      </w:r>
      <w:r w:rsidRPr="0082245C">
        <w:rPr>
          <w:color w:val="000000" w:themeColor="text1"/>
        </w:rPr>
        <w:t xml:space="preserve"> Maintains comprehensive log coverage accounting for a total metric stack of 5,308 distinct transaction IDs across the sample ecosystem.</w:t>
      </w:r>
    </w:p>
    <w:p w:rsidR="00B06D36" w:rsidRPr="0082245C" w:rsidRDefault="007F3F83">
      <w:pPr>
        <w:pStyle w:val="ListBullet"/>
        <w:spacing w:after="80"/>
        <w:rPr>
          <w:color w:val="000000" w:themeColor="text1"/>
        </w:rPr>
      </w:pPr>
      <w:r w:rsidRPr="0082245C">
        <w:rPr>
          <w:b/>
          <w:color w:val="000000" w:themeColor="text1"/>
        </w:rPr>
        <w:t>Weekend Digital Exposure:</w:t>
      </w:r>
      <w:r w:rsidRPr="0082245C">
        <w:rPr>
          <w:color w:val="000000" w:themeColor="text1"/>
        </w:rPr>
        <w:t xml:space="preserve"> The metric records high user screen time during weekend intervals, exhibiting a notable mean of 9.24 hours per subject.</w:t>
      </w:r>
    </w:p>
    <w:p w:rsidR="00B06D36" w:rsidRPr="0082245C" w:rsidRDefault="007F3F83">
      <w:pPr>
        <w:pStyle w:val="ListBullet"/>
        <w:spacing w:after="80"/>
        <w:rPr>
          <w:color w:val="000000" w:themeColor="text1"/>
        </w:rPr>
      </w:pPr>
      <w:r w:rsidRPr="0082245C">
        <w:rPr>
          <w:b/>
          <w:color w:val="000000" w:themeColor="text1"/>
        </w:rPr>
        <w:t>Sleep Architecture Benchmark</w:t>
      </w:r>
      <w:r w:rsidRPr="0082245C">
        <w:rPr>
          <w:color w:val="000000" w:themeColor="text1"/>
        </w:rPr>
        <w:t>: Establishes a critical biological health comparison reference point, indicating a cohort wide mean profile of 6.74 sleep hours.</w:t>
      </w:r>
    </w:p>
    <w:p w:rsidR="00B06D36" w:rsidRPr="0082245C" w:rsidRDefault="007F3F83">
      <w:pPr>
        <w:pStyle w:val="ListBullet"/>
        <w:spacing w:after="80"/>
        <w:rPr>
          <w:color w:val="000000" w:themeColor="text1"/>
        </w:rPr>
      </w:pPr>
      <w:r w:rsidRPr="0082245C">
        <w:rPr>
          <w:b/>
          <w:color w:val="000000" w:themeColor="text1"/>
        </w:rPr>
        <w:t>Addiction Profile Distribution:</w:t>
      </w:r>
      <w:r w:rsidRPr="0082245C">
        <w:rPr>
          <w:color w:val="000000" w:themeColor="text1"/>
        </w:rPr>
        <w:t xml:space="preserve"> A categorical split reveals that Moderate profiles represent the largest share at 38.32%, with Mild following at 32.45%, </w:t>
      </w:r>
      <w:proofErr w:type="gramStart"/>
      <w:r w:rsidRPr="0082245C">
        <w:rPr>
          <w:color w:val="000000" w:themeColor="text1"/>
        </w:rPr>
        <w:t>Severe</w:t>
      </w:r>
      <w:proofErr w:type="gramEnd"/>
      <w:r w:rsidRPr="0082245C">
        <w:rPr>
          <w:color w:val="000000" w:themeColor="text1"/>
        </w:rPr>
        <w:t xml:space="preserve"> profiles at 18.31%, and unimpacted baseline records (None) at 10.92%.</w:t>
      </w:r>
    </w:p>
    <w:p w:rsidR="00B06D36" w:rsidRPr="0082245C" w:rsidRDefault="007F3F83">
      <w:pPr>
        <w:pStyle w:val="ListBullet"/>
        <w:spacing w:after="80"/>
        <w:rPr>
          <w:b/>
          <w:color w:val="000000" w:themeColor="text1"/>
        </w:rPr>
      </w:pPr>
      <w:r w:rsidRPr="0082245C">
        <w:rPr>
          <w:b/>
          <w:color w:val="000000" w:themeColor="text1"/>
        </w:rPr>
        <w:t>Demographic Cohort Concentrations:</w:t>
      </w:r>
      <w:r w:rsidRPr="0082245C">
        <w:rPr>
          <w:color w:val="000000" w:themeColor="text1"/>
        </w:rPr>
        <w:t xml:space="preserve"> Age bracket breakdowns highlight a primary millennial and Gen-Z concentration, with the 20-29 cohort leading decisively at 55.09%, followed by 30-39 users at 34.25%, and users Under</w:t>
      </w:r>
      <w:r w:rsidRPr="0082245C">
        <w:rPr>
          <w:b/>
          <w:color w:val="000000" w:themeColor="text1"/>
        </w:rPr>
        <w:t xml:space="preserve"> </w:t>
      </w:r>
      <w:r w:rsidRPr="0082245C">
        <w:rPr>
          <w:color w:val="000000" w:themeColor="text1"/>
        </w:rPr>
        <w:t>20 tracking at 10.65%.</w:t>
      </w:r>
    </w:p>
    <w:sectPr w:rsidR="00B06D36" w:rsidRPr="008224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44BB0"/>
    <w:rsid w:val="007F3F83"/>
    <w:rsid w:val="0082245C"/>
    <w:rsid w:val="00AA1D8D"/>
    <w:rsid w:val="00B06D3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43C6637-1872-4C46-9ADA-D9E7F67F9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9FA8F-9F6C-49F9-B314-267A6ECE0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DENESH CHOKKARA</cp:lastModifiedBy>
  <cp:revision>5</cp:revision>
  <dcterms:created xsi:type="dcterms:W3CDTF">2026-09-20T11:59:00Z</dcterms:created>
  <dcterms:modified xsi:type="dcterms:W3CDTF">2026-09-20T13:52:00Z</dcterms:modified>
  <cp:category/>
</cp:coreProperties>
</file>