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D5D46" w14:textId="77777777" w:rsidR="00AE19A1" w:rsidRDefault="00784013">
      <w:pPr>
        <w:pStyle w:val="Title"/>
      </w:pPr>
      <w:r>
        <w:t>STAT7026 Assignment 2</w:t>
      </w:r>
    </w:p>
    <w:p w14:paraId="53F5713D" w14:textId="40245D95" w:rsidR="002508B4" w:rsidRDefault="002508B4" w:rsidP="002508B4">
      <w:pPr>
        <w:pStyle w:val="Heading2"/>
      </w:pPr>
      <w:bookmarkStart w:id="0" w:name="r-global_options-includefalse-knitropts_"/>
      <w:bookmarkStart w:id="1" w:name="OLE_LINK2"/>
      <w:bookmarkEnd w:id="0"/>
      <w:r>
        <w:t xml:space="preserve">1. </w:t>
      </w:r>
      <w:r w:rsidR="00847F7D">
        <w:t>Data</w:t>
      </w:r>
    </w:p>
    <w:bookmarkEnd w:id="1"/>
    <w:p w14:paraId="18B110F6" w14:textId="77777777" w:rsidR="00181116" w:rsidRDefault="00784013">
      <w:pPr>
        <w:pStyle w:val="FirstParagraph"/>
      </w:pPr>
      <w:r>
        <w:t xml:space="preserve">The time series </w:t>
      </w:r>
      <w:proofErr w:type="spellStart"/>
      <w:proofErr w:type="gramStart"/>
      <w:r>
        <w:rPr>
          <w:rStyle w:val="VerbatimChar"/>
        </w:rPr>
        <w:t>bicoal.tons</w:t>
      </w:r>
      <w:proofErr w:type="spellEnd"/>
      <w:proofErr w:type="gramEnd"/>
      <w:r>
        <w:t xml:space="preserve"> provided by U.S. Bureau of Mines stores the annual production of bituminous coal between 1920 and 1968 (in millions of net tons).</w:t>
      </w:r>
      <w:r w:rsidR="00D9639D">
        <w:t xml:space="preserve"> Our goal is to explore the data and </w:t>
      </w:r>
      <w:r w:rsidR="00181116">
        <w:t>dig up any pattern hidden inside.</w:t>
      </w:r>
    </w:p>
    <w:p w14:paraId="7B032AFC" w14:textId="5632EB07" w:rsidR="00181116" w:rsidRDefault="00181116" w:rsidP="00181116">
      <w:pPr>
        <w:pStyle w:val="Heading2"/>
      </w:pPr>
      <w:r>
        <w:t>2. Plotting</w:t>
      </w:r>
      <w:r w:rsidR="00847F7D">
        <w:t xml:space="preserve"> and Decomposing</w:t>
      </w:r>
    </w:p>
    <w:p w14:paraId="0C838F0B" w14:textId="7B3C25F6" w:rsidR="008C1480" w:rsidRPr="008C1480" w:rsidRDefault="00493D43" w:rsidP="00F57E8E">
      <w:pPr>
        <w:pStyle w:val="BodyText"/>
        <w:jc w:val="center"/>
        <w:rPr>
          <w:lang w:val="en-CA" w:eastAsia="zh-CN"/>
        </w:rPr>
      </w:pPr>
      <w:r>
        <w:rPr>
          <w:noProof/>
          <w:lang w:eastAsia="zh-CN"/>
        </w:rPr>
        <w:drawing>
          <wp:inline distT="0" distB="0" distL="0" distR="0" wp14:anchorId="1F413377" wp14:editId="307DA729">
            <wp:extent cx="4398956" cy="2520000"/>
            <wp:effectExtent l="0" t="0" r="0" b="0"/>
            <wp:docPr id="3" name="Picture 3" descr="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plot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95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72E4C" w14:textId="0CC213F0" w:rsidR="00AE19A1" w:rsidRDefault="000926CC">
      <w:pPr>
        <w:pStyle w:val="FirstParagraph"/>
      </w:pPr>
      <w:r>
        <w:t>We tried a</w:t>
      </w:r>
      <w:r w:rsidR="00784013">
        <w:t xml:space="preserve"> log-scale plot </w:t>
      </w:r>
      <w:r>
        <w:t xml:space="preserve">and a square-root-scale plot </w:t>
      </w:r>
      <w:r w:rsidR="00686293">
        <w:t>right after this</w:t>
      </w:r>
      <w:r w:rsidR="00784013">
        <w:t xml:space="preserve">. However, </w:t>
      </w:r>
      <w:r w:rsidR="008C1480">
        <w:t>they</w:t>
      </w:r>
      <w:r w:rsidR="00784013">
        <w:t xml:space="preserve"> did not provide a better view of the data</w:t>
      </w:r>
      <w:r w:rsidR="008C1480">
        <w:t xml:space="preserve"> and looked almost identical</w:t>
      </w:r>
      <w:r w:rsidR="00784013">
        <w:t xml:space="preserve">, so there is no need to do </w:t>
      </w:r>
      <w:r w:rsidR="008C1480">
        <w:t xml:space="preserve">such </w:t>
      </w:r>
      <w:r w:rsidR="00784013">
        <w:t>transformation</w:t>
      </w:r>
      <w:r w:rsidR="008C1480">
        <w:t>s</w:t>
      </w:r>
      <w:r w:rsidR="00784013">
        <w:t>.</w:t>
      </w:r>
    </w:p>
    <w:p w14:paraId="0BD80AD4" w14:textId="77777777" w:rsidR="00AE19A1" w:rsidRDefault="00784013">
      <w:pPr>
        <w:pStyle w:val="BodyText"/>
      </w:pPr>
      <w:r>
        <w:t>After plotting the time series directly, we would like to decompose it into three main components.</w:t>
      </w:r>
    </w:p>
    <w:p w14:paraId="7A242C19" w14:textId="2DA0F2E5" w:rsidR="00AE19A1" w:rsidRDefault="00784013">
      <w:pPr>
        <w:numPr>
          <w:ilvl w:val="0"/>
          <w:numId w:val="3"/>
        </w:numPr>
      </w:pPr>
      <w:r>
        <w:rPr>
          <w:b/>
        </w:rPr>
        <w:t>Trend</w:t>
      </w:r>
      <w:r>
        <w:t xml:space="preserve">: The solid curve is a LOWESS curve, while the dotted line is the linear trend candidate. </w:t>
      </w:r>
      <w:r w:rsidR="004830BF">
        <w:t>Fitting a</w:t>
      </w:r>
      <w:r>
        <w:t xml:space="preserve"> quadratic or even a cubic trend is possible, but nevertheless they seem to be overfitting in this scenario.</w:t>
      </w:r>
      <w:r w:rsidR="006C7FB4">
        <w:t xml:space="preserve"> In fact, a cubic trend might be accurate partially, but it really gets irresponsive starting from 1940. On the other hand, though not perfectly accurate, we believe a linear line is an adequate trend that basically represents the general </w:t>
      </w:r>
      <w:r w:rsidR="000552C4">
        <w:t>tendency</w:t>
      </w:r>
      <w:r w:rsidR="006C7FB4">
        <w:t xml:space="preserve"> of coal production during this time period. To some extent, the coal production from 1920 to 1968 fluctuates, but it never deviates too much from this slightly increasing linear trend.</w:t>
      </w:r>
    </w:p>
    <w:p w14:paraId="39133C68" w14:textId="075BD64D" w:rsidR="00725C2A" w:rsidRPr="00725C2A" w:rsidRDefault="00784013" w:rsidP="00725C2A">
      <w:pPr>
        <w:numPr>
          <w:ilvl w:val="0"/>
          <w:numId w:val="3"/>
        </w:numPr>
      </w:pPr>
      <w:r>
        <w:rPr>
          <w:b/>
        </w:rPr>
        <w:t>Seasonal component</w:t>
      </w:r>
      <w:r>
        <w:t xml:space="preserve">: In this case we detect no seasonal component here. Even though the data </w:t>
      </w:r>
      <w:r w:rsidR="000552C4">
        <w:t xml:space="preserve">shows sign of </w:t>
      </w:r>
      <w:r w:rsidR="003305BB">
        <w:t>a drop</w:t>
      </w:r>
      <w:r>
        <w:t xml:space="preserve"> in the 1930s (possibly due to the Great Depression which lasted from 1929 to 1939), then hits a peak in the 1940s (the World War II), then </w:t>
      </w:r>
      <w:r w:rsidR="003305BB">
        <w:t>dives</w:t>
      </w:r>
      <w:r>
        <w:t xml:space="preserve"> again in the 1950s.</w:t>
      </w:r>
      <w:r w:rsidR="006C7FB4">
        <w:t xml:space="preserve"> We cannot </w:t>
      </w:r>
      <w:r>
        <w:t xml:space="preserve">expect those rare events to happen </w:t>
      </w:r>
      <w:r>
        <w:lastRenderedPageBreak/>
        <w:t xml:space="preserve">every 10-20 years. </w:t>
      </w:r>
      <w:r w:rsidR="006C7FB4">
        <w:t xml:space="preserve">In addition, the suspicious pattern </w:t>
      </w:r>
      <w:r>
        <w:t>hardly make</w:t>
      </w:r>
      <w:r w:rsidR="006C7FB4">
        <w:t>s</w:t>
      </w:r>
      <w:r>
        <w:t xml:space="preserve"> two whole cycles, thus we cannot confirm the existence of a </w:t>
      </w:r>
      <w:r w:rsidR="006C7FB4">
        <w:t>seasonal component</w:t>
      </w:r>
      <w:r>
        <w:t xml:space="preserve"> confidently.</w:t>
      </w:r>
      <w:r w:rsidR="00725C2A" w:rsidRPr="00725C2A">
        <w:rPr>
          <w:b/>
          <w:noProof/>
          <w:lang w:eastAsia="zh-CN"/>
        </w:rPr>
        <w:t xml:space="preserve"> </w:t>
      </w:r>
    </w:p>
    <w:p w14:paraId="58BCA70D" w14:textId="32013687" w:rsidR="00AE19A1" w:rsidRDefault="00725C2A" w:rsidP="00F57E8E">
      <w:pPr>
        <w:jc w:val="center"/>
      </w:pPr>
      <w:r>
        <w:rPr>
          <w:b/>
          <w:noProof/>
          <w:lang w:eastAsia="zh-CN"/>
        </w:rPr>
        <w:drawing>
          <wp:inline distT="0" distB="0" distL="0" distR="0" wp14:anchorId="0F9E62B2" wp14:editId="53F51606">
            <wp:extent cx="4230129" cy="2520000"/>
            <wp:effectExtent l="0" t="0" r="12065" b="0"/>
            <wp:docPr id="4" name="Picture 4" descr="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plot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12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1942F" w14:textId="6BECBE92" w:rsidR="00AE19A1" w:rsidRDefault="00784013">
      <w:pPr>
        <w:numPr>
          <w:ilvl w:val="0"/>
          <w:numId w:val="3"/>
        </w:numPr>
      </w:pPr>
      <w:r>
        <w:rPr>
          <w:b/>
        </w:rPr>
        <w:t>Irregular component</w:t>
      </w:r>
      <w:r>
        <w:t>: After plotting the “</w:t>
      </w:r>
      <w:proofErr w:type="spellStart"/>
      <w:r>
        <w:t>detrended</w:t>
      </w:r>
      <w:proofErr w:type="spellEnd"/>
      <w:r>
        <w:t xml:space="preserve"> time series”, what remains should be some random noise. But the figure above still looks like the original data. This </w:t>
      </w:r>
      <w:proofErr w:type="spellStart"/>
      <w:r>
        <w:t>deja</w:t>
      </w:r>
      <w:proofErr w:type="spellEnd"/>
      <w:r>
        <w:t xml:space="preserve"> vu indicates that the residuals are dependent.</w:t>
      </w:r>
      <w:r w:rsidR="00725C2A">
        <w:t xml:space="preserve"> We will try to fit the residuals with an AR model.</w:t>
      </w:r>
    </w:p>
    <w:p w14:paraId="0FE00933" w14:textId="3E9D7115" w:rsidR="002508B4" w:rsidRDefault="002E2DE0" w:rsidP="002508B4">
      <w:pPr>
        <w:pStyle w:val="Heading2"/>
      </w:pPr>
      <w:bookmarkStart w:id="2" w:name="fitting-an-arima-model"/>
      <w:bookmarkStart w:id="3" w:name="OLE_LINK1"/>
      <w:bookmarkEnd w:id="2"/>
      <w:r>
        <w:t>3</w:t>
      </w:r>
      <w:r w:rsidR="00784013">
        <w:t>. Fitting an AR Model</w:t>
      </w:r>
    </w:p>
    <w:bookmarkEnd w:id="3"/>
    <w:p w14:paraId="1204EAB2" w14:textId="48DDD33E" w:rsidR="00BA5CE4" w:rsidRDefault="00627002" w:rsidP="00BA5CE4">
      <w:pPr>
        <w:pStyle w:val="FirstParagraph"/>
      </w:pPr>
      <w:r>
        <w:t xml:space="preserve">Firstly, we use Box-Jenkins method to test if the residual </w:t>
      </w:r>
      <w:r w:rsidR="003957C5">
        <w:t>series is stationary.</w:t>
      </w:r>
      <w:r w:rsidR="00BA5CE4">
        <w:t xml:space="preserve"> The Autocorrelation Function (ACF) is problematic, since it does not damp down to zero, as we can see the values go beyond the critical value from lag 8 to lag 14. This suggests that we might need to take the first differences, which agrees with our previous decision that a linear trend is selected. After doing so, we check the plot and corresponding ACF, PACF again.</w:t>
      </w:r>
    </w:p>
    <w:p w14:paraId="1B7EEC03" w14:textId="069E2AC6" w:rsidR="00A64D85" w:rsidRPr="00A64D85" w:rsidRDefault="00A64D85" w:rsidP="00A64D85">
      <w:pPr>
        <w:pStyle w:val="BodyText"/>
      </w:pPr>
      <w:r>
        <w:t xml:space="preserve">Here we also checked the residual plots directly, it looks more like </w:t>
      </w:r>
      <w:r w:rsidR="00185064">
        <w:t>random</w:t>
      </w:r>
      <w:r>
        <w:t xml:space="preserve"> noise than the previous non-differenced data. The plot is attached with other diagnostic plots later</w:t>
      </w:r>
      <w:r w:rsidR="00326D06">
        <w:t xml:space="preserve"> (See page </w:t>
      </w:r>
      <w:r w:rsidR="00467374">
        <w:t>4)</w:t>
      </w:r>
      <w:r>
        <w:t xml:space="preserve">. </w:t>
      </w:r>
    </w:p>
    <w:p w14:paraId="61AC5B18" w14:textId="1183DC2E" w:rsidR="00BA5CE4" w:rsidRDefault="00467374" w:rsidP="00BA5CE4">
      <w:pPr>
        <w:pStyle w:val="BodyText"/>
      </w:pPr>
      <w:r>
        <w:t xml:space="preserve">This time, </w:t>
      </w:r>
      <w:r w:rsidR="00BA5CE4">
        <w:t>both ACF and PACF tail off. Specifically, the ACF damps down after lag 2, while the PACF has a spike at lag 2 then stays between two dotted lines after that.</w:t>
      </w:r>
      <w:r w:rsidR="00A63D69">
        <w:t xml:space="preserve"> The number of </w:t>
      </w:r>
      <w:r w:rsidR="007237B8">
        <w:t>lag 2</w:t>
      </w:r>
      <w:r w:rsidR="00A63D69">
        <w:t xml:space="preserve"> in PACF also determines the order of our candidate AR model. </w:t>
      </w:r>
      <w:r w:rsidR="000B63A2">
        <w:t>Hence, based</w:t>
      </w:r>
      <w:r w:rsidR="001A1DEB">
        <w:t xml:space="preserve"> on these two plots, we can deduce now the series is stationary</w:t>
      </w:r>
      <w:r w:rsidR="00FB0A9A">
        <w:t xml:space="preserve">, and an </w:t>
      </w:r>
      <w:proofErr w:type="gramStart"/>
      <w:r w:rsidR="00FB0A9A">
        <w:t>AR(</w:t>
      </w:r>
      <w:proofErr w:type="gramEnd"/>
      <w:r w:rsidR="00FB0A9A">
        <w:t>2) model could be an appropriate fit for the irregular components.</w:t>
      </w:r>
    </w:p>
    <w:p w14:paraId="6C37DD50" w14:textId="02103E15" w:rsidR="00F57E8E" w:rsidRPr="00F57E8E" w:rsidRDefault="00F57E8E" w:rsidP="00BA5CE4">
      <w:pPr>
        <w:pStyle w:val="BodyText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1D56F6A" wp14:editId="4F3BE3C9">
            <wp:extent cx="2903748" cy="3780000"/>
            <wp:effectExtent l="0" t="0" r="0" b="5080"/>
            <wp:docPr id="5" name="Picture 5" descr="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plot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748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CE4">
        <w:rPr>
          <w:noProof/>
          <w:lang w:eastAsia="zh-CN"/>
        </w:rPr>
        <w:drawing>
          <wp:inline distT="0" distB="0" distL="0" distR="0" wp14:anchorId="578D98A8" wp14:editId="61BB6F2F">
            <wp:extent cx="2833200" cy="3779114"/>
            <wp:effectExtent l="0" t="0" r="12065" b="5715"/>
            <wp:docPr id="6" name="Picture 6" descr="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plot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00" cy="377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A3BF" w14:textId="4680B194" w:rsidR="00BA5CE4" w:rsidRPr="00A63D69" w:rsidRDefault="00C37BE3" w:rsidP="00BA5CE4">
      <w:pPr>
        <w:pStyle w:val="BodyText"/>
        <w:rPr>
          <w:lang w:val="en-CA" w:eastAsia="zh-CN"/>
        </w:rPr>
      </w:pPr>
      <w:r>
        <w:t>So</w:t>
      </w:r>
      <w:r w:rsidR="00A64D85">
        <w:t xml:space="preserve"> after fitting an </w:t>
      </w:r>
      <w:proofErr w:type="gramStart"/>
      <w:r w:rsidR="00A64D85">
        <w:t>AR(</w:t>
      </w:r>
      <w:proofErr w:type="gramEnd"/>
      <w:r w:rsidR="00A64D85">
        <w:t xml:space="preserve">2) model, we check the ACF and PACF for the third time. </w:t>
      </w:r>
      <w:r w:rsidR="00A63D69">
        <w:t xml:space="preserve">The plot is straightforward and confirms the legitimacy of </w:t>
      </w:r>
      <w:proofErr w:type="gramStart"/>
      <w:r w:rsidR="00A63D69">
        <w:t>AR(</w:t>
      </w:r>
      <w:proofErr w:type="gramEnd"/>
      <w:r w:rsidR="00A63D69">
        <w:t xml:space="preserve">2) model. </w:t>
      </w:r>
    </w:p>
    <w:p w14:paraId="6A134AA0" w14:textId="14C95ECB" w:rsidR="00A64D85" w:rsidRPr="00BA5CE4" w:rsidRDefault="00A63D69" w:rsidP="00A63D69">
      <w:pPr>
        <w:pStyle w:val="BodyText"/>
      </w:pPr>
      <w:r>
        <w:t xml:space="preserve">In ACF, only lag 0 goes beyond the </w:t>
      </w:r>
      <w:r w:rsidR="00A64D85"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1EC81E23" wp14:editId="0CC529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33200" cy="3779113"/>
            <wp:effectExtent l="0" t="0" r="12065" b="5715"/>
            <wp:wrapTight wrapText="bothSides">
              <wp:wrapPolygon edited="0">
                <wp:start x="0" y="0"/>
                <wp:lineTo x="0" y="21487"/>
                <wp:lineTo x="21498" y="21487"/>
                <wp:lineTo x="21498" y="0"/>
                <wp:lineTo x="0" y="0"/>
              </wp:wrapPolygon>
            </wp:wrapTight>
            <wp:docPr id="7" name="Picture 7" descr="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plot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00" cy="377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dotted lines. As in PACF, all spikes stay within the </w:t>
      </w:r>
      <w:r w:rsidR="00B65719">
        <w:t>dotted lines.</w:t>
      </w:r>
    </w:p>
    <w:p w14:paraId="798009ED" w14:textId="512CCDAA" w:rsidR="00C37BE3" w:rsidRDefault="00CC495C">
      <w:pPr>
        <w:pStyle w:val="BodyText"/>
      </w:pPr>
      <w:r>
        <w:t>Last but not least, we need to check th</w:t>
      </w:r>
      <w:r w:rsidR="00EB435C">
        <w:t>e diagnostic plots of residuals:</w:t>
      </w:r>
    </w:p>
    <w:p w14:paraId="3EDACAB9" w14:textId="76666EC0" w:rsidR="00EB435C" w:rsidRDefault="00EB435C" w:rsidP="00EB435C">
      <w:pPr>
        <w:pStyle w:val="BodyText"/>
        <w:numPr>
          <w:ilvl w:val="0"/>
          <w:numId w:val="5"/>
        </w:numPr>
      </w:pPr>
      <w:r>
        <w:t>The residuals seem to have constant mean and variance.</w:t>
      </w:r>
    </w:p>
    <w:p w14:paraId="57A52AC3" w14:textId="0781994E" w:rsidR="00EB435C" w:rsidRDefault="00EB435C" w:rsidP="00EB435C">
      <w:pPr>
        <w:pStyle w:val="BodyText"/>
        <w:numPr>
          <w:ilvl w:val="0"/>
          <w:numId w:val="5"/>
        </w:numPr>
      </w:pPr>
      <w:r>
        <w:t>The residuals are normally distributed.</w:t>
      </w:r>
    </w:p>
    <w:p w14:paraId="543B7197" w14:textId="4E27B5F0" w:rsidR="00EB435C" w:rsidRDefault="00EB435C" w:rsidP="00EB435C">
      <w:pPr>
        <w:pStyle w:val="BodyText"/>
        <w:numPr>
          <w:ilvl w:val="0"/>
          <w:numId w:val="5"/>
        </w:numPr>
      </w:pPr>
      <w:r>
        <w:t>The absolute residuals look like random noise.</w:t>
      </w:r>
    </w:p>
    <w:p w14:paraId="6AF7D977" w14:textId="4C6566DC" w:rsidR="00185064" w:rsidRDefault="00185064" w:rsidP="00185064">
      <w:pPr>
        <w:pStyle w:val="BodyText"/>
      </w:pPr>
      <w:r>
        <w:t xml:space="preserve">So far, we believe this </w:t>
      </w:r>
      <w:proofErr w:type="gramStart"/>
      <w:r>
        <w:t>AR(</w:t>
      </w:r>
      <w:proofErr w:type="gramEnd"/>
      <w:r>
        <w:t xml:space="preserve">2) model is adequate. </w:t>
      </w:r>
    </w:p>
    <w:p w14:paraId="714DCD96" w14:textId="27C8764F" w:rsidR="00EB435C" w:rsidRDefault="00185064" w:rsidP="00FF29B9">
      <w:pPr>
        <w:pStyle w:val="BodyText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55CEA3B" wp14:editId="66B90024">
            <wp:extent cx="5127206" cy="3600000"/>
            <wp:effectExtent l="0" t="0" r="3810" b="6985"/>
            <wp:docPr id="8" name="Picture 8" descr="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plot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20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4708" w14:textId="211D4006" w:rsidR="00185064" w:rsidRDefault="00EB0B03" w:rsidP="00EB0B03">
      <w:pPr>
        <w:pStyle w:val="Heading2"/>
      </w:pPr>
      <w:bookmarkStart w:id="4" w:name="OLE_LINK4"/>
      <w:bookmarkStart w:id="5" w:name="OLE_LINK3"/>
      <w:bookmarkStart w:id="6" w:name="OLE_LINK5"/>
      <w:r>
        <w:t>4.</w:t>
      </w:r>
      <w:bookmarkEnd w:id="4"/>
      <w:r>
        <w:t xml:space="preserve"> Improving the Model</w:t>
      </w:r>
      <w:bookmarkEnd w:id="5"/>
      <w:bookmarkEnd w:id="6"/>
    </w:p>
    <w:p w14:paraId="56FAC61E" w14:textId="1BC5018D" w:rsidR="00BB1CCD" w:rsidRDefault="00BB1CCD">
      <w:pPr>
        <w:pStyle w:val="BodyText"/>
      </w:pPr>
      <w:r>
        <w:t xml:space="preserve">Here we plan to discuss the possibility of improving our </w:t>
      </w:r>
      <w:proofErr w:type="gramStart"/>
      <w:r>
        <w:t>AR(</w:t>
      </w:r>
      <w:proofErr w:type="gramEnd"/>
      <w:r>
        <w:t>2) model. Recall</w:t>
      </w:r>
      <w:r w:rsidR="00EB0B03">
        <w:t xml:space="preserve"> to the ACF and PACF plot</w:t>
      </w:r>
      <w:r>
        <w:t xml:space="preserve">s after taking first difference. If we take an ARIMA model into account, the plots not only suggest an order of </w:t>
      </w:r>
      <w:r w:rsidR="00E3441E">
        <w:t>autoregressive</w:t>
      </w:r>
      <w:r>
        <w:t xml:space="preserve"> terms </w:t>
      </w:r>
      <m:oMath>
        <m:r>
          <w:rPr>
            <w:rFonts w:ascii="Cambria Math" w:hAnsi="Cambria Math"/>
          </w:rPr>
          <m:t>q=2</m:t>
        </m:r>
      </m:oMath>
      <w:r w:rsidR="00784013">
        <w:t xml:space="preserve"> </w:t>
      </w:r>
      <w:r>
        <w:t xml:space="preserve">but also </w:t>
      </w:r>
      <w:r w:rsidR="00784013">
        <w:t xml:space="preserve">the order of moving average terms </w:t>
      </w:r>
      <m:oMath>
        <m:r>
          <w:rPr>
            <w:rFonts w:ascii="Cambria Math" w:hAnsi="Cambria Math"/>
          </w:rPr>
          <m:t>p=2</m:t>
        </m:r>
      </m:oMath>
      <w:r w:rsidR="00784013">
        <w:t xml:space="preserve">, </w:t>
      </w:r>
      <w:r>
        <w:t xml:space="preserve">thus </w:t>
      </w:r>
      <w:r w:rsidR="00784013">
        <w:t xml:space="preserve">we have an ARIMA model candidate as </w:t>
      </w:r>
      <w:proofErr w:type="gramStart"/>
      <w:r w:rsidR="00784013">
        <w:t>ARIMA(</w:t>
      </w:r>
      <w:proofErr w:type="gramEnd"/>
      <w:r w:rsidR="00784013">
        <w:t>2,1,2).</w:t>
      </w:r>
      <w:r>
        <w:t xml:space="preserve"> </w:t>
      </w:r>
      <w:r w:rsidR="00784013">
        <w:t xml:space="preserve">But it is possible that an AR term and an MA term can cancel each other’s effects, so we would also try </w:t>
      </w:r>
      <w:proofErr w:type="gramStart"/>
      <w:r w:rsidR="00784013">
        <w:t>ARIMA(</w:t>
      </w:r>
      <w:proofErr w:type="gramEnd"/>
      <w:r w:rsidR="00784013">
        <w:t>2,1,1) and ARIMA(1,1,2).</w:t>
      </w:r>
    </w:p>
    <w:p w14:paraId="3F0C941E" w14:textId="0FA0F592" w:rsidR="00AE19A1" w:rsidRPr="00BB1CCD" w:rsidRDefault="00BB1CCD">
      <w:pPr>
        <w:pStyle w:val="BodyText"/>
      </w:pPr>
      <w:r>
        <w:t xml:space="preserve">Due to page limit, we are not going to </w:t>
      </w:r>
      <w:r w:rsidR="00157325">
        <w:t>show the analytic comparison between</w:t>
      </w:r>
      <w:r>
        <w:t xml:space="preserve"> those three models with our </w:t>
      </w:r>
      <w:proofErr w:type="gramStart"/>
      <w:r>
        <w:t>ARIMA(</w:t>
      </w:r>
      <w:proofErr w:type="gramEnd"/>
      <w:r>
        <w:t>2,1,0) i.e. AR(2). But</w:t>
      </w:r>
      <w:r w:rsidR="00157325">
        <w:t xml:space="preserve"> the</w:t>
      </w:r>
      <w:r>
        <w:t xml:space="preserve"> idea is to produce the AIC and BIC values and find the model with the lowest values. If the v</w:t>
      </w:r>
      <w:bookmarkStart w:id="7" w:name="_GoBack"/>
      <w:bookmarkEnd w:id="7"/>
      <w:r>
        <w:t>alues are really close, we pick the simpler model by the principle of parsimony.</w:t>
      </w:r>
    </w:p>
    <w:p w14:paraId="307C8BD0" w14:textId="6EF25EED" w:rsidR="00FF29B9" w:rsidRPr="00FF29B9" w:rsidRDefault="002E2DE0" w:rsidP="00D15897">
      <w:pPr>
        <w:pStyle w:val="Heading2"/>
      </w:pPr>
      <w:r>
        <w:t>5. Conclusion</w:t>
      </w:r>
    </w:p>
    <w:p w14:paraId="1FAA161B" w14:textId="7D3A64FA" w:rsidR="002E2DE0" w:rsidRPr="00735B4E" w:rsidRDefault="00CD5371" w:rsidP="002E2DE0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=-849.8482+0.4383⋅t+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is the irregular series,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=-0.1245⋅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-0.2911⋅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t-2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14:paraId="255E1D57" w14:textId="6FD994C0" w:rsidR="00D15897" w:rsidRPr="00FE7364" w:rsidRDefault="00735B4E" w:rsidP="002E2DE0">
      <w:pPr>
        <w:pStyle w:val="BodyText"/>
        <w:rPr>
          <w:rFonts w:eastAsiaTheme="minorEastAsia"/>
          <w:lang w:val="en-CA" w:eastAsia="zh-CN"/>
        </w:rPr>
      </w:pPr>
      <w:r>
        <w:rPr>
          <w:rFonts w:eastAsiaTheme="minorEastAsia"/>
        </w:rPr>
        <w:t xml:space="preserve">Basically, we fit a linear trend and no seasonal component to the model and the residual of first difference follows an </w:t>
      </w:r>
      <w:proofErr w:type="gramStart"/>
      <w:r>
        <w:rPr>
          <w:rFonts w:eastAsiaTheme="minorEastAsia"/>
        </w:rPr>
        <w:t>AR(</w:t>
      </w:r>
      <w:proofErr w:type="gramEnd"/>
      <w:r>
        <w:rPr>
          <w:rFonts w:eastAsiaTheme="minorEastAsia"/>
        </w:rPr>
        <w:t>2) model</w:t>
      </w:r>
      <w:r w:rsidR="00B81169">
        <w:rPr>
          <w:rFonts w:eastAsiaTheme="minorEastAsia"/>
        </w:rPr>
        <w:t>. The calculated coefficients of terms are presented above.</w:t>
      </w:r>
      <w:r w:rsidR="00FE7364">
        <w:rPr>
          <w:rFonts w:eastAsiaTheme="minorEastAsia"/>
          <w:lang w:val="en-CA" w:eastAsia="zh-CN"/>
        </w:rPr>
        <w:t xml:space="preserve"> </w:t>
      </w:r>
      <w:r w:rsidR="00D15897">
        <w:rPr>
          <w:rFonts w:eastAsiaTheme="minorEastAsia"/>
        </w:rPr>
        <w:t xml:space="preserve">Generally, this model </w:t>
      </w:r>
      <w:r w:rsidR="00431064">
        <w:rPr>
          <w:rFonts w:eastAsiaTheme="minorEastAsia" w:hint="eastAsia"/>
          <w:lang w:eastAsia="zh-CN"/>
        </w:rPr>
        <w:t xml:space="preserve">gives </w:t>
      </w:r>
      <w:r w:rsidR="00D15897">
        <w:rPr>
          <w:rFonts w:eastAsiaTheme="minorEastAsia"/>
        </w:rPr>
        <w:t xml:space="preserve">us a relatively constant prediction </w:t>
      </w:r>
      <w:r w:rsidR="00431064">
        <w:rPr>
          <w:rFonts w:eastAsiaTheme="minorEastAsia"/>
        </w:rPr>
        <w:t xml:space="preserve">in coal. </w:t>
      </w:r>
      <w:r w:rsidR="00D15897">
        <w:rPr>
          <w:rFonts w:eastAsiaTheme="minorEastAsia"/>
        </w:rPr>
        <w:t xml:space="preserve">However, </w:t>
      </w:r>
      <w:r w:rsidR="00FA2FBA">
        <w:rPr>
          <w:rFonts w:eastAsiaTheme="minorEastAsia"/>
          <w:lang w:val="en-CA" w:eastAsia="zh-CN"/>
        </w:rPr>
        <w:t xml:space="preserve">man proposes, God disposes, </w:t>
      </w:r>
      <w:r w:rsidR="00431064">
        <w:rPr>
          <w:rFonts w:eastAsiaTheme="minorEastAsia"/>
        </w:rPr>
        <w:t xml:space="preserve">further study shows that the reality </w:t>
      </w:r>
      <w:r w:rsidR="00D15897">
        <w:rPr>
          <w:rFonts w:eastAsiaTheme="minorEastAsia"/>
        </w:rPr>
        <w:t xml:space="preserve">was </w:t>
      </w:r>
      <w:r w:rsidR="00431064">
        <w:rPr>
          <w:rFonts w:eastAsiaTheme="minorEastAsia"/>
        </w:rPr>
        <w:t xml:space="preserve">a </w:t>
      </w:r>
      <w:r w:rsidR="00D15897">
        <w:rPr>
          <w:rFonts w:eastAsiaTheme="minorEastAsia"/>
        </w:rPr>
        <w:t>skyrocketing</w:t>
      </w:r>
      <w:r w:rsidR="00431064">
        <w:rPr>
          <w:rFonts w:eastAsiaTheme="minorEastAsia"/>
        </w:rPr>
        <w:t xml:space="preserve"> increment</w:t>
      </w:r>
      <w:r w:rsidR="00D15897">
        <w:rPr>
          <w:rFonts w:eastAsiaTheme="minorEastAsia"/>
        </w:rPr>
        <w:t xml:space="preserve"> in the 1970s</w:t>
      </w:r>
      <w:r w:rsidR="000E78C5">
        <w:rPr>
          <w:rFonts w:eastAsiaTheme="minorEastAsia"/>
        </w:rPr>
        <w:t xml:space="preserve">. Hence, our model is not </w:t>
      </w:r>
      <w:r w:rsidR="000E78C5" w:rsidRPr="000E78C5">
        <w:rPr>
          <w:rFonts w:eastAsiaTheme="minorEastAsia"/>
        </w:rPr>
        <w:t>omnipotent</w:t>
      </w:r>
      <w:r w:rsidR="002D5CAE">
        <w:rPr>
          <w:rFonts w:eastAsiaTheme="minorEastAsia"/>
        </w:rPr>
        <w:t xml:space="preserve"> based on a rather simple </w:t>
      </w:r>
      <w:r w:rsidR="000E78C5">
        <w:rPr>
          <w:rFonts w:eastAsiaTheme="minorEastAsia"/>
        </w:rPr>
        <w:t>structure.</w:t>
      </w:r>
      <w:r w:rsidR="00431064">
        <w:rPr>
          <w:rFonts w:eastAsiaTheme="minorEastAsia"/>
        </w:rPr>
        <w:t xml:space="preserve"> </w:t>
      </w:r>
    </w:p>
    <w:sectPr w:rsidR="00D15897" w:rsidRPr="00FE73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EDFE4" w14:textId="77777777" w:rsidR="00CD5371" w:rsidRDefault="00CD5371">
      <w:pPr>
        <w:spacing w:after="0"/>
      </w:pPr>
      <w:r>
        <w:separator/>
      </w:r>
    </w:p>
  </w:endnote>
  <w:endnote w:type="continuationSeparator" w:id="0">
    <w:p w14:paraId="13758165" w14:textId="77777777" w:rsidR="00CD5371" w:rsidRDefault="00CD53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7A8D6" w14:textId="77777777" w:rsidR="00CD5371" w:rsidRDefault="00CD5371">
      <w:r>
        <w:separator/>
      </w:r>
    </w:p>
  </w:footnote>
  <w:footnote w:type="continuationSeparator" w:id="0">
    <w:p w14:paraId="143A31C6" w14:textId="77777777" w:rsidR="00CD5371" w:rsidRDefault="00CD5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26667E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FFD3B4"/>
    <w:multiLevelType w:val="multilevel"/>
    <w:tmpl w:val="3D729B1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D74AD6"/>
    <w:multiLevelType w:val="multilevel"/>
    <w:tmpl w:val="F852E2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2673DFC"/>
    <w:multiLevelType w:val="hybridMultilevel"/>
    <w:tmpl w:val="2DA0C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F00B31"/>
    <w:multiLevelType w:val="hybridMultilevel"/>
    <w:tmpl w:val="4718D66C"/>
    <w:lvl w:ilvl="0" w:tplc="B914BFF8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52C4"/>
    <w:rsid w:val="000926CC"/>
    <w:rsid w:val="000B63A2"/>
    <w:rsid w:val="000E78C5"/>
    <w:rsid w:val="000E7C13"/>
    <w:rsid w:val="00157325"/>
    <w:rsid w:val="00181116"/>
    <w:rsid w:val="00185064"/>
    <w:rsid w:val="001A1DEB"/>
    <w:rsid w:val="001F0029"/>
    <w:rsid w:val="002508B4"/>
    <w:rsid w:val="002D5CAE"/>
    <w:rsid w:val="002E2DE0"/>
    <w:rsid w:val="00300307"/>
    <w:rsid w:val="00326D06"/>
    <w:rsid w:val="003305BB"/>
    <w:rsid w:val="003957C5"/>
    <w:rsid w:val="003B7ACC"/>
    <w:rsid w:val="003F2BD2"/>
    <w:rsid w:val="00431064"/>
    <w:rsid w:val="00467374"/>
    <w:rsid w:val="004830BF"/>
    <w:rsid w:val="00493D43"/>
    <w:rsid w:val="004B79C8"/>
    <w:rsid w:val="004E29B3"/>
    <w:rsid w:val="00511C03"/>
    <w:rsid w:val="00586D28"/>
    <w:rsid w:val="00590D07"/>
    <w:rsid w:val="0062336B"/>
    <w:rsid w:val="00627002"/>
    <w:rsid w:val="00686293"/>
    <w:rsid w:val="006C7FB4"/>
    <w:rsid w:val="007237B8"/>
    <w:rsid w:val="00725C2A"/>
    <w:rsid w:val="00735B4E"/>
    <w:rsid w:val="00784013"/>
    <w:rsid w:val="00784D58"/>
    <w:rsid w:val="00847F7D"/>
    <w:rsid w:val="008C1480"/>
    <w:rsid w:val="008D6863"/>
    <w:rsid w:val="009824BE"/>
    <w:rsid w:val="00A63D69"/>
    <w:rsid w:val="00A64D85"/>
    <w:rsid w:val="00AE19A1"/>
    <w:rsid w:val="00B65719"/>
    <w:rsid w:val="00B81169"/>
    <w:rsid w:val="00B86B75"/>
    <w:rsid w:val="00BA5CE4"/>
    <w:rsid w:val="00BB1CCD"/>
    <w:rsid w:val="00BC48D5"/>
    <w:rsid w:val="00C36279"/>
    <w:rsid w:val="00C37BE3"/>
    <w:rsid w:val="00CC495C"/>
    <w:rsid w:val="00CD5371"/>
    <w:rsid w:val="00D14A68"/>
    <w:rsid w:val="00D15897"/>
    <w:rsid w:val="00D9639D"/>
    <w:rsid w:val="00E315A3"/>
    <w:rsid w:val="00E3441E"/>
    <w:rsid w:val="00E3685C"/>
    <w:rsid w:val="00EB0B03"/>
    <w:rsid w:val="00EB435C"/>
    <w:rsid w:val="00ED3BDB"/>
    <w:rsid w:val="00F57E8E"/>
    <w:rsid w:val="00FA2FBA"/>
    <w:rsid w:val="00FB0A9A"/>
    <w:rsid w:val="00FE7364"/>
    <w:rsid w:val="00FF29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8D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2" w:uiPriority="9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2Char">
    <w:name w:val="Heading 2 Char"/>
    <w:basedOn w:val="DefaultParagraphFont"/>
    <w:link w:val="Heading2"/>
    <w:uiPriority w:val="9"/>
    <w:rsid w:val="002508B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BA5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1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745</Words>
  <Characters>4250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STAT7026 Assignment 2</vt:lpstr>
    </vt:vector>
  </TitlesOfParts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STAT7026 Assignment 2</dc:title>
  <dc:creator>Rui Qiu</dc:creator>
  <cp:lastModifiedBy>Rui Qiu</cp:lastModifiedBy>
  <cp:revision>33</cp:revision>
  <dcterms:created xsi:type="dcterms:W3CDTF">2017-10-13T13:22:00Z</dcterms:created>
  <dcterms:modified xsi:type="dcterms:W3CDTF">2017-10-23T03:13:00Z</dcterms:modified>
</cp:coreProperties>
</file>