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294005</wp:posOffset>
            </wp:positionV>
            <wp:extent cx="773430" cy="818515"/>
            <wp:effectExtent b="0" l="0" r="0" t="0"/>
            <wp:wrapNone/>
            <wp:docPr descr="bsu main logo" id="1" name="image1.png"/>
            <a:graphic>
              <a:graphicData uri="http://schemas.openxmlformats.org/drawingml/2006/picture">
                <pic:pic>
                  <pic:nvPicPr>
                    <pic:cNvPr descr="bsu main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818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4219575</wp:posOffset>
            </wp:positionH>
            <wp:positionV relativeFrom="paragraph">
              <wp:posOffset>314325</wp:posOffset>
            </wp:positionV>
            <wp:extent cx="819150" cy="81724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7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Bulacan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Meneses Campus</w:t>
      </w:r>
    </w:p>
    <w:p w:rsidR="00000000" w:rsidDel="00000000" w:rsidP="00000000" w:rsidRDefault="00000000" w:rsidRPr="00000000" w14:paraId="00000004">
      <w:pP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TJS., Matungao, Bulakan, Bulacan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Tel. No. (044) 792- 26-61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www.bulsu.edu.ph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RAYMUND P. LAPUZ </w:t>
        <w:tab/>
        <w:tab/>
        <w:tab/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DATE:__________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COURSE/ YEAR: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BSIT - 4B</w:t>
        <w:tab/>
        <w:tab/>
        <w:tab/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SCORE:______/95</w:t>
      </w:r>
    </w:p>
    <w:p w:rsidR="00000000" w:rsidDel="00000000" w:rsidP="00000000" w:rsidRDefault="00000000" w:rsidRPr="00000000" w14:paraId="0000000A">
      <w:pPr>
        <w:keepNext w:val="1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GENDER AND SOCIETY</w:t>
      </w:r>
    </w:p>
    <w:p w:rsidR="00000000" w:rsidDel="00000000" w:rsidP="00000000" w:rsidRDefault="00000000" w:rsidRPr="00000000" w14:paraId="0000000C">
      <w:pPr>
        <w:keepNext w:val="1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TEST (Chapter 1) 1st Semester, S.Y. 2023-2024</w:t>
      </w:r>
    </w:p>
    <w:p w:rsidR="00000000" w:rsidDel="00000000" w:rsidP="00000000" w:rsidRDefault="00000000" w:rsidRPr="00000000" w14:paraId="0000000D">
      <w:pPr>
        <w:keepNext w:val="1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I. Multiple Choice.  (10 pts) Encircle the correct answer.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1. Gender as a social construction, its role in and impact on different facets of societal life.             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a. Gender and Society                  b. Gender and Technology                        c. Gender and Politics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2. “________” refers to the physical differences between people who are male, female, or intersex. 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a. sex                    b. gender                        c. age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B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3. ________ on the other hand, involves how a person identifies.              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a. sex                    b. gender                        c. age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4. A _________is a group of individuals involved in persistent social interaction, or a large social group sharing the same spatial or social territory, typically subject to the same political authority and dominant cultural expectations.               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a. society                 b. government       c. population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C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5. ________ focus on social construction of identities within the household, it also reveals the expectations from ‘maleness and femaleness’ in their relative access to resources. 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a. Gender Bias         b. Gender Bias         c.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Gender Role              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B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6. _______refers to the socially constructed characteristics of women and men, such as norms, roles, and relationships of and between groups of women and men.               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a. sex                    b. gender                        c. age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C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7. ___________ as the development perspective and process that is participatory and empowering, equitable, sustainable, free from violence, respectful of human rights, supportive of self-determination and actualization of human potentials.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a. science and development         b. science and technology          c. gender and development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Calibri" w:cs="Calibri" w:eastAsia="Calibri" w:hAnsi="Calibri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B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8. _________ exposes the social dimensions of hierarchical power relations imbedded in social institutions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a. Political relations analysis         b. Social relations analysis         c. social impact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B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9. Philippine Plan for Gender and Development, 1995-2025, is a ________ that addresses, provides and pursues full equality and development for men and women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a. Barangay  Plan                 b. National Plan                             c. Provincial Plan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B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10. Republic Act No. 9710, otherwise known as the Magna Carta of __________           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a. Teachers                  b. Women                                 c. Disabled Persons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II.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 or False. Write T if the statement is true and if false underline the word that makes the statement false and write the correct word on the space provided before each number. (20pts)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1. A person typically has their sex assigned at birth based on physiological characteristics, including their genitalia and chromosome composition. 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Calibri" w:cs="Calibri" w:eastAsia="Calibri" w:hAnsi="Calibri"/>
          <w:b w:val="1"/>
          <w:color w:val="00b0f0"/>
        </w:rPr>
      </w:pPr>
      <w:r w:rsidDel="00000000" w:rsidR="00000000" w:rsidRPr="00000000">
        <w:rPr>
          <w:b w:val="1"/>
          <w:rtl w:val="0"/>
        </w:rPr>
        <w:t xml:space="preserve">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2. This assigned sex is called a person’s “natal sex.”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3. Gender also exists as social constructs — as gender “roles” or “norms.” 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4. Gender stereotypes are generalizations about the roles of each gender.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5. Since each person has individual desires, thoughts, and feelings, regardless of their gender. 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6. Gender roles are generally neither positive nor negative, they are simply inaccurate generalizations of the male and female attributes.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State refers to all instrumentalities of the government and encompasses executive, legislative, judicial and administrative structures as well as LGUs 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8. Obligation of “means” – means to comply with implementation 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9. RA 9262  is  also known as Anti-VAWC Law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RA 9710  is the Magna Carta of Women Law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Calibri" w:cs="Calibri" w:eastAsia="Calibri" w:hAnsi="Calibri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by: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 MARIA G. FELIZARDO, M.A.T.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Instructor,  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Noted: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MARITA R. PAROBROB, Ph.D.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Campus Dean/Administrator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8824" w:w="12242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buls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