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CA37F8B" w14:textId="77777777" w:rsidR="006E4F45" w:rsidRDefault="006E4F45"/>
    <w:p w14:paraId="5760E02B" w14:textId="77777777" w:rsidR="006E4F45" w:rsidRDefault="006E4F45">
      <w:pPr>
        <w:jc w:val="center"/>
      </w:pPr>
    </w:p>
    <w:p w14:paraId="3A84C862" w14:textId="77777777" w:rsidR="006E4F45" w:rsidRDefault="00B15C20">
      <w:pPr>
        <w:pStyle w:val="Title"/>
        <w:contextualSpacing w:val="0"/>
        <w:jc w:val="center"/>
      </w:pPr>
      <w:bookmarkStart w:id="0" w:name="_hku3viz0rzgx" w:colFirst="0" w:colLast="0"/>
      <w:bookmarkEnd w:id="0"/>
      <w:proofErr w:type="spellStart"/>
      <w:r>
        <w:rPr>
          <w:sz w:val="60"/>
          <w:szCs w:val="60"/>
        </w:rPr>
        <w:t>MyData</w:t>
      </w:r>
      <w:proofErr w:type="spellEnd"/>
      <w:r>
        <w:rPr>
          <w:sz w:val="60"/>
          <w:szCs w:val="60"/>
        </w:rPr>
        <w:t xml:space="preserve"> Architecture</w:t>
      </w:r>
    </w:p>
    <w:p w14:paraId="13082D9F" w14:textId="77777777" w:rsidR="006E4F45" w:rsidRDefault="00B15C20">
      <w:pPr>
        <w:jc w:val="center"/>
      </w:pPr>
      <w:r>
        <w:rPr>
          <w:rFonts w:ascii="Trebuchet MS" w:eastAsia="Trebuchet MS" w:hAnsi="Trebuchet MS" w:cs="Trebuchet MS"/>
          <w:sz w:val="42"/>
          <w:szCs w:val="42"/>
        </w:rPr>
        <w:t>Consent Based Approach for Personal Data Management</w:t>
      </w:r>
    </w:p>
    <w:p w14:paraId="3BCAF452" w14:textId="77777777" w:rsidR="006E4F45" w:rsidRDefault="006E4F45">
      <w:pPr>
        <w:jc w:val="center"/>
      </w:pPr>
    </w:p>
    <w:p w14:paraId="740BB32B" w14:textId="77777777" w:rsidR="006E4F45" w:rsidRDefault="00B15C20">
      <w:pPr>
        <w:jc w:val="center"/>
      </w:pPr>
      <w:r>
        <w:rPr>
          <w:rFonts w:ascii="Trebuchet MS" w:eastAsia="Trebuchet MS" w:hAnsi="Trebuchet MS" w:cs="Trebuchet MS"/>
          <w:sz w:val="42"/>
          <w:szCs w:val="42"/>
        </w:rPr>
        <w:t>Release 1.2</w:t>
      </w:r>
    </w:p>
    <w:p w14:paraId="7FE58076" w14:textId="77777777" w:rsidR="006E4F45" w:rsidRDefault="00B15C20">
      <w:pPr>
        <w:jc w:val="center"/>
      </w:pPr>
      <w:r>
        <w:rPr>
          <w:noProof/>
        </w:rPr>
        <w:drawing>
          <wp:inline distT="114300" distB="114300" distL="114300" distR="114300" wp14:anchorId="4F711640" wp14:editId="406F857E">
            <wp:extent cx="2224088" cy="2185741"/>
            <wp:effectExtent l="0" t="0" r="0" b="0"/>
            <wp:docPr id="9" name="image18.png" descr="Screen Shot 2015-04-30 at 08.56.09.png"/>
            <wp:cNvGraphicFramePr/>
            <a:graphic xmlns:a="http://schemas.openxmlformats.org/drawingml/2006/main">
              <a:graphicData uri="http://schemas.openxmlformats.org/drawingml/2006/picture">
                <pic:pic xmlns:pic="http://schemas.openxmlformats.org/drawingml/2006/picture">
                  <pic:nvPicPr>
                    <pic:cNvPr id="0" name="image18.png" descr="Screen Shot 2015-04-30 at 08.56.09.png"/>
                    <pic:cNvPicPr preferRelativeResize="0"/>
                  </pic:nvPicPr>
                  <pic:blipFill>
                    <a:blip r:embed="rId7"/>
                    <a:srcRect/>
                    <a:stretch>
                      <a:fillRect/>
                    </a:stretch>
                  </pic:blipFill>
                  <pic:spPr>
                    <a:xfrm>
                      <a:off x="0" y="0"/>
                      <a:ext cx="2224088" cy="2185741"/>
                    </a:xfrm>
                    <a:prstGeom prst="rect">
                      <a:avLst/>
                    </a:prstGeom>
                    <a:ln/>
                  </pic:spPr>
                </pic:pic>
              </a:graphicData>
            </a:graphic>
          </wp:inline>
        </w:drawing>
      </w:r>
    </w:p>
    <w:p w14:paraId="227E3B36" w14:textId="77777777" w:rsidR="006E4F45" w:rsidRDefault="006E4F45"/>
    <w:p w14:paraId="5FB24255" w14:textId="77777777" w:rsidR="006E4F45" w:rsidRDefault="006E4F45"/>
    <w:p w14:paraId="54A7AE2A" w14:textId="77777777" w:rsidR="006E4F45" w:rsidRDefault="006E4F45"/>
    <w:p w14:paraId="3FD161B1" w14:textId="77777777" w:rsidR="006E4F45" w:rsidRDefault="006E4F45"/>
    <w:p w14:paraId="5E9D945F" w14:textId="77777777" w:rsidR="006E4F45" w:rsidRDefault="006E4F45"/>
    <w:p w14:paraId="5E51EEE1" w14:textId="77777777" w:rsidR="006E4F45" w:rsidRDefault="00B15C20">
      <w:r>
        <w:rPr>
          <w:b/>
        </w:rPr>
        <w:t>Authors:</w:t>
      </w:r>
    </w:p>
    <w:p w14:paraId="08461CF0" w14:textId="77777777" w:rsidR="006E4F45" w:rsidRDefault="00B15C20">
      <w:r>
        <w:t xml:space="preserve">Anette </w:t>
      </w:r>
      <w:proofErr w:type="spellStart"/>
      <w:r>
        <w:t>Alén-Savikko</w:t>
      </w:r>
      <w:proofErr w:type="spellEnd"/>
      <w:r>
        <w:tab/>
        <w:t>Aalto University / Helsinki Institute for Information Technology HIIT</w:t>
      </w:r>
    </w:p>
    <w:p w14:paraId="04D0C595" w14:textId="77777777" w:rsidR="006E4F45" w:rsidRDefault="00B15C20">
      <w:r>
        <w:t xml:space="preserve">Nomi </w:t>
      </w:r>
      <w:proofErr w:type="spellStart"/>
      <w:r>
        <w:t>Byström</w:t>
      </w:r>
      <w:proofErr w:type="spellEnd"/>
      <w:r>
        <w:tab/>
      </w:r>
      <w:r>
        <w:tab/>
        <w:t xml:space="preserve">Aalto University / Helsinki </w:t>
      </w:r>
      <w:r>
        <w:t>Institute for Information Technology HIIT</w:t>
      </w:r>
    </w:p>
    <w:p w14:paraId="5838A6EA" w14:textId="77777777" w:rsidR="006E4F45" w:rsidRDefault="00B15C20">
      <w:r>
        <w:t xml:space="preserve">Harri </w:t>
      </w:r>
      <w:proofErr w:type="spellStart"/>
      <w:r>
        <w:t>Hirvonsalo</w:t>
      </w:r>
      <w:proofErr w:type="spellEnd"/>
      <w:r>
        <w:tab/>
        <w:t>University of Oulu</w:t>
      </w:r>
    </w:p>
    <w:p w14:paraId="10684B48" w14:textId="77777777" w:rsidR="006E4F45" w:rsidRDefault="00B15C20">
      <w:r>
        <w:t>Harri Honko</w:t>
      </w:r>
      <w:r>
        <w:tab/>
      </w:r>
      <w:r>
        <w:tab/>
        <w:t>Tampere University of Technology</w:t>
      </w:r>
    </w:p>
    <w:p w14:paraId="0C1CCEB1" w14:textId="77777777" w:rsidR="006E4F45" w:rsidRDefault="00B15C20">
      <w:r>
        <w:t xml:space="preserve">Antti </w:t>
      </w:r>
      <w:proofErr w:type="spellStart"/>
      <w:r>
        <w:t>Kallonen</w:t>
      </w:r>
      <w:proofErr w:type="spellEnd"/>
      <w:r>
        <w:tab/>
      </w:r>
      <w:r>
        <w:tab/>
        <w:t>Tampere University of Technology</w:t>
      </w:r>
    </w:p>
    <w:p w14:paraId="4832255B" w14:textId="77777777" w:rsidR="006E4F45" w:rsidRDefault="00B15C20">
      <w:proofErr w:type="spellStart"/>
      <w:r>
        <w:t>Yki</w:t>
      </w:r>
      <w:proofErr w:type="spellEnd"/>
      <w:r>
        <w:t xml:space="preserve"> </w:t>
      </w:r>
      <w:proofErr w:type="spellStart"/>
      <w:r>
        <w:t>Kortesniemi</w:t>
      </w:r>
      <w:proofErr w:type="spellEnd"/>
      <w:r>
        <w:tab/>
        <w:t>Aalto University / Helsinki Institute for Information Technology HI</w:t>
      </w:r>
      <w:r>
        <w:t>IT</w:t>
      </w:r>
    </w:p>
    <w:p w14:paraId="46CFF1B8" w14:textId="77777777" w:rsidR="006E4F45" w:rsidRDefault="00B15C20">
      <w:r>
        <w:t xml:space="preserve">Kai </w:t>
      </w:r>
      <w:proofErr w:type="spellStart"/>
      <w:r>
        <w:t>Kuikkaniemi</w:t>
      </w:r>
      <w:proofErr w:type="spellEnd"/>
      <w:r>
        <w:tab/>
        <w:t>Aalto University / Helsinki Institute for Information Technology HIIT</w:t>
      </w:r>
    </w:p>
    <w:p w14:paraId="3278FBA2" w14:textId="77777777" w:rsidR="006E4F45" w:rsidRDefault="00B15C20">
      <w:proofErr w:type="spellStart"/>
      <w:r>
        <w:t>Tuomas</w:t>
      </w:r>
      <w:proofErr w:type="spellEnd"/>
      <w:r>
        <w:t xml:space="preserve"> </w:t>
      </w:r>
      <w:proofErr w:type="spellStart"/>
      <w:r>
        <w:t>Paaso</w:t>
      </w:r>
      <w:proofErr w:type="spellEnd"/>
      <w:r>
        <w:tab/>
      </w:r>
      <w:r>
        <w:tab/>
        <w:t>VTT Oy</w:t>
      </w:r>
    </w:p>
    <w:p w14:paraId="665A3CE2" w14:textId="77777777" w:rsidR="006E4F45" w:rsidRDefault="00B15C20">
      <w:r>
        <w:t xml:space="preserve">Olli </w:t>
      </w:r>
      <w:proofErr w:type="spellStart"/>
      <w:r>
        <w:t>Pitkänen</w:t>
      </w:r>
      <w:proofErr w:type="spellEnd"/>
      <w:r>
        <w:tab/>
      </w:r>
      <w:r>
        <w:tab/>
        <w:t>Aalto University / Helsinki Institute for Information Technology HIIT</w:t>
      </w:r>
    </w:p>
    <w:p w14:paraId="2EDE8B6F" w14:textId="77777777" w:rsidR="006E4F45" w:rsidRDefault="00B15C20">
      <w:r>
        <w:t xml:space="preserve">Antti </w:t>
      </w:r>
      <w:proofErr w:type="spellStart"/>
      <w:r>
        <w:t>Poikola</w:t>
      </w:r>
      <w:proofErr w:type="spellEnd"/>
      <w:r>
        <w:tab/>
      </w:r>
      <w:r>
        <w:tab/>
        <w:t>Aalto University / Helsinki Institute for Info</w:t>
      </w:r>
      <w:r>
        <w:t>rmation Technology HIIT</w:t>
      </w:r>
    </w:p>
    <w:p w14:paraId="2A97F94B" w14:textId="77777777" w:rsidR="006E4F45" w:rsidRDefault="00B15C20">
      <w:proofErr w:type="spellStart"/>
      <w:r>
        <w:t>Samuli</w:t>
      </w:r>
      <w:proofErr w:type="spellEnd"/>
      <w:r>
        <w:t xml:space="preserve"> </w:t>
      </w:r>
      <w:proofErr w:type="spellStart"/>
      <w:r>
        <w:t>Tuoriniemi</w:t>
      </w:r>
      <w:proofErr w:type="spellEnd"/>
      <w:r>
        <w:tab/>
        <w:t>University of Oulu</w:t>
      </w:r>
    </w:p>
    <w:p w14:paraId="23436F2A" w14:textId="77777777" w:rsidR="006E4F45" w:rsidRDefault="00B15C20">
      <w:r>
        <w:t xml:space="preserve">Sari </w:t>
      </w:r>
      <w:proofErr w:type="spellStart"/>
      <w:r>
        <w:t>Vainikainen</w:t>
      </w:r>
      <w:proofErr w:type="spellEnd"/>
      <w:r>
        <w:t xml:space="preserve"> </w:t>
      </w:r>
      <w:r>
        <w:tab/>
        <w:t>VTT Oy</w:t>
      </w:r>
    </w:p>
    <w:p w14:paraId="6D0C6B95" w14:textId="77777777" w:rsidR="006E4F45" w:rsidRDefault="00B15C20">
      <w:r>
        <w:rPr>
          <w:rFonts w:ascii="Trebuchet MS" w:eastAsia="Trebuchet MS" w:hAnsi="Trebuchet MS" w:cs="Trebuchet MS"/>
          <w:sz w:val="32"/>
          <w:szCs w:val="32"/>
        </w:rPr>
        <w:t>Table of contents</w:t>
      </w:r>
    </w:p>
    <w:p w14:paraId="10881E5B" w14:textId="77777777" w:rsidR="006E4F45" w:rsidRDefault="006E4F45"/>
    <w:p w14:paraId="510139D6" w14:textId="77777777" w:rsidR="006E4F45" w:rsidRDefault="00B15C20">
      <w:pPr>
        <w:ind w:left="360"/>
      </w:pPr>
      <w:hyperlink w:anchor="_yfkncnp8cl2r">
        <w:r>
          <w:rPr>
            <w:color w:val="1155CC"/>
            <w:u w:val="single"/>
          </w:rPr>
          <w:t>1. Introduction</w:t>
        </w:r>
      </w:hyperlink>
    </w:p>
    <w:p w14:paraId="3714AA19" w14:textId="77777777" w:rsidR="006E4F45" w:rsidRDefault="00B15C20">
      <w:pPr>
        <w:ind w:left="360"/>
      </w:pPr>
      <w:hyperlink w:anchor="_8v0s5ch75kyr">
        <w:r>
          <w:rPr>
            <w:color w:val="1155CC"/>
            <w:u w:val="single"/>
          </w:rPr>
          <w:t xml:space="preserve">2. </w:t>
        </w:r>
        <w:proofErr w:type="spellStart"/>
        <w:r>
          <w:rPr>
            <w:color w:val="1155CC"/>
            <w:u w:val="single"/>
          </w:rPr>
          <w:t>MyData</w:t>
        </w:r>
        <w:proofErr w:type="spellEnd"/>
        <w:r>
          <w:rPr>
            <w:color w:val="1155CC"/>
            <w:u w:val="single"/>
          </w:rPr>
          <w:t xml:space="preserve"> Architecture overview</w:t>
        </w:r>
      </w:hyperlink>
    </w:p>
    <w:p w14:paraId="2ECE5561" w14:textId="77777777" w:rsidR="006E4F45" w:rsidRDefault="00B15C20">
      <w:pPr>
        <w:ind w:left="720"/>
      </w:pPr>
      <w:hyperlink w:anchor="_6mfx9ut90v20">
        <w:r>
          <w:rPr>
            <w:color w:val="1155CC"/>
            <w:u w:val="single"/>
          </w:rPr>
          <w:t>2.1 Core Concepts</w:t>
        </w:r>
      </w:hyperlink>
    </w:p>
    <w:p w14:paraId="3CAE2AFA" w14:textId="77777777" w:rsidR="006E4F45" w:rsidRDefault="00B15C20">
      <w:pPr>
        <w:ind w:left="1080"/>
      </w:pPr>
      <w:hyperlink w:anchor="_2lpr9vrq6eky">
        <w:r>
          <w:rPr>
            <w:color w:val="1155CC"/>
            <w:u w:val="single"/>
          </w:rPr>
          <w:t xml:space="preserve">2.1.1 </w:t>
        </w:r>
        <w:proofErr w:type="spellStart"/>
        <w:r>
          <w:rPr>
            <w:color w:val="1155CC"/>
            <w:u w:val="single"/>
          </w:rPr>
          <w:t>MyData</w:t>
        </w:r>
        <w:proofErr w:type="spellEnd"/>
        <w:r>
          <w:rPr>
            <w:color w:val="1155CC"/>
            <w:u w:val="single"/>
          </w:rPr>
          <w:t xml:space="preserve"> Account</w:t>
        </w:r>
      </w:hyperlink>
    </w:p>
    <w:p w14:paraId="00B39044" w14:textId="77777777" w:rsidR="006E4F45" w:rsidRDefault="00B15C20">
      <w:pPr>
        <w:ind w:left="1080"/>
      </w:pPr>
      <w:hyperlink w:anchor="_s0qd6k3bipp1">
        <w:r>
          <w:rPr>
            <w:color w:val="1155CC"/>
            <w:u w:val="single"/>
          </w:rPr>
          <w:t>2.1.2 Operational Roles</w:t>
        </w:r>
      </w:hyperlink>
    </w:p>
    <w:p w14:paraId="03B23335" w14:textId="77777777" w:rsidR="006E4F45" w:rsidRDefault="00B15C20">
      <w:pPr>
        <w:ind w:left="1080"/>
      </w:pPr>
      <w:hyperlink w:anchor="_nhlivb5ozd8n">
        <w:r>
          <w:rPr>
            <w:color w:val="1155CC"/>
            <w:u w:val="single"/>
          </w:rPr>
          <w:t>2.1.3 Mapping the operational roles with legal role</w:t>
        </w:r>
        <w:r>
          <w:rPr>
            <w:color w:val="1155CC"/>
            <w:u w:val="single"/>
          </w:rPr>
          <w:t>s</w:t>
        </w:r>
      </w:hyperlink>
    </w:p>
    <w:p w14:paraId="66633C10" w14:textId="77777777" w:rsidR="006E4F45" w:rsidRDefault="00B15C20">
      <w:pPr>
        <w:ind w:left="720"/>
      </w:pPr>
      <w:hyperlink w:anchor="_q4asphmeffao">
        <w:r>
          <w:rPr>
            <w:color w:val="1155CC"/>
            <w:u w:val="single"/>
          </w:rPr>
          <w:t>2.2. Use Case</w:t>
        </w:r>
      </w:hyperlink>
    </w:p>
    <w:p w14:paraId="080425EA" w14:textId="77777777" w:rsidR="006E4F45" w:rsidRDefault="00B15C20">
      <w:pPr>
        <w:ind w:left="720"/>
      </w:pPr>
      <w:hyperlink w:anchor="_g3dgacgckvl5">
        <w:r>
          <w:rPr>
            <w:color w:val="1155CC"/>
            <w:u w:val="single"/>
          </w:rPr>
          <w:t>2.3. Transactions</w:t>
        </w:r>
      </w:hyperlink>
    </w:p>
    <w:p w14:paraId="222F2C0B" w14:textId="77777777" w:rsidR="006E4F45" w:rsidRDefault="00B15C20">
      <w:pPr>
        <w:ind w:left="720"/>
      </w:pPr>
      <w:hyperlink w:anchor="_koe8c9f3rfz2">
        <w:r>
          <w:rPr>
            <w:color w:val="1155CC"/>
            <w:u w:val="single"/>
          </w:rPr>
          <w:t>2.4. Key Related standards</w:t>
        </w:r>
      </w:hyperlink>
    </w:p>
    <w:p w14:paraId="06B97805" w14:textId="77777777" w:rsidR="006E4F45" w:rsidRDefault="00B15C20">
      <w:pPr>
        <w:ind w:left="360"/>
      </w:pPr>
      <w:hyperlink w:anchor="_amaduladeuum">
        <w:r>
          <w:rPr>
            <w:color w:val="1155CC"/>
            <w:u w:val="single"/>
          </w:rPr>
          <w:t xml:space="preserve">3. </w:t>
        </w:r>
        <w:proofErr w:type="spellStart"/>
        <w:r>
          <w:rPr>
            <w:color w:val="1155CC"/>
            <w:u w:val="single"/>
          </w:rPr>
          <w:t>MyData</w:t>
        </w:r>
        <w:proofErr w:type="spellEnd"/>
        <w:r>
          <w:rPr>
            <w:color w:val="1155CC"/>
            <w:u w:val="single"/>
          </w:rPr>
          <w:t xml:space="preserve"> Account</w:t>
        </w:r>
      </w:hyperlink>
    </w:p>
    <w:p w14:paraId="143DF903" w14:textId="77777777" w:rsidR="006E4F45" w:rsidRDefault="00B15C20">
      <w:pPr>
        <w:ind w:left="360"/>
      </w:pPr>
      <w:hyperlink w:anchor="_ycmyid1smpqb">
        <w:r>
          <w:rPr>
            <w:color w:val="1155CC"/>
            <w:u w:val="single"/>
          </w:rPr>
          <w:t>4. Service Registration and Service Discovery</w:t>
        </w:r>
      </w:hyperlink>
    </w:p>
    <w:p w14:paraId="2886AD7A" w14:textId="77777777" w:rsidR="006E4F45" w:rsidRDefault="00B15C20">
      <w:pPr>
        <w:ind w:left="720"/>
      </w:pPr>
      <w:hyperlink w:anchor="_4tzdniws3prq">
        <w:r>
          <w:rPr>
            <w:color w:val="1155CC"/>
            <w:u w:val="single"/>
          </w:rPr>
          <w:t>4.1 Service Description</w:t>
        </w:r>
      </w:hyperlink>
    </w:p>
    <w:p w14:paraId="51B9DC70" w14:textId="77777777" w:rsidR="006E4F45" w:rsidRDefault="00B15C20">
      <w:pPr>
        <w:ind w:left="1080"/>
      </w:pPr>
      <w:hyperlink w:anchor="_b2lbm6fghf8o">
        <w:r>
          <w:rPr>
            <w:color w:val="1155CC"/>
            <w:u w:val="single"/>
          </w:rPr>
          <w:t>4.1.1 Human Readable Description</w:t>
        </w:r>
      </w:hyperlink>
    </w:p>
    <w:p w14:paraId="624A9A97" w14:textId="77777777" w:rsidR="006E4F45" w:rsidRDefault="00B15C20">
      <w:pPr>
        <w:ind w:left="1080"/>
      </w:pPr>
      <w:hyperlink w:anchor="_kcntxc1zok3w">
        <w:r>
          <w:rPr>
            <w:color w:val="1155CC"/>
            <w:u w:val="single"/>
          </w:rPr>
          <w:t>4.1.2 Techn</w:t>
        </w:r>
        <w:r>
          <w:rPr>
            <w:color w:val="1155CC"/>
            <w:u w:val="single"/>
          </w:rPr>
          <w:t>ical Service Description</w:t>
        </w:r>
      </w:hyperlink>
    </w:p>
    <w:p w14:paraId="63196DE4" w14:textId="77777777" w:rsidR="006E4F45" w:rsidRDefault="00B15C20">
      <w:pPr>
        <w:ind w:left="1080"/>
      </w:pPr>
      <w:hyperlink w:anchor="_ye29b5tyvi34">
        <w:r>
          <w:rPr>
            <w:color w:val="1155CC"/>
            <w:u w:val="single"/>
          </w:rPr>
          <w:t>4.1.3 Service Data Description</w:t>
        </w:r>
      </w:hyperlink>
    </w:p>
    <w:p w14:paraId="6199B844" w14:textId="77777777" w:rsidR="006E4F45" w:rsidRDefault="00B15C20">
      <w:pPr>
        <w:ind w:left="720"/>
      </w:pPr>
      <w:hyperlink w:anchor="_5d7g8esoify">
        <w:r>
          <w:rPr>
            <w:color w:val="1155CC"/>
            <w:u w:val="single"/>
          </w:rPr>
          <w:t>4.2 Service Registration</w:t>
        </w:r>
      </w:hyperlink>
    </w:p>
    <w:p w14:paraId="613EECE1" w14:textId="77777777" w:rsidR="006E4F45" w:rsidRDefault="00B15C20">
      <w:pPr>
        <w:ind w:left="720"/>
      </w:pPr>
      <w:hyperlink w:anchor="_nuq9go3mlaoe">
        <w:r>
          <w:rPr>
            <w:color w:val="1155CC"/>
            <w:u w:val="single"/>
          </w:rPr>
          <w:t>4.3 Service Discovery</w:t>
        </w:r>
      </w:hyperlink>
    </w:p>
    <w:p w14:paraId="46126E52" w14:textId="77777777" w:rsidR="006E4F45" w:rsidRDefault="00B15C20">
      <w:pPr>
        <w:ind w:left="360"/>
      </w:pPr>
      <w:hyperlink w:anchor="_4g32twnc431z">
        <w:r>
          <w:rPr>
            <w:color w:val="1155CC"/>
            <w:u w:val="single"/>
          </w:rPr>
          <w:t>5. Service</w:t>
        </w:r>
        <w:r>
          <w:rPr>
            <w:color w:val="1155CC"/>
            <w:u w:val="single"/>
          </w:rPr>
          <w:t xml:space="preserve"> Linking</w:t>
        </w:r>
      </w:hyperlink>
    </w:p>
    <w:p w14:paraId="4C1F1FEC" w14:textId="77777777" w:rsidR="006E4F45" w:rsidRDefault="00B15C20">
      <w:pPr>
        <w:ind w:left="720"/>
      </w:pPr>
      <w:hyperlink w:anchor="_zeohhwwjbgnq">
        <w:r>
          <w:rPr>
            <w:color w:val="1155CC"/>
            <w:u w:val="single"/>
          </w:rPr>
          <w:t>SLSR</w:t>
        </w:r>
      </w:hyperlink>
    </w:p>
    <w:p w14:paraId="61187C4C" w14:textId="77777777" w:rsidR="006E4F45" w:rsidRDefault="00B15C20">
      <w:pPr>
        <w:ind w:left="360"/>
      </w:pPr>
      <w:hyperlink w:anchor="_pdnyzu9te7y6">
        <w:r>
          <w:rPr>
            <w:color w:val="1155CC"/>
            <w:u w:val="single"/>
          </w:rPr>
          <w:t xml:space="preserve">6. </w:t>
        </w:r>
        <w:proofErr w:type="spellStart"/>
        <w:r>
          <w:rPr>
            <w:color w:val="1155CC"/>
            <w:u w:val="single"/>
          </w:rPr>
          <w:t>Authorisation</w:t>
        </w:r>
        <w:proofErr w:type="spellEnd"/>
      </w:hyperlink>
    </w:p>
    <w:p w14:paraId="0365481B" w14:textId="77777777" w:rsidR="006E4F45" w:rsidRDefault="00B15C20">
      <w:pPr>
        <w:ind w:left="360"/>
      </w:pPr>
      <w:hyperlink w:anchor="_q1yusgvt7c2k">
        <w:r>
          <w:rPr>
            <w:color w:val="1155CC"/>
            <w:u w:val="single"/>
          </w:rPr>
          <w:t>7. Data Connection</w:t>
        </w:r>
      </w:hyperlink>
    </w:p>
    <w:p w14:paraId="5F8BD4C7" w14:textId="77777777" w:rsidR="006E4F45" w:rsidRDefault="00B15C20">
      <w:pPr>
        <w:ind w:left="360"/>
      </w:pPr>
      <w:hyperlink w:anchor="_q6c070f94kwu">
        <w:r>
          <w:rPr>
            <w:color w:val="1155CC"/>
            <w:u w:val="single"/>
          </w:rPr>
          <w:t>References</w:t>
        </w:r>
      </w:hyperlink>
    </w:p>
    <w:p w14:paraId="126EAD23" w14:textId="77777777" w:rsidR="006E4F45" w:rsidRDefault="00B15C20">
      <w:pPr>
        <w:ind w:left="360"/>
      </w:pPr>
      <w:hyperlink w:anchor="_91p52be4iy7b">
        <w:r>
          <w:rPr>
            <w:color w:val="1155CC"/>
            <w:u w:val="single"/>
          </w:rPr>
          <w:t>Appendix 1: Glo</w:t>
        </w:r>
        <w:r>
          <w:rPr>
            <w:color w:val="1155CC"/>
            <w:u w:val="single"/>
          </w:rPr>
          <w:t>ssary</w:t>
        </w:r>
      </w:hyperlink>
    </w:p>
    <w:p w14:paraId="3AF4DF32" w14:textId="77777777" w:rsidR="006E4F45" w:rsidRDefault="00B15C20">
      <w:r>
        <w:rPr>
          <w:rFonts w:ascii="Trebuchet MS" w:eastAsia="Trebuchet MS" w:hAnsi="Trebuchet MS" w:cs="Trebuchet MS"/>
          <w:sz w:val="32"/>
          <w:szCs w:val="32"/>
        </w:rPr>
        <w:br/>
      </w:r>
    </w:p>
    <w:p w14:paraId="5F2365F1" w14:textId="77777777" w:rsidR="006E4F45" w:rsidRDefault="00B15C20">
      <w:r>
        <w:br w:type="page"/>
      </w:r>
    </w:p>
    <w:p w14:paraId="6C0AB427" w14:textId="77777777" w:rsidR="006E4F45" w:rsidRDefault="006E4F45"/>
    <w:p w14:paraId="71AE21B1" w14:textId="77777777" w:rsidR="006E4F45" w:rsidRDefault="00B15C20">
      <w:r>
        <w:rPr>
          <w:b/>
        </w:rPr>
        <w:t>Notice</w:t>
      </w:r>
      <w:r>
        <w:t xml:space="preserve"> </w:t>
      </w:r>
    </w:p>
    <w:p w14:paraId="404F884C" w14:textId="77777777" w:rsidR="006E4F45" w:rsidRDefault="00B15C20">
      <w:r>
        <w:t>This document has been prepared by Participants of Digital Health Revolution research program and is licensed under a Creative Commons Attribution-</w:t>
      </w:r>
      <w:proofErr w:type="spellStart"/>
      <w:r>
        <w:t>ShareAlike</w:t>
      </w:r>
      <w:proofErr w:type="spellEnd"/>
      <w:r>
        <w:t xml:space="preserve"> 4.0 International License.</w:t>
      </w:r>
    </w:p>
    <w:p w14:paraId="462CB555" w14:textId="77777777" w:rsidR="006E4F45" w:rsidRDefault="00B15C20">
      <w:r>
        <w:t xml:space="preserve"> </w:t>
      </w:r>
    </w:p>
    <w:p w14:paraId="3C356308" w14:textId="77777777" w:rsidR="006E4F45" w:rsidRDefault="00B15C20">
      <w:r>
        <w:t>Implementation or use of certain elements of this document may require licenses under third party intellectual property rights, including without limitation, patent rights. The Participants of and any other contributors to the Specification are not and sha</w:t>
      </w:r>
      <w:r>
        <w:t>ll not be held responsible in any manner for identifying or failing to identify any or all such third party intellectual property rights. This Specification is provided "AS IS," and no Participant makes any warranty of any kind, expressed or implied, inclu</w:t>
      </w:r>
      <w:r>
        <w:t>ding any implied warranties of merchantability, non-infringement of third party intellectual property rights, and fitness for a particular purpose.</w:t>
      </w:r>
    </w:p>
    <w:p w14:paraId="67250BFC" w14:textId="77777777" w:rsidR="006E4F45" w:rsidRDefault="006E4F45"/>
    <w:p w14:paraId="1349B9D6" w14:textId="77777777" w:rsidR="006E4F45" w:rsidRDefault="00B15C20">
      <w:proofErr w:type="spellStart"/>
      <w:r>
        <w:t>MyData</w:t>
      </w:r>
      <w:proofErr w:type="spellEnd"/>
      <w:r>
        <w:t xml:space="preserve"> Architecture defines the operations and APIs between the Operational Roles (Operator, Source, Sink e</w:t>
      </w:r>
      <w:r>
        <w:t>tc.). Any descriptions or figures of the role’s internal structure or operations are for illustrative purposes only.</w:t>
      </w:r>
    </w:p>
    <w:p w14:paraId="0E6B00D1" w14:textId="77777777" w:rsidR="006E4F45" w:rsidRDefault="00B15C20">
      <w:r>
        <w:br w:type="page"/>
      </w:r>
    </w:p>
    <w:p w14:paraId="3A0AFCA3" w14:textId="77777777" w:rsidR="006E4F45" w:rsidRDefault="006E4F45"/>
    <w:p w14:paraId="528AC138" w14:textId="77777777" w:rsidR="006E4F45" w:rsidRDefault="00B15C20">
      <w:pPr>
        <w:pStyle w:val="Heading1"/>
        <w:contextualSpacing w:val="0"/>
      </w:pPr>
      <w:bookmarkStart w:id="1" w:name="_yfkncnp8cl2r" w:colFirst="0" w:colLast="0"/>
      <w:bookmarkEnd w:id="1"/>
      <w:r>
        <w:t>1. Introduction</w:t>
      </w:r>
    </w:p>
    <w:p w14:paraId="3023708A" w14:textId="77777777" w:rsidR="006E4F45" w:rsidRDefault="006E4F45"/>
    <w:p w14:paraId="5AA126E3" w14:textId="77777777" w:rsidR="006E4F45" w:rsidRDefault="00B15C20">
      <w:r>
        <w:t>Applications and services collect increasing amounts of personal data about their users, and leverage it to extract val</w:t>
      </w:r>
      <w:r>
        <w:t xml:space="preserve">uable knowledge about them. This information can be used for providing new services and for profiling individuals, and the results are </w:t>
      </w:r>
      <w:proofErr w:type="spellStart"/>
      <w:r>
        <w:t>monetizable</w:t>
      </w:r>
      <w:proofErr w:type="spellEnd"/>
      <w:r>
        <w:t xml:space="preserve"> input for e.g. targeted advertising. Unfortunately, individuals themselves typically have little or no contro</w:t>
      </w:r>
      <w:r>
        <w:t xml:space="preserve">l over how their data is created or used. </w:t>
      </w:r>
    </w:p>
    <w:p w14:paraId="735DBA9D" w14:textId="77777777" w:rsidR="006E4F45" w:rsidRDefault="006E4F45"/>
    <w:p w14:paraId="6DCD054E" w14:textId="77777777" w:rsidR="006E4F45" w:rsidRDefault="00B15C20">
      <w:r>
        <w:t xml:space="preserve">This document presents the </w:t>
      </w:r>
      <w:proofErr w:type="spellStart"/>
      <w:r>
        <w:t>MyData</w:t>
      </w:r>
      <w:proofErr w:type="spellEnd"/>
      <w:r>
        <w:t xml:space="preserve"> architecture, a human centric approach to liberate the potential of personal data and to facilitate its controlled flow from multiple data sources to applications and services. T</w:t>
      </w:r>
      <w:r>
        <w:t xml:space="preserve">he simple core idea, the </w:t>
      </w:r>
      <w:r>
        <w:rPr>
          <w:i/>
        </w:rPr>
        <w:t>individual in control of their own data</w:t>
      </w:r>
      <w:r>
        <w:t>, is both a movement for digital human rights and an initiative for opening new business opportunities. It responds on a practical and technical level to individuals’ growing demand for contro</w:t>
      </w:r>
      <w:r>
        <w:t>l over their personal data and to organizations need to fulfill the requirements of tightening data protection regulation. Though both of these goals can be achieved within the current legal framework, the lack of interoperable implementations has kept the</w:t>
      </w:r>
      <w:r>
        <w:t>m mostly a distant goal - a situation that we now want to change.</w:t>
      </w:r>
    </w:p>
    <w:p w14:paraId="6D516D4E" w14:textId="77777777" w:rsidR="006E4F45" w:rsidRDefault="006E4F45"/>
    <w:p w14:paraId="67DB3FCC" w14:textId="77777777" w:rsidR="006E4F45" w:rsidRDefault="00B15C20">
      <w:r>
        <w:t>The legal framework</w:t>
      </w:r>
      <w:r>
        <w:rPr>
          <w:vertAlign w:val="superscript"/>
        </w:rPr>
        <w:footnoteReference w:id="1"/>
      </w:r>
      <w:r>
        <w:t xml:space="preserve"> for protecting personal data usually starts with a freely given, specific, informed and unambiguous consent. In order for their personal data to be processed, the indiv</w:t>
      </w:r>
      <w:r>
        <w:t>idual has to make a conscious choice to give consent to the external organization to process data. The consent has to be withdrawable, readable by involved trusted parties, and it should be stored in appropriate place for validity checking by the parties u</w:t>
      </w:r>
      <w:r>
        <w:t xml:space="preserve">sing or providing person’s data. This is the exact premise chosen as key guiding rule of the developed </w:t>
      </w:r>
      <w:proofErr w:type="spellStart"/>
      <w:r>
        <w:t>MyData</w:t>
      </w:r>
      <w:proofErr w:type="spellEnd"/>
      <w:r>
        <w:t xml:space="preserve"> model.</w:t>
      </w:r>
    </w:p>
    <w:p w14:paraId="612B55B1" w14:textId="77777777" w:rsidR="006E4F45" w:rsidRDefault="006E4F45"/>
    <w:p w14:paraId="5683464F" w14:textId="77777777" w:rsidR="006E4F45" w:rsidRDefault="00B15C20">
      <w:r>
        <w:t>The architecture aims to provide a standard for implementations that</w:t>
      </w:r>
    </w:p>
    <w:p w14:paraId="052D2AD5" w14:textId="77777777" w:rsidR="006E4F45" w:rsidRDefault="00B15C20">
      <w:pPr>
        <w:numPr>
          <w:ilvl w:val="0"/>
          <w:numId w:val="1"/>
        </w:numPr>
        <w:ind w:hanging="360"/>
        <w:contextualSpacing/>
      </w:pPr>
      <w:r>
        <w:t>satisfy the legal requirements for processing of personal data and, t</w:t>
      </w:r>
      <w:r>
        <w:t xml:space="preserve">hus, prevents unwanted and improper processing of the individual’s personal data </w:t>
      </w:r>
    </w:p>
    <w:p w14:paraId="30D0D099" w14:textId="77777777" w:rsidR="006E4F45" w:rsidRDefault="00B15C20">
      <w:pPr>
        <w:numPr>
          <w:ilvl w:val="0"/>
          <w:numId w:val="1"/>
        </w:numPr>
        <w:ind w:hanging="360"/>
        <w:contextualSpacing/>
      </w:pPr>
      <w:r>
        <w:t>enable the individuals to easily grant and withdraw their consent for data processing</w:t>
      </w:r>
    </w:p>
    <w:p w14:paraId="55DF3F4B" w14:textId="77777777" w:rsidR="006E4F45" w:rsidRDefault="00B15C20">
      <w:pPr>
        <w:numPr>
          <w:ilvl w:val="0"/>
          <w:numId w:val="1"/>
        </w:numPr>
        <w:ind w:hanging="360"/>
        <w:contextualSpacing/>
      </w:pPr>
      <w:r>
        <w:t>provide transparency to individuals about how their data is being used</w:t>
      </w:r>
    </w:p>
    <w:p w14:paraId="708C058C" w14:textId="77777777" w:rsidR="006E4F45" w:rsidRDefault="00B15C20">
      <w:pPr>
        <w:numPr>
          <w:ilvl w:val="0"/>
          <w:numId w:val="1"/>
        </w:numPr>
        <w:ind w:hanging="360"/>
        <w:contextualSpacing/>
      </w:pPr>
      <w:r>
        <w:t>enable flexible s</w:t>
      </w:r>
      <w:r>
        <w:t>ervice creation and new business opportunities</w:t>
      </w:r>
    </w:p>
    <w:p w14:paraId="46BDBBE1" w14:textId="77777777" w:rsidR="006E4F45" w:rsidRDefault="006E4F45"/>
    <w:p w14:paraId="77DD6F7E" w14:textId="77777777" w:rsidR="006E4F45" w:rsidRDefault="00B15C20">
      <w:r>
        <w:t xml:space="preserve">In the following sections we present an overview of the </w:t>
      </w:r>
      <w:proofErr w:type="spellStart"/>
      <w:r>
        <w:t>MyData</w:t>
      </w:r>
      <w:proofErr w:type="spellEnd"/>
      <w:r>
        <w:t xml:space="preserve"> architecture (Section 2), and detail the key parts of the architecture: </w:t>
      </w:r>
      <w:proofErr w:type="spellStart"/>
      <w:r>
        <w:t>MyData</w:t>
      </w:r>
      <w:proofErr w:type="spellEnd"/>
      <w:r>
        <w:t xml:space="preserve"> Account (Section 3), Service Registry and Service Discovery (Secti</w:t>
      </w:r>
      <w:r>
        <w:t xml:space="preserve">on 4), Service Linking (Section 5), </w:t>
      </w:r>
      <w:proofErr w:type="spellStart"/>
      <w:r>
        <w:t>Authorisation</w:t>
      </w:r>
      <w:proofErr w:type="spellEnd"/>
      <w:r>
        <w:t xml:space="preserve"> (Section 6), and Data Connection (Section 7). Each detail Section has a corresponding detailed technical document (see References).</w:t>
      </w:r>
    </w:p>
    <w:p w14:paraId="050B1CED" w14:textId="77777777" w:rsidR="006E4F45" w:rsidRDefault="006E4F45"/>
    <w:p w14:paraId="16617629" w14:textId="77777777" w:rsidR="006E4F45" w:rsidRDefault="00B15C20">
      <w:r>
        <w:t>This is the third (v1.2) release of the specification and will be develop</w:t>
      </w:r>
      <w:r>
        <w:t>ed upon feedback.</w:t>
      </w:r>
    </w:p>
    <w:p w14:paraId="33FEB001" w14:textId="77777777" w:rsidR="006E4F45" w:rsidRDefault="006E4F45"/>
    <w:p w14:paraId="4CB2D72D" w14:textId="77777777" w:rsidR="006E4F45" w:rsidRDefault="006E4F45"/>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E4F45" w14:paraId="5C4A515B" w14:textId="77777777">
        <w:tc>
          <w:tcPr>
            <w:tcW w:w="9360" w:type="dxa"/>
            <w:shd w:val="clear" w:color="auto" w:fill="FCFCFC"/>
            <w:tcMar>
              <w:top w:w="100" w:type="dxa"/>
              <w:left w:w="100" w:type="dxa"/>
              <w:bottom w:w="100" w:type="dxa"/>
              <w:right w:w="100" w:type="dxa"/>
            </w:tcMar>
          </w:tcPr>
          <w:p w14:paraId="03F5B7C3" w14:textId="77777777" w:rsidR="006E4F45" w:rsidRDefault="00B15C20">
            <w:r>
              <w:rPr>
                <w:rFonts w:ascii="Trebuchet MS" w:eastAsia="Trebuchet MS" w:hAnsi="Trebuchet MS" w:cs="Trebuchet MS"/>
                <w:b/>
              </w:rPr>
              <w:lastRenderedPageBreak/>
              <w:t>Legal Framework for Personal Data Processing in EU</w:t>
            </w:r>
          </w:p>
          <w:p w14:paraId="04976239" w14:textId="77777777" w:rsidR="006E4F45" w:rsidRDefault="00B15C20">
            <w:r>
              <w:rPr>
                <w:sz w:val="18"/>
                <w:szCs w:val="18"/>
              </w:rPr>
              <w:t xml:space="preserve">The processing of personal data is governed by legislation; for </w:t>
            </w:r>
            <w:proofErr w:type="spellStart"/>
            <w:r>
              <w:rPr>
                <w:sz w:val="18"/>
                <w:szCs w:val="18"/>
              </w:rPr>
              <w:t>MyData</w:t>
            </w:r>
            <w:proofErr w:type="spellEnd"/>
            <w:r>
              <w:rPr>
                <w:sz w:val="18"/>
                <w:szCs w:val="18"/>
              </w:rPr>
              <w:t xml:space="preserve"> architecture documentation, we use the EU General Data Protection Regulation (GDPR</w:t>
            </w:r>
            <w:r>
              <w:rPr>
                <w:sz w:val="18"/>
                <w:szCs w:val="18"/>
                <w:vertAlign w:val="superscript"/>
              </w:rPr>
              <w:footnoteReference w:id="2"/>
            </w:r>
            <w:r>
              <w:rPr>
                <w:sz w:val="18"/>
                <w:szCs w:val="18"/>
              </w:rPr>
              <w:t xml:space="preserve">) as the example. </w:t>
            </w:r>
            <w:r>
              <w:rPr>
                <w:sz w:val="18"/>
                <w:szCs w:val="18"/>
              </w:rPr>
              <w:t xml:space="preserve">A number of legal roles relating to personal data processing, most importantly the data subject, the controller, and the processor, all of which are subject to differing rights and obligations, are defined in Art. 4 GDPR. Moreover, the notion of </w:t>
            </w:r>
            <w:r>
              <w:rPr>
                <w:b/>
                <w:i/>
                <w:sz w:val="18"/>
                <w:szCs w:val="18"/>
              </w:rPr>
              <w:t>personal d</w:t>
            </w:r>
            <w:r>
              <w:rPr>
                <w:b/>
                <w:i/>
                <w:sz w:val="18"/>
                <w:szCs w:val="18"/>
              </w:rPr>
              <w:t>ata</w:t>
            </w:r>
            <w:r>
              <w:rPr>
                <w:sz w:val="18"/>
                <w:szCs w:val="18"/>
              </w:rPr>
              <w:t xml:space="preserve"> is defined as “any information relating to an identified or identifiable natural person” (the </w:t>
            </w:r>
            <w:r>
              <w:rPr>
                <w:b/>
                <w:i/>
                <w:sz w:val="18"/>
                <w:szCs w:val="18"/>
              </w:rPr>
              <w:t>data subject</w:t>
            </w:r>
            <w:r>
              <w:rPr>
                <w:sz w:val="18"/>
                <w:szCs w:val="18"/>
              </w:rPr>
              <w:t xml:space="preserve">) (Art. 4 (1)). </w:t>
            </w:r>
            <w:r>
              <w:rPr>
                <w:b/>
                <w:i/>
                <w:sz w:val="18"/>
                <w:szCs w:val="18"/>
              </w:rPr>
              <w:t>Data controllers</w:t>
            </w:r>
            <w:r>
              <w:rPr>
                <w:sz w:val="18"/>
                <w:szCs w:val="18"/>
              </w:rPr>
              <w:t xml:space="preserve"> and </w:t>
            </w:r>
            <w:r>
              <w:rPr>
                <w:b/>
                <w:i/>
                <w:sz w:val="18"/>
                <w:szCs w:val="18"/>
              </w:rPr>
              <w:t>data processors</w:t>
            </w:r>
            <w:r>
              <w:rPr>
                <w:sz w:val="18"/>
                <w:szCs w:val="18"/>
              </w:rPr>
              <w:t xml:space="preserve"> are either natural persons or legal persons, public authorities, agencies, or other bodies (A</w:t>
            </w:r>
            <w:r>
              <w:rPr>
                <w:sz w:val="18"/>
                <w:szCs w:val="18"/>
              </w:rPr>
              <w:t>rt. 4 (</w:t>
            </w:r>
            <w:proofErr w:type="gramStart"/>
            <w:r>
              <w:rPr>
                <w:sz w:val="18"/>
                <w:szCs w:val="18"/>
              </w:rPr>
              <w:t>7)-(</w:t>
            </w:r>
            <w:proofErr w:type="gramEnd"/>
            <w:r>
              <w:rPr>
                <w:sz w:val="18"/>
                <w:szCs w:val="18"/>
              </w:rPr>
              <w:t xml:space="preserve">8)). The former means the entity which “alone or jointly with others determines the purposes and means of the processing of personal data” whereas the latter “processes personal data on behalf of the controller”. The notion of </w:t>
            </w:r>
            <w:r>
              <w:rPr>
                <w:i/>
                <w:sz w:val="18"/>
                <w:szCs w:val="18"/>
              </w:rPr>
              <w:t xml:space="preserve">processing </w:t>
            </w:r>
            <w:r>
              <w:rPr>
                <w:sz w:val="18"/>
                <w:szCs w:val="18"/>
              </w:rPr>
              <w:t>is wide</w:t>
            </w:r>
            <w:r>
              <w:rPr>
                <w:sz w:val="18"/>
                <w:szCs w:val="18"/>
              </w:rPr>
              <w:t xml:space="preserve">: according to Art. 4 (2) GDPR, </w:t>
            </w:r>
            <w:r>
              <w:rPr>
                <w:b/>
                <w:i/>
                <w:sz w:val="18"/>
                <w:szCs w:val="18"/>
              </w:rPr>
              <w:t>processing</w:t>
            </w:r>
            <w:r>
              <w:rPr>
                <w:sz w:val="18"/>
                <w:szCs w:val="18"/>
              </w:rPr>
              <w:t xml:space="preserve"> signifies “any operation or set of operations which is performed upon personal data or sets of personal data, whether or not by automated means, such as collection, recording, organization, structuring, storage, a</w:t>
            </w:r>
            <w:r>
              <w:rPr>
                <w:sz w:val="18"/>
                <w:szCs w:val="18"/>
              </w:rPr>
              <w:t>daptation or alteration, retrieval, consultation, use, disclosure by transmission, dissemination or otherwise making available, alignment or combination, restriction, erasure or destruction”.</w:t>
            </w:r>
          </w:p>
          <w:p w14:paraId="3E9FE8E4" w14:textId="77777777" w:rsidR="006E4F45" w:rsidRDefault="006E4F45"/>
          <w:p w14:paraId="17B657E9" w14:textId="77777777" w:rsidR="006E4F45" w:rsidRDefault="00B15C20">
            <w:r>
              <w:rPr>
                <w:sz w:val="18"/>
                <w:szCs w:val="18"/>
              </w:rPr>
              <w:t>Processing of personal data requires a legal basis and there ar</w:t>
            </w:r>
            <w:r>
              <w:rPr>
                <w:sz w:val="18"/>
                <w:szCs w:val="18"/>
              </w:rPr>
              <w:t xml:space="preserve">e several possible ones (cf. esp. Arts 6, 9 GDPR). However, from the point of view of self-determination of the data subject, </w:t>
            </w:r>
            <w:r>
              <w:rPr>
                <w:b/>
                <w:i/>
                <w:sz w:val="18"/>
                <w:szCs w:val="18"/>
              </w:rPr>
              <w:t>consent</w:t>
            </w:r>
            <w:r>
              <w:rPr>
                <w:sz w:val="18"/>
                <w:szCs w:val="18"/>
              </w:rPr>
              <w:t xml:space="preserve"> signifies an especially important legal basis. According to the GDPR (recital 32; Art. 4 (11)), consent means an indicatio</w:t>
            </w:r>
            <w:r>
              <w:rPr>
                <w:sz w:val="18"/>
                <w:szCs w:val="18"/>
              </w:rPr>
              <w:t xml:space="preserve">n of the data subject’s wishes by which they signify agreement to the processing of their personal data, either by statement or by “clear affirmative action”; consent must be </w:t>
            </w:r>
            <w:r>
              <w:rPr>
                <w:i/>
                <w:sz w:val="18"/>
                <w:szCs w:val="18"/>
              </w:rPr>
              <w:t>freely given</w:t>
            </w:r>
            <w:r>
              <w:rPr>
                <w:sz w:val="18"/>
                <w:szCs w:val="18"/>
              </w:rPr>
              <w:t xml:space="preserve">, </w:t>
            </w:r>
            <w:r>
              <w:rPr>
                <w:i/>
                <w:sz w:val="18"/>
                <w:szCs w:val="18"/>
              </w:rPr>
              <w:t>specific</w:t>
            </w:r>
            <w:r>
              <w:rPr>
                <w:sz w:val="18"/>
                <w:szCs w:val="18"/>
              </w:rPr>
              <w:t xml:space="preserve">, </w:t>
            </w:r>
            <w:r>
              <w:rPr>
                <w:i/>
                <w:sz w:val="18"/>
                <w:szCs w:val="18"/>
              </w:rPr>
              <w:t>informed</w:t>
            </w:r>
            <w:r>
              <w:rPr>
                <w:sz w:val="18"/>
                <w:szCs w:val="18"/>
              </w:rPr>
              <w:t xml:space="preserve"> and </w:t>
            </w:r>
            <w:r>
              <w:rPr>
                <w:i/>
                <w:sz w:val="18"/>
                <w:szCs w:val="18"/>
              </w:rPr>
              <w:t>unambiguous</w:t>
            </w:r>
            <w:r>
              <w:rPr>
                <w:sz w:val="18"/>
                <w:szCs w:val="18"/>
              </w:rPr>
              <w:t>. Article 7 GDPR provides the fra</w:t>
            </w:r>
            <w:r>
              <w:rPr>
                <w:sz w:val="18"/>
                <w:szCs w:val="18"/>
              </w:rPr>
              <w:t>mework for consent: first, the controller must be able to demonstrate the existence of consent. Second, in the context of written declarations containing also other matters, consenting must be clearly distinguishable, accessible and understandable in order</w:t>
            </w:r>
            <w:r>
              <w:rPr>
                <w:sz w:val="18"/>
                <w:szCs w:val="18"/>
              </w:rPr>
              <w:t xml:space="preserve"> to be binding. Third, the data subject can always withdraw their consent and this must be as easy as consenting. The lawfulness of processing prior to withdrawal is not affected (Art. 7(3)). Fourth, in assessing the free nature of consent, particular acco</w:t>
            </w:r>
            <w:r>
              <w:rPr>
                <w:sz w:val="18"/>
                <w:szCs w:val="18"/>
              </w:rPr>
              <w:t xml:space="preserve">unt is to be taken of whether the performance of a contract, including provision of a service, is made </w:t>
            </w:r>
            <w:r>
              <w:rPr>
                <w:i/>
                <w:sz w:val="18"/>
                <w:szCs w:val="18"/>
              </w:rPr>
              <w:t>conditional on the consent to processing of unnecessary data</w:t>
            </w:r>
            <w:r>
              <w:rPr>
                <w:sz w:val="18"/>
                <w:szCs w:val="18"/>
              </w:rPr>
              <w:t xml:space="preserve"> (i.e. not necessary for the performance of the contract). Prior to consenting, the data subj</w:t>
            </w:r>
            <w:r>
              <w:rPr>
                <w:sz w:val="18"/>
                <w:szCs w:val="18"/>
              </w:rPr>
              <w:t xml:space="preserve">ect must be informed while duties related to information are vested on the controller (cf. e.g. Arts 12-14 GDPR). With children below the age of 16 (or depending on national level solutions all the way to the age of 13) parental oversight is required with </w:t>
            </w:r>
            <w:r>
              <w:rPr>
                <w:sz w:val="18"/>
                <w:szCs w:val="18"/>
              </w:rPr>
              <w:t xml:space="preserve">consenting (Art. 8) </w:t>
            </w:r>
            <w:r>
              <w:rPr>
                <w:i/>
                <w:sz w:val="18"/>
                <w:szCs w:val="18"/>
              </w:rPr>
              <w:t>in relation to information society services</w:t>
            </w:r>
            <w:r>
              <w:rPr>
                <w:i/>
                <w:sz w:val="18"/>
                <w:szCs w:val="18"/>
                <w:vertAlign w:val="superscript"/>
              </w:rPr>
              <w:footnoteReference w:id="3"/>
            </w:r>
            <w:r>
              <w:rPr>
                <w:i/>
                <w:sz w:val="18"/>
                <w:szCs w:val="18"/>
              </w:rPr>
              <w:t xml:space="preserve"> offered directly to a child</w:t>
            </w:r>
            <w:r>
              <w:rPr>
                <w:sz w:val="18"/>
                <w:szCs w:val="18"/>
              </w:rPr>
              <w:t>; processing is lawful to the extent authorized. Furthermore, special categories of personal data, according to Art. 9 GDPR, include those concerning racial or ethn</w:t>
            </w:r>
            <w:r>
              <w:rPr>
                <w:sz w:val="18"/>
                <w:szCs w:val="18"/>
              </w:rPr>
              <w:t>ic origin, political opinions, religious or philosophical beliefs, and trade-union membership, as well as genetic data, and data concerning health or sex life. The processing of such data is prohibited unless one of the grounds listed in Art. 9 applies, in</w:t>
            </w:r>
            <w:r>
              <w:rPr>
                <w:sz w:val="18"/>
                <w:szCs w:val="18"/>
              </w:rPr>
              <w:t xml:space="preserve">cluding </w:t>
            </w:r>
            <w:r>
              <w:rPr>
                <w:i/>
                <w:sz w:val="18"/>
                <w:szCs w:val="18"/>
              </w:rPr>
              <w:t xml:space="preserve">explicit </w:t>
            </w:r>
            <w:r>
              <w:rPr>
                <w:sz w:val="18"/>
                <w:szCs w:val="18"/>
              </w:rPr>
              <w:t>consent.</w:t>
            </w:r>
          </w:p>
          <w:p w14:paraId="49573A65" w14:textId="77777777" w:rsidR="006E4F45" w:rsidRDefault="006E4F45"/>
          <w:p w14:paraId="326809BC" w14:textId="77777777" w:rsidR="006E4F45" w:rsidRDefault="00B15C20">
            <w:r>
              <w:rPr>
                <w:sz w:val="18"/>
                <w:szCs w:val="18"/>
              </w:rPr>
              <w:t xml:space="preserve">However, consent cannot </w:t>
            </w:r>
            <w:proofErr w:type="spellStart"/>
            <w:r>
              <w:rPr>
                <w:sz w:val="18"/>
                <w:szCs w:val="18"/>
              </w:rPr>
              <w:t>legitimise</w:t>
            </w:r>
            <w:proofErr w:type="spellEnd"/>
            <w:r>
              <w:rPr>
                <w:sz w:val="18"/>
                <w:szCs w:val="18"/>
              </w:rPr>
              <w:t xml:space="preserve"> all sorts of processing activities, nor can it negate obligations stemming from general principles of processing, such as purpose limitation and confidentiality (see Art. 5 GDPR). Consent does n</w:t>
            </w:r>
            <w:r>
              <w:rPr>
                <w:sz w:val="18"/>
                <w:szCs w:val="18"/>
              </w:rPr>
              <w:t>ot necessarily always constitute the most appropriate ground. However, when used appropriately it enables data subjects’ control over their data.</w:t>
            </w:r>
            <w:r>
              <w:rPr>
                <w:sz w:val="18"/>
                <w:szCs w:val="18"/>
                <w:vertAlign w:val="superscript"/>
              </w:rPr>
              <w:footnoteReference w:id="4"/>
            </w:r>
            <w:r>
              <w:rPr>
                <w:sz w:val="18"/>
                <w:szCs w:val="18"/>
              </w:rPr>
              <w:t xml:space="preserve"> In the current </w:t>
            </w:r>
            <w:proofErr w:type="spellStart"/>
            <w:r>
              <w:rPr>
                <w:sz w:val="18"/>
                <w:szCs w:val="18"/>
              </w:rPr>
              <w:t>MyData</w:t>
            </w:r>
            <w:proofErr w:type="spellEnd"/>
            <w:r>
              <w:rPr>
                <w:sz w:val="18"/>
                <w:szCs w:val="18"/>
              </w:rPr>
              <w:t xml:space="preserve"> architecture, data transactions and processing are based on consents from data subjects</w:t>
            </w:r>
            <w:r>
              <w:rPr>
                <w:sz w:val="18"/>
                <w:szCs w:val="18"/>
              </w:rPr>
              <w:t>, and it is possible to change or withdraw the consent at will.</w:t>
            </w:r>
          </w:p>
        </w:tc>
      </w:tr>
    </w:tbl>
    <w:p w14:paraId="2A1FE4A8" w14:textId="77777777" w:rsidR="006E4F45" w:rsidRDefault="00B15C20">
      <w:pPr>
        <w:pStyle w:val="Heading1"/>
        <w:contextualSpacing w:val="0"/>
      </w:pPr>
      <w:bookmarkStart w:id="2" w:name="_8v0s5ch75kyr" w:colFirst="0" w:colLast="0"/>
      <w:bookmarkEnd w:id="2"/>
      <w:r>
        <w:t xml:space="preserve">2. </w:t>
      </w:r>
      <w:proofErr w:type="spellStart"/>
      <w:r>
        <w:t>MyData</w:t>
      </w:r>
      <w:proofErr w:type="spellEnd"/>
      <w:r>
        <w:t xml:space="preserve"> Architecture overview</w:t>
      </w:r>
    </w:p>
    <w:p w14:paraId="2493B748" w14:textId="77777777" w:rsidR="006E4F45" w:rsidRDefault="00B15C20">
      <w:r>
        <w:t xml:space="preserve">This section first </w:t>
      </w:r>
      <w:proofErr w:type="spellStart"/>
      <w:r>
        <w:t>summarises</w:t>
      </w:r>
      <w:proofErr w:type="spellEnd"/>
      <w:r>
        <w:t xml:space="preserve"> the core concepts from </w:t>
      </w:r>
      <w:proofErr w:type="spellStart"/>
      <w:r>
        <w:t>MyData</w:t>
      </w:r>
      <w:proofErr w:type="spellEnd"/>
      <w:r>
        <w:t xml:space="preserve"> Whitepaper [1] and then provides an overview of the </w:t>
      </w:r>
      <w:proofErr w:type="spellStart"/>
      <w:r>
        <w:t>MyData</w:t>
      </w:r>
      <w:proofErr w:type="spellEnd"/>
      <w:r>
        <w:t xml:space="preserve"> architecture by introducing the transactions, an example use case, and key related standards. The goal is to help understand systems buil</w:t>
      </w:r>
      <w:r>
        <w:t xml:space="preserve">t according to </w:t>
      </w:r>
      <w:proofErr w:type="spellStart"/>
      <w:r>
        <w:t>MyData</w:t>
      </w:r>
      <w:proofErr w:type="spellEnd"/>
      <w:r>
        <w:t xml:space="preserve"> principles without </w:t>
      </w:r>
      <w:r>
        <w:lastRenderedPageBreak/>
        <w:t xml:space="preserve">going too deeply in the technical implementation details; technical documentation and code release of a reference implementation of a </w:t>
      </w:r>
      <w:proofErr w:type="spellStart"/>
      <w:r>
        <w:t>MyData</w:t>
      </w:r>
      <w:proofErr w:type="spellEnd"/>
      <w:r>
        <w:t xml:space="preserve"> architecture is provided separately [2-6].</w:t>
      </w:r>
    </w:p>
    <w:p w14:paraId="51EB0C1D" w14:textId="77777777" w:rsidR="006E4F45" w:rsidRDefault="00B15C20">
      <w:pPr>
        <w:pStyle w:val="Heading2"/>
        <w:contextualSpacing w:val="0"/>
      </w:pPr>
      <w:bookmarkStart w:id="3" w:name="_6mfx9ut90v20" w:colFirst="0" w:colLast="0"/>
      <w:bookmarkEnd w:id="3"/>
      <w:r>
        <w:t>2.1 Core Concepts</w:t>
      </w:r>
    </w:p>
    <w:p w14:paraId="413C8EE6" w14:textId="77777777" w:rsidR="006E4F45" w:rsidRDefault="00B15C20">
      <w:r>
        <w:t xml:space="preserve">At the heart </w:t>
      </w:r>
      <w:r>
        <w:t xml:space="preserve">of </w:t>
      </w:r>
      <w:proofErr w:type="spellStart"/>
      <w:r>
        <w:t>MyData</w:t>
      </w:r>
      <w:proofErr w:type="spellEnd"/>
      <w:r>
        <w:t xml:space="preserve"> are four operational roles and the </w:t>
      </w:r>
      <w:proofErr w:type="spellStart"/>
      <w:r>
        <w:t>MyData</w:t>
      </w:r>
      <w:proofErr w:type="spellEnd"/>
      <w:r>
        <w:t xml:space="preserve"> Account as shown in Figure 2.1.</w:t>
      </w:r>
    </w:p>
    <w:p w14:paraId="4B42E9A4" w14:textId="77777777" w:rsidR="006E4F45" w:rsidRDefault="006E4F45"/>
    <w:p w14:paraId="610A1B7B" w14:textId="77777777" w:rsidR="006E4F45" w:rsidRDefault="00B15C20">
      <w:pPr>
        <w:jc w:val="center"/>
      </w:pPr>
      <w:r>
        <w:rPr>
          <w:noProof/>
        </w:rPr>
        <w:drawing>
          <wp:inline distT="114300" distB="114300" distL="114300" distR="114300" wp14:anchorId="1161105D" wp14:editId="53BD6E3D">
            <wp:extent cx="4933950" cy="2476500"/>
            <wp:effectExtent l="0" t="0" r="0" b="0"/>
            <wp:docPr id="5" name="image13.png" descr="MyDataOperatorModel.png"/>
            <wp:cNvGraphicFramePr/>
            <a:graphic xmlns:a="http://schemas.openxmlformats.org/drawingml/2006/main">
              <a:graphicData uri="http://schemas.openxmlformats.org/drawingml/2006/picture">
                <pic:pic xmlns:pic="http://schemas.openxmlformats.org/drawingml/2006/picture">
                  <pic:nvPicPr>
                    <pic:cNvPr id="0" name="image13.png" descr="MyDataOperatorModel.png"/>
                    <pic:cNvPicPr preferRelativeResize="0"/>
                  </pic:nvPicPr>
                  <pic:blipFill>
                    <a:blip r:embed="rId8"/>
                    <a:srcRect/>
                    <a:stretch>
                      <a:fillRect/>
                    </a:stretch>
                  </pic:blipFill>
                  <pic:spPr>
                    <a:xfrm>
                      <a:off x="0" y="0"/>
                      <a:ext cx="4933950" cy="2476500"/>
                    </a:xfrm>
                    <a:prstGeom prst="rect">
                      <a:avLst/>
                    </a:prstGeom>
                    <a:ln/>
                  </pic:spPr>
                </pic:pic>
              </a:graphicData>
            </a:graphic>
          </wp:inline>
        </w:drawing>
      </w:r>
      <w:commentRangeStart w:id="4"/>
      <w:commentRangeEnd w:id="4"/>
    </w:p>
    <w:p w14:paraId="5BCD34E5" w14:textId="77777777" w:rsidR="006E4F45" w:rsidRDefault="006E4F45">
      <w:pPr>
        <w:jc w:val="center"/>
      </w:pPr>
    </w:p>
    <w:p w14:paraId="6A730EA7" w14:textId="77777777" w:rsidR="006E4F45" w:rsidRDefault="00B15C20">
      <w:r>
        <w:rPr>
          <w:i/>
        </w:rPr>
        <w:t xml:space="preserve">Figure 2.1: Four operational roles within the </w:t>
      </w:r>
      <w:proofErr w:type="spellStart"/>
      <w:r>
        <w:rPr>
          <w:i/>
        </w:rPr>
        <w:t>MyData</w:t>
      </w:r>
      <w:proofErr w:type="spellEnd"/>
      <w:r>
        <w:rPr>
          <w:i/>
        </w:rPr>
        <w:t xml:space="preserve"> architecture include 1) individual as the Account Owner 2) </w:t>
      </w:r>
      <w:proofErr w:type="spellStart"/>
      <w:r>
        <w:rPr>
          <w:i/>
        </w:rPr>
        <w:t>MyData</w:t>
      </w:r>
      <w:proofErr w:type="spellEnd"/>
      <w:r>
        <w:rPr>
          <w:i/>
        </w:rPr>
        <w:t xml:space="preserve"> Operators, 3) Sources, and 4) Sinks. The</w:t>
      </w:r>
      <w:r>
        <w:rPr>
          <w:i/>
        </w:rPr>
        <w:t xml:space="preserve"> </w:t>
      </w:r>
      <w:proofErr w:type="spellStart"/>
      <w:r>
        <w:rPr>
          <w:i/>
        </w:rPr>
        <w:t>MyData</w:t>
      </w:r>
      <w:proofErr w:type="spellEnd"/>
      <w:r>
        <w:rPr>
          <w:i/>
        </w:rPr>
        <w:t xml:space="preserve"> Account is hosted by the Operator. Note that the flow of </w:t>
      </w:r>
      <w:proofErr w:type="spellStart"/>
      <w:r>
        <w:rPr>
          <w:i/>
        </w:rPr>
        <w:t>authorisations</w:t>
      </w:r>
      <w:proofErr w:type="spellEnd"/>
      <w:r>
        <w:rPr>
          <w:i/>
        </w:rPr>
        <w:t xml:space="preserve"> to use the data is separate from the flow of data.</w:t>
      </w:r>
    </w:p>
    <w:p w14:paraId="5B061839" w14:textId="77777777" w:rsidR="006E4F45" w:rsidRDefault="00B15C20">
      <w:pPr>
        <w:pStyle w:val="Heading3"/>
        <w:contextualSpacing w:val="0"/>
      </w:pPr>
      <w:bookmarkStart w:id="5" w:name="_2lpr9vrq6eky" w:colFirst="0" w:colLast="0"/>
      <w:bookmarkEnd w:id="5"/>
      <w:r>
        <w:t xml:space="preserve">2.1.1 </w:t>
      </w:r>
      <w:proofErr w:type="spellStart"/>
      <w:r>
        <w:t>MyData</w:t>
      </w:r>
      <w:proofErr w:type="spellEnd"/>
      <w:r>
        <w:t xml:space="preserve"> Account</w:t>
      </w:r>
    </w:p>
    <w:p w14:paraId="13DC30B4" w14:textId="77777777" w:rsidR="006E4F45" w:rsidRDefault="00B15C20">
      <w:r>
        <w:t xml:space="preserve">A key human centric concept in </w:t>
      </w:r>
      <w:proofErr w:type="spellStart"/>
      <w:r>
        <w:t>MyData</w:t>
      </w:r>
      <w:proofErr w:type="spellEnd"/>
      <w:r>
        <w:t xml:space="preserve"> architecture is </w:t>
      </w:r>
      <w:proofErr w:type="spellStart"/>
      <w:r>
        <w:rPr>
          <w:b/>
          <w:i/>
        </w:rPr>
        <w:t>MyData</w:t>
      </w:r>
      <w:proofErr w:type="spellEnd"/>
      <w:r>
        <w:rPr>
          <w:b/>
          <w:i/>
        </w:rPr>
        <w:t xml:space="preserve"> Account</w:t>
      </w:r>
      <w:r>
        <w:rPr>
          <w:i/>
        </w:rPr>
        <w:t>,</w:t>
      </w:r>
      <w:r>
        <w:t xml:space="preserve"> which contains individual’s digital identity or identities, linked services, and </w:t>
      </w:r>
      <w:proofErr w:type="spellStart"/>
      <w:r>
        <w:t>authorisations</w:t>
      </w:r>
      <w:proofErr w:type="spellEnd"/>
      <w:r>
        <w:t xml:space="preserve">. Potentially, these are complemented with individual’s other data that help in providing additional or improved services. </w:t>
      </w:r>
    </w:p>
    <w:p w14:paraId="014535BF" w14:textId="77777777" w:rsidR="006E4F45" w:rsidRDefault="006E4F45"/>
    <w:p w14:paraId="572B9762" w14:textId="77777777" w:rsidR="006E4F45" w:rsidRDefault="00B15C20">
      <w:r>
        <w:t>The Account is hosted by an indepen</w:t>
      </w:r>
      <w:r>
        <w:t xml:space="preserve">dent </w:t>
      </w:r>
      <w:proofErr w:type="spellStart"/>
      <w:r>
        <w:t>MyData</w:t>
      </w:r>
      <w:proofErr w:type="spellEnd"/>
      <w:r>
        <w:t xml:space="preserve"> Operator, which also provides the tools for the individual to manage their account. </w:t>
      </w:r>
    </w:p>
    <w:p w14:paraId="3E5B70E1" w14:textId="77777777" w:rsidR="006E4F45" w:rsidRDefault="006E4F45"/>
    <w:p w14:paraId="55064AB8" w14:textId="77777777" w:rsidR="006E4F45" w:rsidRDefault="00B15C20">
      <w:r>
        <w:t xml:space="preserve">Finally, </w:t>
      </w:r>
      <w:proofErr w:type="spellStart"/>
      <w:r>
        <w:t>MyData</w:t>
      </w:r>
      <w:proofErr w:type="spellEnd"/>
      <w:r>
        <w:t xml:space="preserve"> Account also enables the user to switch Operators by taking their Account with them. Portability of the </w:t>
      </w:r>
      <w:proofErr w:type="spellStart"/>
      <w:r>
        <w:t>MyData</w:t>
      </w:r>
      <w:proofErr w:type="spellEnd"/>
      <w:r>
        <w:t xml:space="preserve"> Account is deferred to a later </w:t>
      </w:r>
      <w:r>
        <w:t>architecture release.</w:t>
      </w:r>
    </w:p>
    <w:p w14:paraId="6D6D4CA8" w14:textId="77777777" w:rsidR="006E4F45" w:rsidRDefault="006E4F45">
      <w:pPr>
        <w:pStyle w:val="Heading3"/>
        <w:contextualSpacing w:val="0"/>
      </w:pPr>
      <w:bookmarkStart w:id="6" w:name="_z0o17bxyp6s6" w:colFirst="0" w:colLast="0"/>
      <w:bookmarkEnd w:id="6"/>
    </w:p>
    <w:p w14:paraId="1522C4BE" w14:textId="77777777" w:rsidR="006E4F45" w:rsidRDefault="00B15C20">
      <w:r>
        <w:br w:type="page"/>
      </w:r>
    </w:p>
    <w:p w14:paraId="71E25C4D" w14:textId="77777777" w:rsidR="006E4F45" w:rsidRDefault="006E4F45">
      <w:pPr>
        <w:pStyle w:val="Heading3"/>
        <w:contextualSpacing w:val="0"/>
      </w:pPr>
      <w:bookmarkStart w:id="7" w:name="_re6l9wjengnm" w:colFirst="0" w:colLast="0"/>
      <w:bookmarkEnd w:id="7"/>
    </w:p>
    <w:p w14:paraId="13FBE76B" w14:textId="77777777" w:rsidR="006E4F45" w:rsidRDefault="00B15C20">
      <w:pPr>
        <w:pStyle w:val="Heading3"/>
        <w:contextualSpacing w:val="0"/>
      </w:pPr>
      <w:bookmarkStart w:id="8" w:name="_s0qd6k3bipp1" w:colFirst="0" w:colLast="0"/>
      <w:bookmarkEnd w:id="8"/>
      <w:r>
        <w:t>2.1.2 Operational Roles</w:t>
      </w:r>
    </w:p>
    <w:p w14:paraId="41E9A7A6" w14:textId="77777777" w:rsidR="006E4F45" w:rsidRDefault="00B15C20">
      <w:r>
        <w:t xml:space="preserve">There are four key operational roles in the My Data architecture: </w:t>
      </w:r>
      <w:r>
        <w:rPr>
          <w:i/>
        </w:rPr>
        <w:t>Account Owner</w:t>
      </w:r>
      <w:r>
        <w:t xml:space="preserve">, </w:t>
      </w:r>
      <w:proofErr w:type="spellStart"/>
      <w:r>
        <w:rPr>
          <w:i/>
        </w:rPr>
        <w:t>MyData</w:t>
      </w:r>
      <w:proofErr w:type="spellEnd"/>
      <w:r>
        <w:rPr>
          <w:i/>
        </w:rPr>
        <w:t xml:space="preserve"> Operator</w:t>
      </w:r>
      <w:r>
        <w:t xml:space="preserve">, </w:t>
      </w:r>
      <w:r>
        <w:rPr>
          <w:i/>
        </w:rPr>
        <w:t>Source</w:t>
      </w:r>
      <w:r>
        <w:t xml:space="preserve"> and </w:t>
      </w:r>
      <w:r>
        <w:rPr>
          <w:i/>
        </w:rPr>
        <w:t>Sink</w:t>
      </w:r>
      <w:r>
        <w:t>. Actors (</w:t>
      </w:r>
      <w:proofErr w:type="spellStart"/>
      <w:r>
        <w:t>organisations</w:t>
      </w:r>
      <w:proofErr w:type="spellEnd"/>
      <w:r>
        <w:t xml:space="preserve"> and individuals) may work in one or many of the operational roles. It</w:t>
      </w:r>
      <w:r>
        <w:t xml:space="preserve"> is e.g. very typical for an </w:t>
      </w:r>
      <w:proofErr w:type="spellStart"/>
      <w:r>
        <w:t>organisation</w:t>
      </w:r>
      <w:proofErr w:type="spellEnd"/>
      <w:r>
        <w:t xml:space="preserve"> to simultaneously be in the role of Source and Sink. </w:t>
      </w:r>
    </w:p>
    <w:p w14:paraId="3BD1527D" w14:textId="77777777" w:rsidR="006E4F45" w:rsidRDefault="006E4F45"/>
    <w:p w14:paraId="68564E50" w14:textId="77777777" w:rsidR="006E4F45" w:rsidRDefault="00B15C20">
      <w:r>
        <w:rPr>
          <w:b/>
          <w:i/>
        </w:rPr>
        <w:t>Account Owner</w:t>
      </w:r>
      <w:r>
        <w:t xml:space="preserve"> is the individual who created and is using the account to link new services (see </w:t>
      </w:r>
      <w:r>
        <w:rPr>
          <w:i/>
        </w:rPr>
        <w:t>Service Linking</w:t>
      </w:r>
      <w:r>
        <w:t xml:space="preserve">) and </w:t>
      </w:r>
      <w:proofErr w:type="spellStart"/>
      <w:r>
        <w:t>authorise</w:t>
      </w:r>
      <w:proofErr w:type="spellEnd"/>
      <w:r>
        <w:t xml:space="preserve"> data flow (see </w:t>
      </w:r>
      <w:proofErr w:type="spellStart"/>
      <w:r>
        <w:rPr>
          <w:i/>
        </w:rPr>
        <w:t>Authorisation</w:t>
      </w:r>
      <w:proofErr w:type="spellEnd"/>
      <w:r>
        <w:t>). Ac</w:t>
      </w:r>
      <w:r>
        <w:t>count Owner is usually the Data Subject as defined in Data Protection legislation. One Data Subject may have multiple accounts hosted by the same or different Operators.</w:t>
      </w:r>
    </w:p>
    <w:p w14:paraId="52074926" w14:textId="77777777" w:rsidR="006E4F45" w:rsidRDefault="006E4F45"/>
    <w:p w14:paraId="7C8E1AD5" w14:textId="77777777" w:rsidR="006E4F45" w:rsidRDefault="00B15C20">
      <w:r>
        <w:t xml:space="preserve">Main purposes of the </w:t>
      </w:r>
      <w:proofErr w:type="spellStart"/>
      <w:r>
        <w:rPr>
          <w:b/>
          <w:i/>
        </w:rPr>
        <w:t>MyData</w:t>
      </w:r>
      <w:proofErr w:type="spellEnd"/>
      <w:r>
        <w:rPr>
          <w:b/>
          <w:i/>
        </w:rPr>
        <w:t xml:space="preserve"> Operator</w:t>
      </w:r>
      <w:r>
        <w:t xml:space="preserve"> are to host </w:t>
      </w:r>
      <w:proofErr w:type="spellStart"/>
      <w:r>
        <w:t>MyData</w:t>
      </w:r>
      <w:proofErr w:type="spellEnd"/>
      <w:r>
        <w:t xml:space="preserve"> Accounts as well as the user </w:t>
      </w:r>
      <w:r>
        <w:t xml:space="preserve">interface for managing those accounts. Operator also has to provide the underlying mechanisms for linking Sources and Sinks to the account, and managing the account specific </w:t>
      </w:r>
      <w:proofErr w:type="spellStart"/>
      <w:r>
        <w:t>authorisations</w:t>
      </w:r>
      <w:proofErr w:type="spellEnd"/>
      <w:r>
        <w:t>. The basic vision of the architecture enables the existence and use</w:t>
      </w:r>
      <w:r>
        <w:t xml:space="preserve"> of multiple operators. Each individual can choose to use one or more operators to manage their </w:t>
      </w:r>
      <w:proofErr w:type="spellStart"/>
      <w:r>
        <w:t>authorisations</w:t>
      </w:r>
      <w:proofErr w:type="spellEnd"/>
      <w:r>
        <w:t>.</w:t>
      </w:r>
    </w:p>
    <w:p w14:paraId="72A84A06" w14:textId="77777777" w:rsidR="006E4F45" w:rsidRDefault="006E4F45"/>
    <w:p w14:paraId="3D2CB0B5" w14:textId="77777777" w:rsidR="006E4F45" w:rsidRDefault="00B15C20">
      <w:r>
        <w:rPr>
          <w:b/>
          <w:i/>
        </w:rPr>
        <w:t>Source</w:t>
      </w:r>
      <w:r>
        <w:t xml:space="preserve"> is an entity that can, when </w:t>
      </w:r>
      <w:proofErr w:type="spellStart"/>
      <w:r>
        <w:t>authorised</w:t>
      </w:r>
      <w:proofErr w:type="spellEnd"/>
      <w:r>
        <w:t xml:space="preserve">, provision Account Owner’s data to one or more Sinks and, correspondingly, </w:t>
      </w:r>
      <w:r>
        <w:rPr>
          <w:b/>
          <w:i/>
        </w:rPr>
        <w:t>Sink</w:t>
      </w:r>
      <w:r>
        <w:t xml:space="preserve"> is an entity that</w:t>
      </w:r>
      <w:r>
        <w:t xml:space="preserve"> can, when </w:t>
      </w:r>
      <w:proofErr w:type="spellStart"/>
      <w:r>
        <w:t>authorised</w:t>
      </w:r>
      <w:proofErr w:type="spellEnd"/>
      <w:r>
        <w:t xml:space="preserve">, fetch data from one or more Sources and use the data to produce the agreed services. Both Sources and Sinks need to provide the corresponding </w:t>
      </w:r>
      <w:proofErr w:type="spellStart"/>
      <w:r>
        <w:t>MyData</w:t>
      </w:r>
      <w:proofErr w:type="spellEnd"/>
      <w:r>
        <w:t>-compatible interfaces. Source interfaces enable the management of data provisioning,</w:t>
      </w:r>
      <w:r>
        <w:t xml:space="preserve"> while Sink interfaces enable the management of data usage. It is quite common that a service is working both as Source and Sink, and providing, therefore, both Sink and Source capabilities and interfaces.</w:t>
      </w:r>
    </w:p>
    <w:p w14:paraId="7683D236" w14:textId="77777777" w:rsidR="006E4F45" w:rsidRDefault="00B15C20">
      <w:pPr>
        <w:pStyle w:val="Heading3"/>
        <w:contextualSpacing w:val="0"/>
      </w:pPr>
      <w:bookmarkStart w:id="9" w:name="_nhlivb5ozd8n" w:colFirst="0" w:colLast="0"/>
      <w:bookmarkEnd w:id="9"/>
      <w:r>
        <w:t>2.1.3 Mapping the operational roles with legal rol</w:t>
      </w:r>
      <w:r>
        <w:t>es</w:t>
      </w:r>
    </w:p>
    <w:p w14:paraId="3A24663E" w14:textId="77777777" w:rsidR="006E4F45" w:rsidRDefault="00B15C20">
      <w:r>
        <w:t>For clarity, it is important to map the operational roles Account Owner, Source and Sink with the corresponding legal roles - Data Subject, Data Controller and Processor. The GDPR legal framework only covers cases of personal data where the Data Subject</w:t>
      </w:r>
      <w:r>
        <w:t xml:space="preserve"> is a natural person, but the </w:t>
      </w:r>
      <w:proofErr w:type="spellStart"/>
      <w:r>
        <w:t>MyData</w:t>
      </w:r>
      <w:proofErr w:type="spellEnd"/>
      <w:r>
        <w:t xml:space="preserve"> architecture technically may be used also for managing other data.</w:t>
      </w:r>
    </w:p>
    <w:p w14:paraId="21731F7C" w14:textId="77777777" w:rsidR="006E4F45" w:rsidRDefault="006E4F45"/>
    <w:p w14:paraId="588B8C0C" w14:textId="77777777" w:rsidR="006E4F45" w:rsidRDefault="00B15C20">
      <w:r>
        <w:t xml:space="preserve">When the Account Owner is a natural person and their data is being processed, the Account Owner is the Data Subject. The other legal roles in </w:t>
      </w:r>
      <w:proofErr w:type="spellStart"/>
      <w:r>
        <w:t>MyData</w:t>
      </w:r>
      <w:proofErr w:type="spellEnd"/>
      <w:r>
        <w:t xml:space="preserve"> sy</w:t>
      </w:r>
      <w:r>
        <w:t>stem can be then determined by answering two questions:</w:t>
      </w:r>
    </w:p>
    <w:p w14:paraId="7C888471" w14:textId="77777777" w:rsidR="006E4F45" w:rsidRDefault="00B15C20">
      <w:pPr>
        <w:numPr>
          <w:ilvl w:val="0"/>
          <w:numId w:val="2"/>
        </w:numPr>
        <w:ind w:hanging="360"/>
        <w:contextualSpacing/>
      </w:pPr>
      <w:r>
        <w:t>Who determines the purposes and means of the processing of personal data?</w:t>
      </w:r>
    </w:p>
    <w:p w14:paraId="1C4DEC52" w14:textId="77777777" w:rsidR="006E4F45" w:rsidRDefault="00B15C20">
      <w:pPr>
        <w:numPr>
          <w:ilvl w:val="0"/>
          <w:numId w:val="2"/>
        </w:numPr>
        <w:ind w:hanging="360"/>
        <w:contextualSpacing/>
      </w:pPr>
      <w:r>
        <w:t>Who actually processes the data?</w:t>
      </w:r>
    </w:p>
    <w:p w14:paraId="746FD6A2" w14:textId="77777777" w:rsidR="006E4F45" w:rsidRDefault="006E4F45"/>
    <w:p w14:paraId="018A04AF" w14:textId="77777777" w:rsidR="006E4F45" w:rsidRDefault="00B15C20">
      <w:r>
        <w:t>Two typical cases as shown in Figure 2.2 are:</w:t>
      </w:r>
    </w:p>
    <w:p w14:paraId="26E25C8E" w14:textId="77777777" w:rsidR="006E4F45" w:rsidRDefault="00B15C20">
      <w:pPr>
        <w:numPr>
          <w:ilvl w:val="0"/>
          <w:numId w:val="7"/>
        </w:numPr>
        <w:ind w:hanging="360"/>
        <w:contextualSpacing/>
      </w:pPr>
      <w:r>
        <w:rPr>
          <w:b/>
        </w:rPr>
        <w:t>Delegation:</w:t>
      </w:r>
      <w:r>
        <w:t xml:space="preserve"> With Account Owner’s consent, Sink</w:t>
      </w:r>
      <w:r>
        <w:t xml:space="preserve"> accesses personal data from the Source and processes it for the defined purpose. In this case, both the Source and the Sink are in legal terms Data Controllers.</w:t>
      </w:r>
    </w:p>
    <w:p w14:paraId="55058927" w14:textId="77777777" w:rsidR="006E4F45" w:rsidRDefault="00B15C20">
      <w:pPr>
        <w:numPr>
          <w:ilvl w:val="0"/>
          <w:numId w:val="7"/>
        </w:numPr>
        <w:ind w:hanging="360"/>
        <w:contextualSpacing/>
      </w:pPr>
      <w:r>
        <w:rPr>
          <w:b/>
        </w:rPr>
        <w:t>Repurposing:</w:t>
      </w:r>
      <w:r>
        <w:t xml:space="preserve"> Service is processing personal data for a specified purpose within its own scope</w:t>
      </w:r>
      <w:r>
        <w:t xml:space="preserve"> - at some point the service may suggest for the Account Owner a new purpose or means of processing data. In this case the Service is in legal terms the Data Controller.</w:t>
      </w:r>
    </w:p>
    <w:p w14:paraId="506B9324" w14:textId="77777777" w:rsidR="006E4F45" w:rsidRDefault="006E4F45"/>
    <w:p w14:paraId="49F8B8E0" w14:textId="77777777" w:rsidR="006E4F45" w:rsidRDefault="00B15C20">
      <w:r>
        <w:rPr>
          <w:noProof/>
        </w:rPr>
        <w:drawing>
          <wp:inline distT="114300" distB="114300" distL="114300" distR="114300" wp14:anchorId="253B0BAE" wp14:editId="653BCCCE">
            <wp:extent cx="5865235" cy="2214563"/>
            <wp:effectExtent l="12700" t="12700" r="12700" b="12700"/>
            <wp:docPr id="7" name="image16.png" descr="figure5-1_upperhalf.png"/>
            <wp:cNvGraphicFramePr/>
            <a:graphic xmlns:a="http://schemas.openxmlformats.org/drawingml/2006/main">
              <a:graphicData uri="http://schemas.openxmlformats.org/drawingml/2006/picture">
                <pic:pic xmlns:pic="http://schemas.openxmlformats.org/drawingml/2006/picture">
                  <pic:nvPicPr>
                    <pic:cNvPr id="0" name="image16.png" descr="figure5-1_upperhalf.png"/>
                    <pic:cNvPicPr preferRelativeResize="0"/>
                  </pic:nvPicPr>
                  <pic:blipFill>
                    <a:blip r:embed="rId9"/>
                    <a:srcRect l="13461" r="16506"/>
                    <a:stretch>
                      <a:fillRect/>
                    </a:stretch>
                  </pic:blipFill>
                  <pic:spPr>
                    <a:xfrm>
                      <a:off x="0" y="0"/>
                      <a:ext cx="5865235" cy="2214563"/>
                    </a:xfrm>
                    <a:prstGeom prst="rect">
                      <a:avLst/>
                    </a:prstGeom>
                    <a:ln w="12700">
                      <a:solidFill>
                        <a:srgbClr val="000000"/>
                      </a:solidFill>
                      <a:prstDash val="solid"/>
                    </a:ln>
                  </pic:spPr>
                </pic:pic>
              </a:graphicData>
            </a:graphic>
          </wp:inline>
        </w:drawing>
      </w:r>
      <w:commentRangeStart w:id="10"/>
      <w:commentRangeEnd w:id="10"/>
    </w:p>
    <w:p w14:paraId="65D93952" w14:textId="77777777" w:rsidR="006E4F45" w:rsidRDefault="00B15C20">
      <w:r>
        <w:rPr>
          <w:i/>
        </w:rPr>
        <w:t xml:space="preserve">Figure 2.2: Examples how </w:t>
      </w:r>
      <w:proofErr w:type="spellStart"/>
      <w:r>
        <w:rPr>
          <w:i/>
        </w:rPr>
        <w:t>MyData</w:t>
      </w:r>
      <w:proofErr w:type="spellEnd"/>
      <w:r>
        <w:rPr>
          <w:i/>
        </w:rPr>
        <w:t xml:space="preserve"> approach can support different kinds of data flow use cases such as delegation and repurposing.</w:t>
      </w:r>
    </w:p>
    <w:p w14:paraId="5978F7B9" w14:textId="77777777" w:rsidR="006E4F45" w:rsidRDefault="006E4F45"/>
    <w:p w14:paraId="10C4547E" w14:textId="77777777" w:rsidR="006E4F45" w:rsidRDefault="00B15C20">
      <w:pPr>
        <w:pStyle w:val="Heading2"/>
        <w:contextualSpacing w:val="0"/>
      </w:pPr>
      <w:bookmarkStart w:id="11" w:name="_q4asphmeffao" w:colFirst="0" w:colLast="0"/>
      <w:bookmarkEnd w:id="11"/>
      <w:r>
        <w:t>2.2. Use Case of this Architecture</w:t>
      </w:r>
    </w:p>
    <w:p w14:paraId="56EA28E8" w14:textId="77777777" w:rsidR="006E4F45" w:rsidRDefault="00B15C20">
      <w:r>
        <w:t xml:space="preserve">This example use case is presented to illustrate the possibilities of </w:t>
      </w:r>
      <w:proofErr w:type="spellStart"/>
      <w:r>
        <w:t>MyData</w:t>
      </w:r>
      <w:proofErr w:type="spellEnd"/>
      <w:r>
        <w:t xml:space="preserve"> architecture. T</w:t>
      </w:r>
      <w:r>
        <w:t xml:space="preserve">he case covers a scenario, where </w:t>
      </w:r>
      <w:r>
        <w:rPr>
          <w:i/>
        </w:rPr>
        <w:t>Alice</w:t>
      </w:r>
      <w:r>
        <w:t xml:space="preserve"> </w:t>
      </w:r>
      <w:proofErr w:type="spellStart"/>
      <w:r>
        <w:t>authorises</w:t>
      </w:r>
      <w:proofErr w:type="spellEnd"/>
      <w:r>
        <w:t xml:space="preserve"> a new service </w:t>
      </w:r>
      <w:r>
        <w:rPr>
          <w:i/>
        </w:rPr>
        <w:t>(</w:t>
      </w:r>
      <w:r>
        <w:t xml:space="preserve">imaginary service </w:t>
      </w:r>
      <w:r>
        <w:rPr>
          <w:i/>
        </w:rPr>
        <w:t>Balance)</w:t>
      </w:r>
      <w:r>
        <w:t xml:space="preserve"> to access her data from other compatible services </w:t>
      </w:r>
      <w:r>
        <w:rPr>
          <w:i/>
        </w:rPr>
        <w:t>(</w:t>
      </w:r>
      <w:r>
        <w:t>imaginary services</w:t>
      </w:r>
      <w:r>
        <w:rPr>
          <w:i/>
        </w:rPr>
        <w:t xml:space="preserve"> Fresh Lunch and </w:t>
      </w:r>
      <w:proofErr w:type="spellStart"/>
      <w:r>
        <w:rPr>
          <w:i/>
        </w:rPr>
        <w:t>TrackMe</w:t>
      </w:r>
      <w:proofErr w:type="spellEnd"/>
      <w:r>
        <w:rPr>
          <w:i/>
        </w:rPr>
        <w:t>)</w:t>
      </w:r>
      <w:r>
        <w:t xml:space="preserve"> using her Operator (imaginary service </w:t>
      </w:r>
      <w:proofErr w:type="spellStart"/>
      <w:r>
        <w:rPr>
          <w:i/>
        </w:rPr>
        <w:t>MyData</w:t>
      </w:r>
      <w:proofErr w:type="spellEnd"/>
      <w:r>
        <w:rPr>
          <w:i/>
        </w:rPr>
        <w:t xml:space="preserve"> Link)</w:t>
      </w:r>
      <w:r>
        <w:t>. Currently delegat</w:t>
      </w:r>
      <w:r>
        <w:t>ion is the only use case handled throughout the architecture related specifications and reference implementations. Other use cases are deferred to future architecture releases.</w:t>
      </w:r>
      <w:r>
        <w:br/>
      </w:r>
      <w:r>
        <w:br/>
      </w:r>
      <w:r>
        <w:rPr>
          <w:noProof/>
        </w:rPr>
        <w:drawing>
          <wp:inline distT="114300" distB="114300" distL="114300" distR="114300" wp14:anchorId="422CD653" wp14:editId="4D26FFAD">
            <wp:extent cx="4405313" cy="3141609"/>
            <wp:effectExtent l="0" t="0" r="0" b="0"/>
            <wp:docPr id="11" name="image21.png" descr="Screen Shot 2016-03-07 at 23.01.22.png"/>
            <wp:cNvGraphicFramePr/>
            <a:graphic xmlns:a="http://schemas.openxmlformats.org/drawingml/2006/main">
              <a:graphicData uri="http://schemas.openxmlformats.org/drawingml/2006/picture">
                <pic:pic xmlns:pic="http://schemas.openxmlformats.org/drawingml/2006/picture">
                  <pic:nvPicPr>
                    <pic:cNvPr id="0" name="image21.png" descr="Screen Shot 2016-03-07 at 23.01.22.png"/>
                    <pic:cNvPicPr preferRelativeResize="0"/>
                  </pic:nvPicPr>
                  <pic:blipFill>
                    <a:blip r:embed="rId10"/>
                    <a:srcRect/>
                    <a:stretch>
                      <a:fillRect/>
                    </a:stretch>
                  </pic:blipFill>
                  <pic:spPr>
                    <a:xfrm>
                      <a:off x="0" y="0"/>
                      <a:ext cx="4405313" cy="3141609"/>
                    </a:xfrm>
                    <a:prstGeom prst="rect">
                      <a:avLst/>
                    </a:prstGeom>
                    <a:ln/>
                  </pic:spPr>
                </pic:pic>
              </a:graphicData>
            </a:graphic>
          </wp:inline>
        </w:drawing>
      </w:r>
    </w:p>
    <w:p w14:paraId="703042E4" w14:textId="77777777" w:rsidR="006E4F45" w:rsidRDefault="006E4F45"/>
    <w:p w14:paraId="06831347" w14:textId="77777777" w:rsidR="006E4F45" w:rsidRDefault="00B15C20">
      <w:r>
        <w:t>Prerequisites:</w:t>
      </w:r>
    </w:p>
    <w:p w14:paraId="6D873460" w14:textId="77777777" w:rsidR="006E4F45" w:rsidRDefault="00B15C20">
      <w:pPr>
        <w:numPr>
          <w:ilvl w:val="0"/>
          <w:numId w:val="3"/>
        </w:numPr>
        <w:ind w:hanging="360"/>
        <w:contextualSpacing/>
        <w:rPr>
          <w:rFonts w:ascii="Arial" w:eastAsia="Arial" w:hAnsi="Arial" w:cs="Arial"/>
          <w:sz w:val="20"/>
          <w:szCs w:val="20"/>
        </w:rPr>
      </w:pPr>
      <w:r>
        <w:lastRenderedPageBreak/>
        <w:t xml:space="preserve">Fresh Lunch, </w:t>
      </w:r>
      <w:proofErr w:type="spellStart"/>
      <w:r>
        <w:t>TrackMe</w:t>
      </w:r>
      <w:proofErr w:type="spellEnd"/>
      <w:r>
        <w:t xml:space="preserve"> and Balance are already known services </w:t>
      </w:r>
      <w:r>
        <w:t xml:space="preserve">at </w:t>
      </w:r>
      <w:proofErr w:type="spellStart"/>
      <w:r>
        <w:t>MyData</w:t>
      </w:r>
      <w:proofErr w:type="spellEnd"/>
      <w:r>
        <w:t xml:space="preserve"> Link</w:t>
      </w:r>
    </w:p>
    <w:p w14:paraId="76F13FCE" w14:textId="77777777" w:rsidR="006E4F45" w:rsidRDefault="00B15C20">
      <w:pPr>
        <w:numPr>
          <w:ilvl w:val="0"/>
          <w:numId w:val="3"/>
        </w:numPr>
        <w:ind w:hanging="360"/>
        <w:contextualSpacing/>
        <w:rPr>
          <w:rFonts w:ascii="Arial" w:eastAsia="Arial" w:hAnsi="Arial" w:cs="Arial"/>
          <w:sz w:val="20"/>
          <w:szCs w:val="20"/>
        </w:rPr>
      </w:pPr>
      <w:r>
        <w:t xml:space="preserve">Alice has an account at </w:t>
      </w:r>
      <w:proofErr w:type="spellStart"/>
      <w:r>
        <w:t>MyData</w:t>
      </w:r>
      <w:proofErr w:type="spellEnd"/>
      <w:r>
        <w:t xml:space="preserve"> Link</w:t>
      </w:r>
    </w:p>
    <w:p w14:paraId="2029C8A2" w14:textId="77777777" w:rsidR="006E4F45" w:rsidRDefault="00B15C20">
      <w:pPr>
        <w:numPr>
          <w:ilvl w:val="0"/>
          <w:numId w:val="3"/>
        </w:numPr>
        <w:ind w:hanging="360"/>
        <w:contextualSpacing/>
        <w:rPr>
          <w:rFonts w:ascii="Arial" w:eastAsia="Arial" w:hAnsi="Arial" w:cs="Arial"/>
          <w:sz w:val="20"/>
          <w:szCs w:val="20"/>
        </w:rPr>
      </w:pPr>
      <w:r>
        <w:t xml:space="preserve">Alice has an account in </w:t>
      </w:r>
      <w:proofErr w:type="spellStart"/>
      <w:r>
        <w:t>TrackMe</w:t>
      </w:r>
      <w:proofErr w:type="spellEnd"/>
      <w:r>
        <w:t xml:space="preserve">, and she has the service on her account at </w:t>
      </w:r>
      <w:proofErr w:type="spellStart"/>
      <w:r>
        <w:t>MyData</w:t>
      </w:r>
      <w:proofErr w:type="spellEnd"/>
      <w:r>
        <w:t xml:space="preserve"> Link</w:t>
      </w:r>
    </w:p>
    <w:p w14:paraId="7E02BFFF" w14:textId="77777777" w:rsidR="006E4F45" w:rsidRDefault="006E4F45"/>
    <w:p w14:paraId="4A8C8EF9" w14:textId="77777777" w:rsidR="006E4F45" w:rsidRDefault="00B15C20">
      <w:r>
        <w:t>Story:</w:t>
      </w:r>
    </w:p>
    <w:p w14:paraId="0D55D1AF" w14:textId="77777777" w:rsidR="006E4F45" w:rsidRDefault="00B15C20">
      <w:r>
        <w:t>Alice gets a tip about a new application “Balance” for her mobile phone from her personal trainer Bob and deci</w:t>
      </w:r>
      <w:r>
        <w:t>des to try it out.</w:t>
      </w:r>
    </w:p>
    <w:p w14:paraId="3059D747" w14:textId="77777777" w:rsidR="006E4F45" w:rsidRDefault="006E4F45"/>
    <w:p w14:paraId="01A49B2F" w14:textId="77777777" w:rsidR="006E4F45" w:rsidRDefault="00B15C20">
      <w:r>
        <w:t xml:space="preserve">Balance is </w:t>
      </w:r>
      <w:proofErr w:type="spellStart"/>
      <w:r>
        <w:t>MyData</w:t>
      </w:r>
      <w:proofErr w:type="spellEnd"/>
      <w:r>
        <w:t xml:space="preserve"> compatible and, thus, it asks Alice, if she already has a </w:t>
      </w:r>
      <w:proofErr w:type="spellStart"/>
      <w:r>
        <w:t>MyData</w:t>
      </w:r>
      <w:proofErr w:type="spellEnd"/>
      <w:r>
        <w:t xml:space="preserve"> Account with which to </w:t>
      </w:r>
      <w:r>
        <w:rPr>
          <w:i/>
        </w:rPr>
        <w:t>link</w:t>
      </w:r>
      <w:r>
        <w:t xml:space="preserve">, or if she would be interested in creating a new account with a recommended operator. Alice picks the ‘Link existing account’ </w:t>
      </w:r>
      <w:r>
        <w:t xml:space="preserve">choice and authenticates to her account at </w:t>
      </w:r>
      <w:proofErr w:type="spellStart"/>
      <w:r>
        <w:t>MyData</w:t>
      </w:r>
      <w:proofErr w:type="spellEnd"/>
      <w:r>
        <w:t xml:space="preserve"> Link from within the Balance app.</w:t>
      </w:r>
    </w:p>
    <w:p w14:paraId="22E20C21" w14:textId="77777777" w:rsidR="006E4F45" w:rsidRDefault="006E4F45"/>
    <w:p w14:paraId="54F80E5A" w14:textId="77777777" w:rsidR="006E4F45" w:rsidRDefault="00B15C20">
      <w:r>
        <w:t>The Balance app then suggests that Alice links also her activity tracker and restaurant bill data, as access to these would improve the use of the app. However, Balance ca</w:t>
      </w:r>
      <w:r>
        <w:t xml:space="preserve">n be used also without these enriching data sources. By using the embedded </w:t>
      </w:r>
      <w:proofErr w:type="spellStart"/>
      <w:r>
        <w:t>MyData</w:t>
      </w:r>
      <w:proofErr w:type="spellEnd"/>
      <w:r>
        <w:t xml:space="preserve"> Link user interface within the Balance app, Alice </w:t>
      </w:r>
      <w:proofErr w:type="spellStart"/>
      <w:r>
        <w:rPr>
          <w:i/>
        </w:rPr>
        <w:t>authorises</w:t>
      </w:r>
      <w:proofErr w:type="spellEnd"/>
      <w:r>
        <w:t xml:space="preserve"> the Balance app to access her data from </w:t>
      </w:r>
      <w:proofErr w:type="spellStart"/>
      <w:r>
        <w:t>TrackMe</w:t>
      </w:r>
      <w:proofErr w:type="spellEnd"/>
      <w:r>
        <w:t>, but leaves the restaurant bills out.</w:t>
      </w:r>
    </w:p>
    <w:p w14:paraId="4B4B7929" w14:textId="77777777" w:rsidR="006E4F45" w:rsidRDefault="006E4F45"/>
    <w:p w14:paraId="2973EF9D" w14:textId="77777777" w:rsidR="006E4F45" w:rsidRDefault="00B15C20">
      <w:r>
        <w:t>Later Alice logs in to her</w:t>
      </w:r>
      <w:r>
        <w:t xml:space="preserve"> operator </w:t>
      </w:r>
      <w:proofErr w:type="spellStart"/>
      <w:r>
        <w:t>MyData</w:t>
      </w:r>
      <w:proofErr w:type="spellEnd"/>
      <w:r>
        <w:t xml:space="preserve"> Link and sees that the recently connected Balance app now appears on the list of her services. User Interface of the </w:t>
      </w:r>
      <w:proofErr w:type="spellStart"/>
      <w:r>
        <w:t>MyData</w:t>
      </w:r>
      <w:proofErr w:type="spellEnd"/>
      <w:r>
        <w:t xml:space="preserve"> Link operator has functionality for </w:t>
      </w:r>
      <w:r>
        <w:rPr>
          <w:i/>
        </w:rPr>
        <w:t>discovering</w:t>
      </w:r>
      <w:r>
        <w:t xml:space="preserve"> compatible services amongst those the operator has on its service l</w:t>
      </w:r>
      <w:r>
        <w:t xml:space="preserve">isting. With that Alice finds out that Balance app could also use data from the Fresh Lunch restaurant chain. Alice decides to subscribe to Fresh Lunch’s loyalty program, link Fresh Lunch to her account at </w:t>
      </w:r>
      <w:proofErr w:type="spellStart"/>
      <w:r>
        <w:t>MyData</w:t>
      </w:r>
      <w:proofErr w:type="spellEnd"/>
      <w:r>
        <w:t xml:space="preserve"> Link, and </w:t>
      </w:r>
      <w:proofErr w:type="spellStart"/>
      <w:r>
        <w:t>authorises</w:t>
      </w:r>
      <w:proofErr w:type="spellEnd"/>
      <w:r>
        <w:t xml:space="preserve"> the Balance app to acc</w:t>
      </w:r>
      <w:r>
        <w:t>ess her restaurant bill data.</w:t>
      </w:r>
    </w:p>
    <w:p w14:paraId="5FBC2C14" w14:textId="77777777" w:rsidR="006E4F45" w:rsidRDefault="006E4F45"/>
    <w:p w14:paraId="50F3F77F" w14:textId="77777777" w:rsidR="006E4F45" w:rsidRDefault="00B15C20">
      <w:r>
        <w:t xml:space="preserve">After authorizations are granted, the Balance app fetches the data from the API interfaces offered by </w:t>
      </w:r>
      <w:proofErr w:type="spellStart"/>
      <w:r>
        <w:t>TrackMe</w:t>
      </w:r>
      <w:proofErr w:type="spellEnd"/>
      <w:r>
        <w:t xml:space="preserve"> and </w:t>
      </w:r>
      <w:proofErr w:type="spellStart"/>
      <w:r>
        <w:t>and</w:t>
      </w:r>
      <w:proofErr w:type="spellEnd"/>
      <w:r>
        <w:t xml:space="preserve"> Fresh Lunch using a </w:t>
      </w:r>
      <w:r>
        <w:rPr>
          <w:i/>
        </w:rPr>
        <w:t>data connection</w:t>
      </w:r>
      <w:r>
        <w:t>. Balance app then uses Alice’s data to provide infographics of her nutr</w:t>
      </w:r>
      <w:r>
        <w:t xml:space="preserve">itional </w:t>
      </w:r>
      <w:proofErr w:type="spellStart"/>
      <w:r>
        <w:t>behaviour</w:t>
      </w:r>
      <w:proofErr w:type="spellEnd"/>
      <w:r>
        <w:t xml:space="preserve"> versus her current health state and targets.</w:t>
      </w:r>
    </w:p>
    <w:p w14:paraId="3A6AA31F" w14:textId="77777777" w:rsidR="006E4F45" w:rsidRDefault="00B15C20">
      <w:pPr>
        <w:pStyle w:val="Heading2"/>
        <w:contextualSpacing w:val="0"/>
      </w:pPr>
      <w:bookmarkStart w:id="12" w:name="_g3dgacgckvl5" w:colFirst="0" w:colLast="0"/>
      <w:bookmarkEnd w:id="12"/>
      <w:r>
        <w:t>2.3. Transactions</w:t>
      </w:r>
    </w:p>
    <w:p w14:paraId="2800A9E4" w14:textId="77777777" w:rsidR="006E4F45" w:rsidRDefault="00B15C20">
      <w:r>
        <w:t>At the highest level there are four sequential (always executed strictly in order listed below) transaction types between Sources, Sinks and the Operator as shown in Figure 2.</w:t>
      </w:r>
      <w:r>
        <w:t>3:</w:t>
      </w:r>
    </w:p>
    <w:p w14:paraId="3C824A33" w14:textId="77777777" w:rsidR="006E4F45" w:rsidRDefault="006E4F45"/>
    <w:p w14:paraId="6D654D1B" w14:textId="77777777" w:rsidR="006E4F45" w:rsidRDefault="00B15C20">
      <w:r>
        <w:rPr>
          <w:b/>
        </w:rPr>
        <w:t xml:space="preserve">1. Account Creation and Service Registration: </w:t>
      </w:r>
      <w:r>
        <w:t>Prerequisites for linking new services to an Account are that the Data Subject has created an Account at Operator and that the service to be added has been registere</w:t>
      </w:r>
      <w:r>
        <w:t xml:space="preserve">d in the Operator’s service registry. Service Registration is discussed in </w:t>
      </w:r>
      <w:hyperlink w:anchor="_ycmyid1smpqb">
        <w:r>
          <w:rPr>
            <w:color w:val="1155CC"/>
            <w:u w:val="single"/>
          </w:rPr>
          <w:t>Section 4</w:t>
        </w:r>
      </w:hyperlink>
      <w:r>
        <w:t>.</w:t>
      </w:r>
    </w:p>
    <w:p w14:paraId="624C090E" w14:textId="77777777" w:rsidR="006E4F45" w:rsidRDefault="006E4F45"/>
    <w:p w14:paraId="1A044EDB" w14:textId="77777777" w:rsidR="006E4F45" w:rsidRDefault="00B15C20">
      <w:r>
        <w:rPr>
          <w:b/>
        </w:rPr>
        <w:t>2. Service Linking:</w:t>
      </w:r>
      <w:r>
        <w:t xml:space="preserve"> Account Owner links a new Source or Sink to their </w:t>
      </w:r>
      <w:proofErr w:type="spellStart"/>
      <w:r>
        <w:t>MyData</w:t>
      </w:r>
      <w:proofErr w:type="spellEnd"/>
      <w:r>
        <w:t xml:space="preserve"> Account. Only services that are linked to an Account can</w:t>
      </w:r>
      <w:r>
        <w:t xml:space="preserve"> be </w:t>
      </w:r>
      <w:proofErr w:type="spellStart"/>
      <w:r>
        <w:t>authorised</w:t>
      </w:r>
      <w:proofErr w:type="spellEnd"/>
      <w:r>
        <w:t xml:space="preserve">. Service Linking is discussed in </w:t>
      </w:r>
      <w:hyperlink w:anchor="_4g32twnc431z">
        <w:r>
          <w:rPr>
            <w:color w:val="1155CC"/>
            <w:u w:val="single"/>
          </w:rPr>
          <w:t>Section 5</w:t>
        </w:r>
      </w:hyperlink>
      <w:r>
        <w:t xml:space="preserve">. Account Owner can discover compatible services to link by using Operator’s Service Discovery functionality, which is discussed in </w:t>
      </w:r>
      <w:hyperlink w:anchor="_nuq9go3mlaoe">
        <w:r>
          <w:rPr>
            <w:color w:val="1155CC"/>
            <w:u w:val="single"/>
          </w:rPr>
          <w:t>Section 5.3</w:t>
        </w:r>
      </w:hyperlink>
      <w:r>
        <w:t>.</w:t>
      </w:r>
    </w:p>
    <w:p w14:paraId="3251E932" w14:textId="77777777" w:rsidR="006E4F45" w:rsidRDefault="006E4F45"/>
    <w:p w14:paraId="0B6C0181" w14:textId="77777777" w:rsidR="006E4F45" w:rsidRDefault="00B15C20">
      <w:r>
        <w:rPr>
          <w:b/>
        </w:rPr>
        <w:lastRenderedPageBreak/>
        <w:t xml:space="preserve">3. </w:t>
      </w:r>
      <w:proofErr w:type="spellStart"/>
      <w:r>
        <w:rPr>
          <w:b/>
        </w:rPr>
        <w:t>Authorisation</w:t>
      </w:r>
      <w:proofErr w:type="spellEnd"/>
      <w:r>
        <w:rPr>
          <w:b/>
        </w:rPr>
        <w:t>:</w:t>
      </w:r>
      <w:r>
        <w:t xml:space="preserve"> Account Owner </w:t>
      </w:r>
      <w:proofErr w:type="spellStart"/>
      <w:r>
        <w:t>authorises</w:t>
      </w:r>
      <w:proofErr w:type="spellEnd"/>
      <w:r>
        <w:t xml:space="preserve"> a specific Source to provide her data for a specific Sink and the Sink to use that data</w:t>
      </w:r>
      <w:r>
        <w:t xml:space="preserve"> or a service to further process data it already has. In this architecture version all </w:t>
      </w:r>
      <w:proofErr w:type="spellStart"/>
      <w:r>
        <w:t>Authorisations</w:t>
      </w:r>
      <w:proofErr w:type="spellEnd"/>
      <w:r>
        <w:t xml:space="preserve"> are consent-based. </w:t>
      </w:r>
      <w:proofErr w:type="spellStart"/>
      <w:r>
        <w:t>Authorisation</w:t>
      </w:r>
      <w:proofErr w:type="spellEnd"/>
      <w:r>
        <w:t xml:space="preserve"> is discussed in </w:t>
      </w:r>
      <w:hyperlink w:anchor="_pdnyzu9te7y6">
        <w:r>
          <w:rPr>
            <w:color w:val="1155CC"/>
            <w:u w:val="single"/>
          </w:rPr>
          <w:t>Section 6</w:t>
        </w:r>
      </w:hyperlink>
      <w:r>
        <w:t>.</w:t>
      </w:r>
    </w:p>
    <w:p w14:paraId="49825946" w14:textId="77777777" w:rsidR="006E4F45" w:rsidRDefault="006E4F45"/>
    <w:p w14:paraId="28A7C11A" w14:textId="77777777" w:rsidR="006E4F45" w:rsidRDefault="00B15C20">
      <w:r>
        <w:rPr>
          <w:b/>
        </w:rPr>
        <w:t>4. Data Connection:</w:t>
      </w:r>
      <w:r>
        <w:t xml:space="preserve"> Sink requests data from a Source, rel</w:t>
      </w:r>
      <w:r>
        <w:t xml:space="preserve">ying on the acquired </w:t>
      </w:r>
      <w:proofErr w:type="spellStart"/>
      <w:r>
        <w:t>authorisation</w:t>
      </w:r>
      <w:proofErr w:type="spellEnd"/>
      <w:r>
        <w:t xml:space="preserve">. Data Connection is discussed in </w:t>
      </w:r>
      <w:hyperlink w:anchor="_q1yusgvt7c2k">
        <w:r>
          <w:rPr>
            <w:color w:val="1155CC"/>
            <w:u w:val="single"/>
          </w:rPr>
          <w:t>Section 7</w:t>
        </w:r>
      </w:hyperlink>
      <w:r>
        <w:t>.</w:t>
      </w:r>
    </w:p>
    <w:p w14:paraId="46A7C0C9" w14:textId="77777777" w:rsidR="006E4F45" w:rsidRDefault="006E4F45"/>
    <w:p w14:paraId="2C9BBDA8" w14:textId="77777777" w:rsidR="006E4F45" w:rsidRDefault="00B15C20">
      <w:r>
        <w:rPr>
          <w:noProof/>
        </w:rPr>
        <w:drawing>
          <wp:inline distT="114300" distB="114300" distL="114300" distR="114300" wp14:anchorId="6C2B5B4C" wp14:editId="565A6F70">
            <wp:extent cx="5943600" cy="44577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4457700"/>
                    </a:xfrm>
                    <a:prstGeom prst="rect">
                      <a:avLst/>
                    </a:prstGeom>
                    <a:ln/>
                  </pic:spPr>
                </pic:pic>
              </a:graphicData>
            </a:graphic>
          </wp:inline>
        </w:drawing>
      </w:r>
    </w:p>
    <w:p w14:paraId="6DC79950" w14:textId="77777777" w:rsidR="006E4F45" w:rsidRDefault="00B15C20">
      <w:pPr>
        <w:jc w:val="center"/>
      </w:pPr>
      <w:bookmarkStart w:id="13" w:name="kix.4xk7wgc5te3n" w:colFirst="0" w:colLast="0"/>
      <w:bookmarkEnd w:id="13"/>
      <w:r>
        <w:rPr>
          <w:i/>
        </w:rPr>
        <w:t>Figure 2.3: Pre-conditions and the transaction types between Sources, Sinks and the Operator.</w:t>
      </w:r>
    </w:p>
    <w:p w14:paraId="1D51969D" w14:textId="77777777" w:rsidR="006E4F45" w:rsidRDefault="006E4F45"/>
    <w:p w14:paraId="5E0BC4F3" w14:textId="77777777" w:rsidR="006E4F45" w:rsidRDefault="00B15C20">
      <w:r>
        <w:t xml:space="preserve">All transactions performed within </w:t>
      </w:r>
      <w:proofErr w:type="spellStart"/>
      <w:r>
        <w:t>MyData</w:t>
      </w:r>
      <w:proofErr w:type="spellEnd"/>
      <w:r>
        <w:t xml:space="preserve"> ar</w:t>
      </w:r>
      <w:r>
        <w:t xml:space="preserve">chitecture all recorded into an Audit Log. This log can be can be used for auditing purposes (c.f. the current databases used in hospitals that automatically log each time someone accesses medical records so that any </w:t>
      </w:r>
      <w:proofErr w:type="spellStart"/>
      <w:r>
        <w:t>unauthorised</w:t>
      </w:r>
      <w:proofErr w:type="spellEnd"/>
      <w:r>
        <w:t xml:space="preserve"> use can later be acted upo</w:t>
      </w:r>
      <w:r>
        <w:t xml:space="preserve">n) as well as constructing an up-to-date summary of all Service Links, </w:t>
      </w:r>
      <w:proofErr w:type="spellStart"/>
      <w:r>
        <w:t>Authorisations</w:t>
      </w:r>
      <w:proofErr w:type="spellEnd"/>
      <w:r>
        <w:t xml:space="preserve"> and Data Connections associated with a specific </w:t>
      </w:r>
      <w:proofErr w:type="spellStart"/>
      <w:r>
        <w:t>MyData</w:t>
      </w:r>
      <w:proofErr w:type="spellEnd"/>
      <w:r>
        <w:t xml:space="preserve"> Account.</w:t>
      </w:r>
    </w:p>
    <w:p w14:paraId="048F75CC" w14:textId="77777777" w:rsidR="006E4F45" w:rsidRDefault="006E4F45"/>
    <w:p w14:paraId="0EA6CC95" w14:textId="24986AEF" w:rsidR="006E4F45" w:rsidRDefault="00B15C20">
      <w:r>
        <w:t>More detailed technical description of the architecture can be found from the technical specifications [2</w:t>
      </w:r>
      <w:r w:rsidR="00B12115">
        <w:t>-6</w:t>
      </w:r>
      <w:r>
        <w:t>].</w:t>
      </w:r>
    </w:p>
    <w:p w14:paraId="30032FD2" w14:textId="77777777" w:rsidR="006E4F45" w:rsidRDefault="006E4F45"/>
    <w:p w14:paraId="054E4DE7" w14:textId="77777777" w:rsidR="006E4F45" w:rsidRDefault="00B15C20">
      <w:pPr>
        <w:pStyle w:val="Heading2"/>
        <w:contextualSpacing w:val="0"/>
      </w:pPr>
      <w:bookmarkStart w:id="14" w:name="_koe8c9f3rfz2" w:colFirst="0" w:colLast="0"/>
      <w:bookmarkEnd w:id="14"/>
      <w:r>
        <w:lastRenderedPageBreak/>
        <w:t>2.4. Key Related standards</w:t>
      </w:r>
    </w:p>
    <w:p w14:paraId="280F5CC1" w14:textId="77777777" w:rsidR="006E4F45" w:rsidRDefault="00B15C20">
      <w:pPr>
        <w:jc w:val="center"/>
      </w:pPr>
      <w:r>
        <w:rPr>
          <w:noProof/>
        </w:rPr>
        <w:drawing>
          <wp:inline distT="114300" distB="114300" distL="114300" distR="114300" wp14:anchorId="66720D34" wp14:editId="407164D9">
            <wp:extent cx="5568315" cy="4095924"/>
            <wp:effectExtent l="0" t="0" r="0" b="0"/>
            <wp:docPr id="8" name="image17.png" descr="Related_Standards.png"/>
            <wp:cNvGraphicFramePr/>
            <a:graphic xmlns:a="http://schemas.openxmlformats.org/drawingml/2006/main">
              <a:graphicData uri="http://schemas.openxmlformats.org/drawingml/2006/picture">
                <pic:pic xmlns:pic="http://schemas.openxmlformats.org/drawingml/2006/picture">
                  <pic:nvPicPr>
                    <pic:cNvPr id="0" name="image17.png" descr="Related_Standards.png"/>
                    <pic:cNvPicPr preferRelativeResize="0"/>
                  </pic:nvPicPr>
                  <pic:blipFill>
                    <a:blip r:embed="rId12"/>
                    <a:srcRect l="2305" r="2305"/>
                    <a:stretch>
                      <a:fillRect/>
                    </a:stretch>
                  </pic:blipFill>
                  <pic:spPr>
                    <a:xfrm>
                      <a:off x="0" y="0"/>
                      <a:ext cx="5568315" cy="4095924"/>
                    </a:xfrm>
                    <a:prstGeom prst="rect">
                      <a:avLst/>
                    </a:prstGeom>
                    <a:ln/>
                  </pic:spPr>
                </pic:pic>
              </a:graphicData>
            </a:graphic>
          </wp:inline>
        </w:drawing>
      </w:r>
    </w:p>
    <w:p w14:paraId="706616AD" w14:textId="77777777" w:rsidR="006E4F45" w:rsidRDefault="00B15C20">
      <w:pPr>
        <w:jc w:val="center"/>
      </w:pPr>
      <w:bookmarkStart w:id="15" w:name="kix.a3fxn6uyj3q4" w:colFirst="0" w:colLast="0"/>
      <w:bookmarkEnd w:id="15"/>
      <w:r>
        <w:rPr>
          <w:i/>
        </w:rPr>
        <w:t>Figure 2.4: Key related standards.</w:t>
      </w:r>
    </w:p>
    <w:p w14:paraId="1780DE64" w14:textId="77777777" w:rsidR="006E4F45" w:rsidRDefault="006E4F45"/>
    <w:p w14:paraId="45E05966" w14:textId="77777777" w:rsidR="006E4F45" w:rsidRDefault="00B15C20">
      <w:r>
        <w:t xml:space="preserve">The development of </w:t>
      </w:r>
      <w:proofErr w:type="spellStart"/>
      <w:r>
        <w:t>MyData</w:t>
      </w:r>
      <w:proofErr w:type="spellEnd"/>
      <w:r>
        <w:t xml:space="preserve"> architecture has been influenced by many existing and upcoming standards, specifications, and questions raised from reading them. Of particular importance are </w:t>
      </w:r>
      <w:r>
        <w:t xml:space="preserve">OAuth 2.0, User Managed Access (UMA) and OpenID Connect as well as the upcoming </w:t>
      </w:r>
      <w:proofErr w:type="spellStart"/>
      <w:r>
        <w:t>Kantara</w:t>
      </w:r>
      <w:proofErr w:type="spellEnd"/>
      <w:r>
        <w:t xml:space="preserve"> Initiative’s Consent Record specification (abbreviated here and in other </w:t>
      </w:r>
      <w:proofErr w:type="spellStart"/>
      <w:r>
        <w:t>MyData</w:t>
      </w:r>
      <w:proofErr w:type="spellEnd"/>
      <w:r>
        <w:t xml:space="preserve"> technical specifications as KI-CR). When applicable, we have used the existing technolog</w:t>
      </w:r>
      <w:r>
        <w:t>ies and terminology, but in some areas we have simplified the solution to better suit our needs.</w:t>
      </w:r>
    </w:p>
    <w:p w14:paraId="4AD28B4D" w14:textId="77777777" w:rsidR="006E4F45" w:rsidRDefault="006E4F45"/>
    <w:p w14:paraId="0A36DC5F" w14:textId="77777777" w:rsidR="006E4F45" w:rsidRDefault="00B15C20">
      <w:r>
        <w:t xml:space="preserve">Our </w:t>
      </w:r>
      <w:proofErr w:type="spellStart"/>
      <w:r>
        <w:t>authorisation</w:t>
      </w:r>
      <w:proofErr w:type="spellEnd"/>
      <w:r>
        <w:t xml:space="preserve"> is based on a centralized </w:t>
      </w:r>
      <w:proofErr w:type="spellStart"/>
      <w:r>
        <w:t>authorisation</w:t>
      </w:r>
      <w:proofErr w:type="spellEnd"/>
      <w:r>
        <w:t xml:space="preserve"> server similar to UMA. The fact that resource servers and clients are always discoverable and truste</w:t>
      </w:r>
      <w:r>
        <w:t xml:space="preserve">d via their registration to the service registry enables our </w:t>
      </w:r>
      <w:proofErr w:type="spellStart"/>
      <w:r>
        <w:t>authorisation</w:t>
      </w:r>
      <w:proofErr w:type="spellEnd"/>
      <w:r>
        <w:t xml:space="preserve"> flow to require fewer messages compared to full UMA flow as we no longer need to introduce the parties to each other in the beginning of </w:t>
      </w:r>
      <w:proofErr w:type="spellStart"/>
      <w:r>
        <w:t>authorisation</w:t>
      </w:r>
      <w:proofErr w:type="spellEnd"/>
      <w:r>
        <w:t xml:space="preserve">. </w:t>
      </w:r>
    </w:p>
    <w:p w14:paraId="75B0E25A" w14:textId="77777777" w:rsidR="006E4F45" w:rsidRDefault="006E4F45"/>
    <w:p w14:paraId="1DE89F97" w14:textId="77777777" w:rsidR="006E4F45" w:rsidRDefault="00B15C20">
      <w:r>
        <w:t xml:space="preserve">The </w:t>
      </w:r>
      <w:proofErr w:type="spellStart"/>
      <w:r>
        <w:t>authorisation</w:t>
      </w:r>
      <w:proofErr w:type="spellEnd"/>
      <w:r>
        <w:t xml:space="preserve"> mechanism</w:t>
      </w:r>
      <w:r>
        <w:t xml:space="preserve"> used in this architecture is similar to OAuth 2.0 </w:t>
      </w:r>
      <w:proofErr w:type="spellStart"/>
      <w:r>
        <w:t>Authorisation</w:t>
      </w:r>
      <w:proofErr w:type="spellEnd"/>
      <w:r>
        <w:t xml:space="preserve"> Code flow model as the communication is expected always to happen between secure servers. No other flows are supported. A strong conceptual difference is in defining Resource Sets that are fi</w:t>
      </w:r>
      <w:r>
        <w:t xml:space="preserve">nally to be </w:t>
      </w:r>
      <w:proofErr w:type="spellStart"/>
      <w:r>
        <w:t>authorised</w:t>
      </w:r>
      <w:proofErr w:type="spellEnd"/>
      <w:r>
        <w:t xml:space="preserve">: Resource Set Registration is initiated in our architecture by the Resource Owner at the time of </w:t>
      </w:r>
      <w:proofErr w:type="spellStart"/>
      <w:r>
        <w:t>authorisation</w:t>
      </w:r>
      <w:proofErr w:type="spellEnd"/>
      <w:r>
        <w:t xml:space="preserve"> transaction, not a priori by the Resource Server.</w:t>
      </w:r>
    </w:p>
    <w:p w14:paraId="003F384E" w14:textId="77777777" w:rsidR="006E4F45" w:rsidRDefault="006E4F45"/>
    <w:p w14:paraId="145FB0A6" w14:textId="77777777" w:rsidR="006E4F45" w:rsidRDefault="00B15C20">
      <w:r>
        <w:lastRenderedPageBreak/>
        <w:t xml:space="preserve">We use JSON Web Token and JSON Web Key from OpenID </w:t>
      </w:r>
      <w:proofErr w:type="spellStart"/>
      <w:r>
        <w:t>Connect’s</w:t>
      </w:r>
      <w:proofErr w:type="spellEnd"/>
      <w:r>
        <w:t xml:space="preserve"> model to a</w:t>
      </w:r>
      <w:r>
        <w:t xml:space="preserve">uthenticate each party (RS, AS, client, Service Registry) involved in the message exchange. Also, OpenID Connect </w:t>
      </w:r>
      <w:proofErr w:type="gramStart"/>
      <w:r>
        <w:t>related</w:t>
      </w:r>
      <w:proofErr w:type="gramEnd"/>
      <w:r>
        <w:t xml:space="preserve"> Identity provider &amp; federation models for arranging the assurance levels and trust network required in the background is currently work</w:t>
      </w:r>
      <w:r>
        <w:t>-in-progress.</w:t>
      </w:r>
    </w:p>
    <w:p w14:paraId="36089F82" w14:textId="77777777" w:rsidR="006E4F45" w:rsidRDefault="006E4F45"/>
    <w:p w14:paraId="03DBFFD9" w14:textId="77777777" w:rsidR="006E4F45" w:rsidRDefault="00B15C20">
      <w:r>
        <w:t xml:space="preserve">Consent and assignment registry and related digital proofs (transaction records) are built on the upcoming Minimum Viable Consent Receipt specification, a work evolving in </w:t>
      </w:r>
      <w:proofErr w:type="spellStart"/>
      <w:r>
        <w:t>Kantara</w:t>
      </w:r>
      <w:proofErr w:type="spellEnd"/>
      <w:r>
        <w:t xml:space="preserve"> Initiative’s CISWG. </w:t>
      </w:r>
    </w:p>
    <w:p w14:paraId="29F2E7AC" w14:textId="77777777" w:rsidR="006E4F45" w:rsidRDefault="006E4F45"/>
    <w:p w14:paraId="66AE8208" w14:textId="77777777" w:rsidR="006E4F45" w:rsidRDefault="00B15C20">
      <w:r>
        <w:t>W3C’s Data Catalog vocabulary and The RDF Data Cube Vocabulary are used in Service Registry specification. Both of these vocabularies are published as W3C Recommendation 2014 and they are developed for increasing findability of datasets and data items, and</w:t>
      </w:r>
      <w:r>
        <w:t xml:space="preserve"> interoperability between datasets. They enable </w:t>
      </w:r>
      <w:proofErr w:type="spellStart"/>
      <w:r>
        <w:t>authorisations</w:t>
      </w:r>
      <w:proofErr w:type="spellEnd"/>
      <w:r>
        <w:t xml:space="preserve"> to be used only between compatible services.</w:t>
      </w:r>
    </w:p>
    <w:p w14:paraId="4FBF50DC" w14:textId="77777777" w:rsidR="006E4F45" w:rsidRDefault="006E4F45">
      <w:pPr>
        <w:pStyle w:val="Heading1"/>
        <w:contextualSpacing w:val="0"/>
      </w:pPr>
      <w:bookmarkStart w:id="16" w:name="_omfvqbp77wc4" w:colFirst="0" w:colLast="0"/>
      <w:bookmarkEnd w:id="16"/>
    </w:p>
    <w:p w14:paraId="798DED99" w14:textId="77777777" w:rsidR="006E4F45" w:rsidRDefault="00B15C20">
      <w:r>
        <w:br w:type="page"/>
      </w:r>
    </w:p>
    <w:p w14:paraId="54E0F314" w14:textId="77777777" w:rsidR="006E4F45" w:rsidRDefault="006E4F45">
      <w:pPr>
        <w:pStyle w:val="Heading1"/>
        <w:contextualSpacing w:val="0"/>
      </w:pPr>
      <w:bookmarkStart w:id="17" w:name="_noln274a3zrx" w:colFirst="0" w:colLast="0"/>
      <w:bookmarkEnd w:id="17"/>
    </w:p>
    <w:p w14:paraId="54DA20B4" w14:textId="77777777" w:rsidR="006E4F45" w:rsidRDefault="00B15C20">
      <w:pPr>
        <w:pStyle w:val="Heading1"/>
        <w:contextualSpacing w:val="0"/>
      </w:pPr>
      <w:bookmarkStart w:id="18" w:name="_amaduladeuum" w:colFirst="0" w:colLast="0"/>
      <w:bookmarkEnd w:id="18"/>
      <w:r>
        <w:t xml:space="preserve">3. </w:t>
      </w:r>
      <w:proofErr w:type="spellStart"/>
      <w:r>
        <w:t>MyData</w:t>
      </w:r>
      <w:proofErr w:type="spellEnd"/>
      <w:r>
        <w:t xml:space="preserve"> Account</w:t>
      </w:r>
    </w:p>
    <w:p w14:paraId="4F257C72" w14:textId="77777777" w:rsidR="006E4F45" w:rsidRDefault="00B15C20">
      <w:r>
        <w:t xml:space="preserve">Functionally, </w:t>
      </w:r>
      <w:proofErr w:type="spellStart"/>
      <w:r>
        <w:t>MyData</w:t>
      </w:r>
      <w:proofErr w:type="spellEnd"/>
      <w:r>
        <w:t xml:space="preserve"> Account is the key enabler in </w:t>
      </w:r>
      <w:proofErr w:type="spellStart"/>
      <w:r>
        <w:t>authorising</w:t>
      </w:r>
      <w:proofErr w:type="spellEnd"/>
      <w:r>
        <w:t>, controlling and logging the data flow between multiple service</w:t>
      </w:r>
      <w:r>
        <w:t xml:space="preserve">s. It keeps track of individual’s consents and other relevant information in a single place thus providing a unified view to all the </w:t>
      </w:r>
      <w:proofErr w:type="spellStart"/>
      <w:r>
        <w:t>Authorisations</w:t>
      </w:r>
      <w:proofErr w:type="spellEnd"/>
      <w:r>
        <w:t xml:space="preserve"> of data flows. Also, it makes it easier for the individual to manage the flows as they are all defined with </w:t>
      </w:r>
      <w:r>
        <w:t xml:space="preserve">the same tools, which makes it easier to compare different </w:t>
      </w:r>
      <w:proofErr w:type="spellStart"/>
      <w:r>
        <w:t>Authorisations</w:t>
      </w:r>
      <w:proofErr w:type="spellEnd"/>
      <w:r>
        <w:t>.</w:t>
      </w:r>
    </w:p>
    <w:p w14:paraId="6C240032" w14:textId="77777777" w:rsidR="006E4F45" w:rsidRDefault="006E4F45"/>
    <w:p w14:paraId="3C2875C0" w14:textId="77777777" w:rsidR="006E4F45" w:rsidRDefault="00B15C20">
      <w:r>
        <w:t xml:space="preserve">Typically, </w:t>
      </w:r>
      <w:proofErr w:type="spellStart"/>
      <w:r>
        <w:t>MyData</w:t>
      </w:r>
      <w:proofErr w:type="spellEnd"/>
      <w:r>
        <w:t xml:space="preserve"> Account </w:t>
      </w:r>
      <w:proofErr w:type="spellStart"/>
      <w:r>
        <w:t>constain</w:t>
      </w:r>
      <w:proofErr w:type="spellEnd"/>
    </w:p>
    <w:p w14:paraId="773A1CB1" w14:textId="77777777" w:rsidR="006E4F45" w:rsidRDefault="00B15C20">
      <w:pPr>
        <w:numPr>
          <w:ilvl w:val="0"/>
          <w:numId w:val="8"/>
        </w:numPr>
        <w:ind w:hanging="360"/>
        <w:contextualSpacing/>
      </w:pPr>
      <w:r>
        <w:t xml:space="preserve">basic information about the Account Owner, e.g. contact detail, preferences </w:t>
      </w:r>
      <w:proofErr w:type="spellStart"/>
      <w:r>
        <w:t>etc</w:t>
      </w:r>
      <w:proofErr w:type="spellEnd"/>
    </w:p>
    <w:p w14:paraId="0B6B9941" w14:textId="77777777" w:rsidR="006E4F45" w:rsidRDefault="00B15C20">
      <w:pPr>
        <w:numPr>
          <w:ilvl w:val="0"/>
          <w:numId w:val="8"/>
        </w:numPr>
        <w:ind w:hanging="360"/>
        <w:contextualSpacing/>
      </w:pPr>
      <w:r>
        <w:t>individual’s identities for both single sign-on (SSO) uses and fo</w:t>
      </w:r>
      <w:r>
        <w:t>r managing the Service Links and consents. Depending on the implementation, Account could hold just the public keys or both the public and private keys. Naturally, hosting private keys poses more stringent security requirements for the Operator.</w:t>
      </w:r>
    </w:p>
    <w:p w14:paraId="39E31C45" w14:textId="77777777" w:rsidR="006E4F45" w:rsidRDefault="00B15C20">
      <w:pPr>
        <w:numPr>
          <w:ilvl w:val="0"/>
          <w:numId w:val="8"/>
        </w:numPr>
        <w:ind w:hanging="360"/>
        <w:contextualSpacing/>
      </w:pPr>
      <w:r>
        <w:t>individual</w:t>
      </w:r>
      <w:r>
        <w:t xml:space="preserve">’s Service Links and </w:t>
      </w:r>
      <w:proofErr w:type="spellStart"/>
      <w:r>
        <w:t>Authorisations</w:t>
      </w:r>
      <w:proofErr w:type="spellEnd"/>
      <w:r>
        <w:t xml:space="preserve"> as well as their respective Status Records</w:t>
      </w:r>
    </w:p>
    <w:p w14:paraId="58C04BBF" w14:textId="77777777" w:rsidR="006E4F45" w:rsidRDefault="006E4F45"/>
    <w:p w14:paraId="6426BF91" w14:textId="77777777" w:rsidR="006E4F45" w:rsidRDefault="00B15C20">
      <w:r>
        <w:t xml:space="preserve">To be operational, the Account has to be hosted by a </w:t>
      </w:r>
      <w:proofErr w:type="spellStart"/>
      <w:r>
        <w:t>MyData</w:t>
      </w:r>
      <w:proofErr w:type="spellEnd"/>
      <w:r>
        <w:t xml:space="preserve"> Operator. It is expected that most of the operator services will be provided by </w:t>
      </w:r>
      <w:proofErr w:type="spellStart"/>
      <w:r>
        <w:t>organisations</w:t>
      </w:r>
      <w:proofErr w:type="spellEnd"/>
      <w:r>
        <w:t>, though it is also pos</w:t>
      </w:r>
      <w:r>
        <w:t xml:space="preserve">sible for individuals to run the operator software themselves thus becoming self-operators. The key difference is that </w:t>
      </w:r>
      <w:proofErr w:type="spellStart"/>
      <w:r>
        <w:t>organisations</w:t>
      </w:r>
      <w:proofErr w:type="spellEnd"/>
      <w:r>
        <w:t xml:space="preserve"> can potentially provide additional trust, assurance and security levels compared to a self-operator. Acceptance and audit p</w:t>
      </w:r>
      <w:r>
        <w:t>rocess for an organization wishing to serve as a trusted operator are beyond the scope of this document</w:t>
      </w:r>
      <w:r>
        <w:rPr>
          <w:vertAlign w:val="superscript"/>
        </w:rPr>
        <w:footnoteReference w:id="5"/>
      </w:r>
      <w:r>
        <w:t xml:space="preserve">. </w:t>
      </w:r>
    </w:p>
    <w:p w14:paraId="3D900E12" w14:textId="77777777" w:rsidR="006E4F45" w:rsidRDefault="006E4F45"/>
    <w:p w14:paraId="5A788DB2" w14:textId="77777777" w:rsidR="006E4F45" w:rsidRDefault="00B15C20">
      <w:r>
        <w:t xml:space="preserve">The information in a </w:t>
      </w:r>
      <w:proofErr w:type="spellStart"/>
      <w:r>
        <w:t>MyData</w:t>
      </w:r>
      <w:proofErr w:type="spellEnd"/>
      <w:r>
        <w:t xml:space="preserve"> Account is designed for portability allowing the individual to change operators by taking their account with them. The i</w:t>
      </w:r>
      <w:r>
        <w:t>mplementation of portability as a service between Operators is deferred to a later architecture release.</w:t>
      </w:r>
    </w:p>
    <w:p w14:paraId="5DE0D89A" w14:textId="77777777" w:rsidR="006E4F45" w:rsidRDefault="006E4F45"/>
    <w:p w14:paraId="15E27E37" w14:textId="77777777" w:rsidR="006E4F45" w:rsidRDefault="00B15C20">
      <w:r>
        <w:t xml:space="preserve">More detailed technical information about the </w:t>
      </w:r>
      <w:proofErr w:type="spellStart"/>
      <w:r>
        <w:t>MyData</w:t>
      </w:r>
      <w:proofErr w:type="spellEnd"/>
      <w:r>
        <w:t xml:space="preserve"> Account can be found in the </w:t>
      </w:r>
      <w:proofErr w:type="spellStart"/>
      <w:r>
        <w:t>MyData</w:t>
      </w:r>
      <w:proofErr w:type="spellEnd"/>
      <w:r>
        <w:t xml:space="preserve"> Account specification [2].</w:t>
      </w:r>
    </w:p>
    <w:p w14:paraId="2D10B788" w14:textId="77777777" w:rsidR="006E4F45" w:rsidRDefault="00B15C20">
      <w:r>
        <w:br w:type="page"/>
      </w:r>
    </w:p>
    <w:p w14:paraId="755DB50B" w14:textId="77777777" w:rsidR="006E4F45" w:rsidRDefault="006E4F45">
      <w:pPr>
        <w:pStyle w:val="Heading1"/>
        <w:contextualSpacing w:val="0"/>
      </w:pPr>
      <w:bookmarkStart w:id="19" w:name="_ult554u2u66a" w:colFirst="0" w:colLast="0"/>
      <w:bookmarkEnd w:id="19"/>
    </w:p>
    <w:p w14:paraId="26F762A1" w14:textId="77777777" w:rsidR="006E4F45" w:rsidRDefault="00B15C20">
      <w:pPr>
        <w:pStyle w:val="Heading1"/>
        <w:contextualSpacing w:val="0"/>
      </w:pPr>
      <w:bookmarkStart w:id="20" w:name="_ycmyid1smpqb" w:colFirst="0" w:colLast="0"/>
      <w:bookmarkEnd w:id="20"/>
      <w:r>
        <w:t>4. Service Registration and Serv</w:t>
      </w:r>
      <w:r>
        <w:t>ice Discovery</w:t>
      </w:r>
    </w:p>
    <w:p w14:paraId="7B8F893C" w14:textId="77777777" w:rsidR="006E4F45" w:rsidRDefault="00B15C20">
      <w:r>
        <w:t>Service Registry is part of the Operator and it provides two major functions: it maintains a database of all services accessible with this Operator (Service Registration) and it enable searching for compatible services (Service Discovery) bot</w:t>
      </w:r>
      <w:r>
        <w:t>h for the Account Owners using the services and for the developers of services. This section first introduces the different service descriptions used with the registry and then goes over the Service Registration and Service Discovery processes. More detail</w:t>
      </w:r>
      <w:r>
        <w:t xml:space="preserve">ed technical information about the Service Registry can be found in the </w:t>
      </w:r>
      <w:proofErr w:type="spellStart"/>
      <w:r>
        <w:t>MyData</w:t>
      </w:r>
      <w:proofErr w:type="spellEnd"/>
      <w:r>
        <w:t xml:space="preserve"> Service Registry technical specification [3].</w:t>
      </w:r>
    </w:p>
    <w:p w14:paraId="4C90BF54" w14:textId="77777777" w:rsidR="006E4F45" w:rsidRDefault="00B15C20">
      <w:pPr>
        <w:pStyle w:val="Heading2"/>
        <w:contextualSpacing w:val="0"/>
      </w:pPr>
      <w:bookmarkStart w:id="21" w:name="_4tzdniws3prq" w:colFirst="0" w:colLast="0"/>
      <w:bookmarkEnd w:id="21"/>
      <w:r>
        <w:t>4.1 Service Description</w:t>
      </w:r>
    </w:p>
    <w:p w14:paraId="6808CF28" w14:textId="77777777" w:rsidR="006E4F45" w:rsidRDefault="00B15C20">
      <w:r>
        <w:t>For efficient service management, discovery, and matching, each service needs to be described in the Servic</w:t>
      </w:r>
      <w:r>
        <w:t>e Registry. In addition to the compulsory description data such as service ID and some promotional material e.g. service logo, a Service Description is an aggregation of multiple levels of service descriptions as shown in Figure 4.1:</w:t>
      </w:r>
    </w:p>
    <w:p w14:paraId="350022F9" w14:textId="77777777" w:rsidR="006E4F45" w:rsidRDefault="00B15C20">
      <w:pPr>
        <w:numPr>
          <w:ilvl w:val="0"/>
          <w:numId w:val="4"/>
        </w:numPr>
        <w:ind w:hanging="360"/>
        <w:contextualSpacing/>
      </w:pPr>
      <w:r>
        <w:t>a Human Readable Descr</w:t>
      </w:r>
      <w:r>
        <w:t xml:space="preserve">iption forms a basis for promoting and introducing the services to Account Owners </w:t>
      </w:r>
    </w:p>
    <w:p w14:paraId="614A8472" w14:textId="77777777" w:rsidR="006E4F45" w:rsidRDefault="00B15C20">
      <w:pPr>
        <w:numPr>
          <w:ilvl w:val="0"/>
          <w:numId w:val="4"/>
        </w:numPr>
        <w:ind w:hanging="360"/>
        <w:contextualSpacing/>
      </w:pPr>
      <w:r>
        <w:t>a set of Technical Descriptions on the service interface functionalities need to be introduced in order to provide tools for service interoperability</w:t>
      </w:r>
    </w:p>
    <w:p w14:paraId="02C7E907" w14:textId="77777777" w:rsidR="006E4F45" w:rsidRDefault="00B15C20">
      <w:pPr>
        <w:numPr>
          <w:ilvl w:val="0"/>
          <w:numId w:val="4"/>
        </w:numPr>
        <w:ind w:hanging="360"/>
        <w:contextualSpacing/>
      </w:pPr>
      <w:r>
        <w:t xml:space="preserve">Service Data Description is required for intelligent service discovery and matching </w:t>
      </w:r>
    </w:p>
    <w:p w14:paraId="4A435C54" w14:textId="77777777" w:rsidR="006E4F45" w:rsidRDefault="006E4F45"/>
    <w:p w14:paraId="1539D17F" w14:textId="77777777" w:rsidR="006E4F45" w:rsidRDefault="00B15C20">
      <w:r>
        <w:rPr>
          <w:noProof/>
        </w:rPr>
        <w:drawing>
          <wp:inline distT="114300" distB="114300" distL="114300" distR="114300" wp14:anchorId="5936B451" wp14:editId="22B07F50">
            <wp:extent cx="5943600" cy="32131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3"/>
                    <a:srcRect/>
                    <a:stretch>
                      <a:fillRect/>
                    </a:stretch>
                  </pic:blipFill>
                  <pic:spPr>
                    <a:xfrm>
                      <a:off x="0" y="0"/>
                      <a:ext cx="5943600" cy="3213100"/>
                    </a:xfrm>
                    <a:prstGeom prst="rect">
                      <a:avLst/>
                    </a:prstGeom>
                    <a:ln/>
                  </pic:spPr>
                </pic:pic>
              </a:graphicData>
            </a:graphic>
          </wp:inline>
        </w:drawing>
      </w:r>
    </w:p>
    <w:p w14:paraId="6626AA7C" w14:textId="77777777" w:rsidR="006E4F45" w:rsidRDefault="00B15C20">
      <w:pPr>
        <w:jc w:val="center"/>
      </w:pPr>
      <w:bookmarkStart w:id="22" w:name="kix.2ymwgssjfjnx" w:colFirst="0" w:colLast="0"/>
      <w:bookmarkEnd w:id="22"/>
      <w:r>
        <w:rPr>
          <w:i/>
        </w:rPr>
        <w:t>Figure 4.1: Realization of a service registration</w:t>
      </w:r>
    </w:p>
    <w:p w14:paraId="74673D79" w14:textId="77777777" w:rsidR="006E4F45" w:rsidRDefault="006E4F45"/>
    <w:p w14:paraId="4F3F162D" w14:textId="77777777" w:rsidR="00B12115" w:rsidRDefault="00B12115">
      <w:pPr>
        <w:pStyle w:val="Heading3"/>
        <w:contextualSpacing w:val="0"/>
      </w:pPr>
      <w:bookmarkStart w:id="23" w:name="_b2lbm6fghf8o" w:colFirst="0" w:colLast="0"/>
      <w:bookmarkEnd w:id="23"/>
    </w:p>
    <w:p w14:paraId="42428999" w14:textId="77777777" w:rsidR="00B12115" w:rsidRDefault="00B12115">
      <w:pPr>
        <w:pStyle w:val="Heading3"/>
        <w:contextualSpacing w:val="0"/>
      </w:pPr>
    </w:p>
    <w:p w14:paraId="37AE3069" w14:textId="77777777" w:rsidR="006E4F45" w:rsidRDefault="00B15C20">
      <w:pPr>
        <w:pStyle w:val="Heading3"/>
        <w:contextualSpacing w:val="0"/>
      </w:pPr>
      <w:r>
        <w:lastRenderedPageBreak/>
        <w:t>4.1.1 Human Readable Description</w:t>
      </w:r>
    </w:p>
    <w:p w14:paraId="308403E3" w14:textId="77777777" w:rsidR="006E4F45" w:rsidRDefault="00B15C20">
      <w:r>
        <w:t>A</w:t>
      </w:r>
      <w:r>
        <w:t xml:space="preserve"> basic Service Description contains a unique service ID, a human readable textual presentation of the service, and possible material (logo etc.) for promoting the service. These are used in various stages for presenting the service and its data in a non-te</w:t>
      </w:r>
      <w:r>
        <w:t>chnical, end-user friendly way, such as in the service store, where the Account Owner can discover services. The idea for the Human Readable Descriptions on both the service functionality and the data the service collects or manages is that the Account Own</w:t>
      </w:r>
      <w:r>
        <w:t>er or the developer trying to link the particular service to his own ecosystem can easily get an overview of the concept.</w:t>
      </w:r>
    </w:p>
    <w:p w14:paraId="5395E9D7" w14:textId="77777777" w:rsidR="006E4F45" w:rsidRDefault="006E4F45"/>
    <w:p w14:paraId="3938B6CC" w14:textId="77777777" w:rsidR="006E4F45" w:rsidRDefault="00B15C20">
      <w:pPr>
        <w:pStyle w:val="Heading3"/>
        <w:contextualSpacing w:val="0"/>
      </w:pPr>
      <w:bookmarkStart w:id="24" w:name="_kcntxc1zok3w" w:colFirst="0" w:colLast="0"/>
      <w:bookmarkEnd w:id="24"/>
      <w:r>
        <w:t>4.1.2 Technical Service Description</w:t>
      </w:r>
    </w:p>
    <w:p w14:paraId="4FC973D8" w14:textId="77777777" w:rsidR="006E4F45" w:rsidRDefault="00B15C20">
      <w:r>
        <w:t>The Technical Service Description is a document required only for Source services. It presents th</w:t>
      </w:r>
      <w:r>
        <w:t>e technical API for accessing a particular resource. This document can be, for example, a WADL document presenting the API of a REST-style resource interface. WADL (Web Application Description Language) is a machine-readable XML description of HTTP-based w</w:t>
      </w:r>
      <w:r>
        <w:t xml:space="preserve">eb applications. The API is then implemented by one or more data resource instances or service instances. Each service provider specific instance is given </w:t>
      </w:r>
      <w:proofErr w:type="gramStart"/>
      <w:r>
        <w:t>an</w:t>
      </w:r>
      <w:proofErr w:type="gramEnd"/>
      <w:r>
        <w:t xml:space="preserve"> unique ID, which in combination with instance’s unique address enable service linking (Section 5),</w:t>
      </w:r>
      <w:r>
        <w:t xml:space="preserve"> </w:t>
      </w:r>
      <w:proofErr w:type="spellStart"/>
      <w:r>
        <w:t>authorisation</w:t>
      </w:r>
      <w:proofErr w:type="spellEnd"/>
      <w:r>
        <w:t xml:space="preserve"> management (Section 6) and data access (Section 7).</w:t>
      </w:r>
    </w:p>
    <w:p w14:paraId="7E6E0719" w14:textId="77777777" w:rsidR="006E4F45" w:rsidRDefault="006E4F45"/>
    <w:p w14:paraId="5E133DEB" w14:textId="77777777" w:rsidR="006E4F45" w:rsidRDefault="00B15C20">
      <w:pPr>
        <w:pStyle w:val="Heading3"/>
        <w:contextualSpacing w:val="0"/>
      </w:pPr>
      <w:bookmarkStart w:id="25" w:name="_ye29b5tyvi34" w:colFirst="0" w:colLast="0"/>
      <w:bookmarkEnd w:id="25"/>
      <w:r>
        <w:t>4.1.3 Service Data Description</w:t>
      </w:r>
    </w:p>
    <w:p w14:paraId="233B59AF" w14:textId="77777777" w:rsidR="006E4F45" w:rsidRDefault="00B15C20">
      <w:r>
        <w:t>Service Data Description presents the data provided through the service, and it enables finding relevant Sources based on different criteria. For service dev</w:t>
      </w:r>
      <w:r>
        <w:t>elopers, it supports finding and integrating relevant Sources to a Sink, and for Account Owners it facilitates making recommendations about relevant Sources and Sinks. The description enables defining, what data elements are offered by a Source or required</w:t>
      </w:r>
      <w:r>
        <w:t xml:space="preserve"> by a Sink. This information is also needed when showing to an end user, what kind of data elements are available in a Source, which the Account Owner uses in deciding, which data elements are made available to a Sink.</w:t>
      </w:r>
    </w:p>
    <w:p w14:paraId="36EC44F9" w14:textId="77777777" w:rsidR="006E4F45" w:rsidRDefault="006E4F45"/>
    <w:p w14:paraId="211ED95A" w14:textId="77777777" w:rsidR="006E4F45" w:rsidRDefault="00B15C20">
      <w:r>
        <w:t>Service Data Description defines met</w:t>
      </w:r>
      <w:r>
        <w:t xml:space="preserve">adata about data of a service. It includes general metadata such as title, description, subject and publisher. In addition, it describes what kind of data a Source produces and from where and in which format it is available. A Service Data Description for </w:t>
      </w:r>
      <w:r>
        <w:t>a Sink describes what kind of data it uses and needs.</w:t>
      </w:r>
    </w:p>
    <w:p w14:paraId="378523D1" w14:textId="77777777" w:rsidR="006E4F45" w:rsidRDefault="006E4F45"/>
    <w:p w14:paraId="09BBE5C4" w14:textId="77777777" w:rsidR="006E4F45" w:rsidRDefault="00B15C20">
      <w:r>
        <w:t>Linking of metadata elements to Linked Data and common classification schemes is also supported. The purpose is to establish a common understanding of various data elements, to enable correct interpret</w:t>
      </w:r>
      <w:r>
        <w:t xml:space="preserve">ation of the data, to enable searching of data based on different criteria and relations of data elements, and to enable utilization of data in new services and applications. </w:t>
      </w:r>
    </w:p>
    <w:p w14:paraId="086A45B5" w14:textId="77777777" w:rsidR="006E4F45" w:rsidRDefault="006E4F45"/>
    <w:p w14:paraId="7000D863" w14:textId="77777777" w:rsidR="006E4F45" w:rsidRDefault="00B15C20">
      <w:r>
        <w:t>Different functionalities such as data transformations, semantic enrichment, an</w:t>
      </w:r>
      <w:r>
        <w:t>d mapping of data elements are needed to support service providers in creating and validating semantic service descriptions. The descriptions are collected when Sources and Sinks are registered in a Service Registry.</w:t>
      </w:r>
    </w:p>
    <w:p w14:paraId="6B7A5189" w14:textId="77777777" w:rsidR="006E4F45" w:rsidRDefault="00B15C20">
      <w:pPr>
        <w:pStyle w:val="Heading2"/>
        <w:contextualSpacing w:val="0"/>
      </w:pPr>
      <w:bookmarkStart w:id="26" w:name="_5d7g8esoify" w:colFirst="0" w:colLast="0"/>
      <w:bookmarkEnd w:id="26"/>
      <w:r>
        <w:lastRenderedPageBreak/>
        <w:t>4.2 Service Registration</w:t>
      </w:r>
    </w:p>
    <w:p w14:paraId="4E96F379" w14:textId="77777777" w:rsidR="006E4F45" w:rsidRDefault="00B15C20">
      <w:r>
        <w:t>Service Regist</w:t>
      </w:r>
      <w:r>
        <w:t>ration is a three step process, where the necessary information for using and discovering the service are published in the registry in a uniform way as shown in Figure 4.2:</w:t>
      </w:r>
    </w:p>
    <w:p w14:paraId="100748CB" w14:textId="77777777" w:rsidR="006E4F45" w:rsidRDefault="00B15C20">
      <w:pPr>
        <w:numPr>
          <w:ilvl w:val="0"/>
          <w:numId w:val="6"/>
        </w:numPr>
        <w:ind w:hanging="360"/>
        <w:contextualSpacing/>
      </w:pPr>
      <w:r>
        <w:t>Service provider registers the services and receives a unique ID (within this regis</w:t>
      </w:r>
      <w:r>
        <w:t xml:space="preserve">try) for the service. Many operations such as </w:t>
      </w:r>
      <w:proofErr w:type="spellStart"/>
      <w:r>
        <w:t>authorisation</w:t>
      </w:r>
      <w:proofErr w:type="spellEnd"/>
      <w:r>
        <w:t xml:space="preserve"> management or data access logging require the services to be identified. </w:t>
      </w:r>
    </w:p>
    <w:p w14:paraId="02805370" w14:textId="77777777" w:rsidR="006E4F45" w:rsidRDefault="00B15C20">
      <w:pPr>
        <w:numPr>
          <w:ilvl w:val="0"/>
          <w:numId w:val="6"/>
        </w:numPr>
        <w:ind w:hanging="360"/>
        <w:contextualSpacing/>
      </w:pPr>
      <w:r>
        <w:t>Service provider adds the service descriptions discussed above</w:t>
      </w:r>
    </w:p>
    <w:p w14:paraId="100DB24D" w14:textId="77777777" w:rsidR="006E4F45" w:rsidRDefault="00B15C20">
      <w:pPr>
        <w:numPr>
          <w:ilvl w:val="0"/>
          <w:numId w:val="6"/>
        </w:numPr>
        <w:ind w:hanging="360"/>
        <w:contextualSpacing/>
      </w:pPr>
      <w:r>
        <w:t>Service Developer provided URLs of service endpoints are li</w:t>
      </w:r>
      <w:r>
        <w:t xml:space="preserve">nked with the service Resource Description. </w:t>
      </w:r>
    </w:p>
    <w:p w14:paraId="787DF9CE" w14:textId="77777777" w:rsidR="006E4F45" w:rsidRDefault="006E4F45"/>
    <w:p w14:paraId="13E54FC5" w14:textId="77777777" w:rsidR="006E4F45" w:rsidRDefault="00B15C20">
      <w:r>
        <w:rPr>
          <w:noProof/>
        </w:rPr>
        <w:drawing>
          <wp:inline distT="114300" distB="114300" distL="114300" distR="114300" wp14:anchorId="6810EB83" wp14:editId="6C27FD6B">
            <wp:extent cx="5943600" cy="2222500"/>
            <wp:effectExtent l="0" t="0" r="0" b="0"/>
            <wp:docPr id="4" name="image08.png" descr="Stack1.1 - Service Registration  - Service Registration - V-20160219.png"/>
            <wp:cNvGraphicFramePr/>
            <a:graphic xmlns:a="http://schemas.openxmlformats.org/drawingml/2006/main">
              <a:graphicData uri="http://schemas.openxmlformats.org/drawingml/2006/picture">
                <pic:pic xmlns:pic="http://schemas.openxmlformats.org/drawingml/2006/picture">
                  <pic:nvPicPr>
                    <pic:cNvPr id="0" name="image08.png" descr="Stack1.1 - Service Registration  - Service Registration - V-20160219.png"/>
                    <pic:cNvPicPr preferRelativeResize="0"/>
                  </pic:nvPicPr>
                  <pic:blipFill>
                    <a:blip r:embed="rId14"/>
                    <a:srcRect l="3186" r="3186"/>
                    <a:stretch>
                      <a:fillRect/>
                    </a:stretch>
                  </pic:blipFill>
                  <pic:spPr>
                    <a:xfrm>
                      <a:off x="0" y="0"/>
                      <a:ext cx="5943600" cy="2222500"/>
                    </a:xfrm>
                    <a:prstGeom prst="rect">
                      <a:avLst/>
                    </a:prstGeom>
                    <a:ln/>
                  </pic:spPr>
                </pic:pic>
              </a:graphicData>
            </a:graphic>
          </wp:inline>
        </w:drawing>
      </w:r>
    </w:p>
    <w:p w14:paraId="5F31FCD3" w14:textId="77777777" w:rsidR="006E4F45" w:rsidRDefault="00B15C20">
      <w:pPr>
        <w:jc w:val="center"/>
      </w:pPr>
      <w:r>
        <w:rPr>
          <w:i/>
        </w:rPr>
        <w:t>Figure 4.2: Registering a service to a Service Registry</w:t>
      </w:r>
    </w:p>
    <w:p w14:paraId="1BBD16B4" w14:textId="77777777" w:rsidR="006E4F45" w:rsidRDefault="006E4F45"/>
    <w:p w14:paraId="401CA805" w14:textId="77777777" w:rsidR="006E4F45" w:rsidRDefault="00B15C20">
      <w:r>
        <w:t xml:space="preserve">For service descriptions, the minimum requirement for each Source service is to provide at least one technical interface description (e.g. WADL for REST interface). For enabling advanced service matching and resource set -specific </w:t>
      </w:r>
      <w:proofErr w:type="spellStart"/>
      <w:r>
        <w:t>authorisation</w:t>
      </w:r>
      <w:proofErr w:type="spellEnd"/>
      <w:r>
        <w:t xml:space="preserve"> management,</w:t>
      </w:r>
      <w:r>
        <w:t xml:space="preserve"> Service Data Descriptions are also required for both Sink and Source type services. In addition to these technical documents, a set of variables describing the service to the service developers (e.g. name, version number, icon, Human Readable Description,</w:t>
      </w:r>
      <w:r>
        <w:t xml:space="preserve"> etc.) and identifying the service (e.g. provider information) are also registered. These documents are stored on the service provider’s server and only referenced through URL’s from the Service Registry. </w:t>
      </w:r>
    </w:p>
    <w:p w14:paraId="26669D3D" w14:textId="77777777" w:rsidR="006E4F45" w:rsidRDefault="006E4F45"/>
    <w:p w14:paraId="49AAE355" w14:textId="77777777" w:rsidR="006E4F45" w:rsidRDefault="00B15C20">
      <w:r>
        <w:t xml:space="preserve">After a Service Description has been registered, </w:t>
      </w:r>
      <w:r>
        <w:t xml:space="preserve">the final step is linking service endpoints providing the particular interface to the description (Service instantiation). A service instance is an entity that implements the described service interfaces and can be accessed through a URL. For each Service </w:t>
      </w:r>
      <w:r>
        <w:t xml:space="preserve">Description, there can be multiple service instances. </w:t>
      </w:r>
    </w:p>
    <w:p w14:paraId="3BE01A3B" w14:textId="77777777" w:rsidR="006E4F45" w:rsidRDefault="006E4F45"/>
    <w:p w14:paraId="1F5B27EC" w14:textId="77777777" w:rsidR="006E4F45" w:rsidRDefault="00B15C20">
      <w:r>
        <w:t xml:space="preserve">Specification and implementation of the Service Registry is based on the </w:t>
      </w:r>
      <w:hyperlink r:id="rId15">
        <w:r>
          <w:rPr>
            <w:color w:val="1155CC"/>
            <w:u w:val="single"/>
          </w:rPr>
          <w:t>www.digitalserviceshub.com</w:t>
        </w:r>
      </w:hyperlink>
      <w:r>
        <w:t xml:space="preserve"> service registry implementation.</w:t>
      </w:r>
    </w:p>
    <w:p w14:paraId="07173E16" w14:textId="77777777" w:rsidR="006E4F45" w:rsidRDefault="00B15C20">
      <w:pPr>
        <w:pStyle w:val="Heading2"/>
        <w:contextualSpacing w:val="0"/>
      </w:pPr>
      <w:bookmarkStart w:id="27" w:name="_nuq9go3mlaoe" w:colFirst="0" w:colLast="0"/>
      <w:bookmarkEnd w:id="27"/>
      <w:r>
        <w:t>4.3 Service Di</w:t>
      </w:r>
      <w:r>
        <w:t>scovery</w:t>
      </w:r>
    </w:p>
    <w:p w14:paraId="21B5920F" w14:textId="77777777" w:rsidR="006E4F45" w:rsidRDefault="00B15C20">
      <w:pPr>
        <w:spacing w:after="240"/>
      </w:pPr>
      <w:r>
        <w:t>Service Discovery is used for many purposes - e.g. to find and integrate relevant Sources to a Sink, to recommend relevant Sources and Sinks to an Account Owner, and to find relevant Sources for various personal data driven research purposes. As an</w:t>
      </w:r>
      <w:r>
        <w:t xml:space="preserve"> example, a Sink (application) needs to find Sources that </w:t>
      </w:r>
      <w:r>
        <w:lastRenderedPageBreak/>
        <w:t>provide certain types of data, e.g. grocery data or fitness data that are needed as input for the Sink. Important information is also, in which format the data is available, i.e. is it e.g. an excel</w:t>
      </w:r>
      <w:r>
        <w:t xml:space="preserve"> file or REST API, what is the unit of data, etc. </w:t>
      </w:r>
    </w:p>
    <w:p w14:paraId="4DB1088A" w14:textId="77777777" w:rsidR="006E4F45" w:rsidRDefault="00B15C20">
      <w:pPr>
        <w:spacing w:after="240"/>
      </w:pPr>
      <w:r>
        <w:t>Service Discovery is based on the registered service descriptions. Basic discovery is enabled by the Human Readable Service Description and additional information (such as tags describing the service) asso</w:t>
      </w:r>
      <w:r>
        <w:t>ciated to the description. All the defined metadata elements and their relations can be used in a search query, e.g. ‘find all Sources that return body fat percentage or body mass index’. Service Data Description supports service discovery at different lev</w:t>
      </w:r>
      <w:r>
        <w:t xml:space="preserve">els of search, e.g. based on Source category or keyword information, data format, access possibilities, or available data elements. Service Data Descriptions are used to match information between data requirements of a Sink and data offered by Sources. </w:t>
      </w:r>
    </w:p>
    <w:p w14:paraId="1BA16DBA" w14:textId="77777777" w:rsidR="006E4F45" w:rsidRDefault="00B15C20">
      <w:pPr>
        <w:spacing w:after="240"/>
      </w:pPr>
      <w:r>
        <w:t>Fo</w:t>
      </w:r>
      <w:r>
        <w:t>r more intelligent service discovery and, in particular, intelligent service matching, a semantic service data description is preferred. Semantically enriched descriptions bring support for multilingual searches, for matching different data elements descri</w:t>
      </w:r>
      <w:r>
        <w:t xml:space="preserve">bing the same thing, and for using relations of data elements in searching. </w:t>
      </w:r>
    </w:p>
    <w:p w14:paraId="1AFB3903" w14:textId="77777777" w:rsidR="006E4F45" w:rsidRDefault="00B15C20">
      <w:r>
        <w:t>Semantics also support interoperability between different services. It enables more automatic mapping of Source data model to Sink data model. In case there is no semantic descrip</w:t>
      </w:r>
      <w:r>
        <w:t>tion, this means more manual work for a Sink’s developer. For example there may be several Sources for fitness data and every one of them has their own format to describe the fitness data and different set of properties available.</w:t>
      </w:r>
      <w:r>
        <w:br w:type="page"/>
      </w:r>
    </w:p>
    <w:p w14:paraId="32C6E3A9" w14:textId="77777777" w:rsidR="006E4F45" w:rsidRDefault="006E4F45">
      <w:pPr>
        <w:spacing w:after="240"/>
      </w:pPr>
    </w:p>
    <w:p w14:paraId="13188D62" w14:textId="77777777" w:rsidR="006E4F45" w:rsidRDefault="00B15C20">
      <w:pPr>
        <w:pStyle w:val="Heading1"/>
        <w:contextualSpacing w:val="0"/>
      </w:pPr>
      <w:bookmarkStart w:id="28" w:name="_4g32twnc431z" w:colFirst="0" w:colLast="0"/>
      <w:bookmarkEnd w:id="28"/>
      <w:r>
        <w:t>5. Service Linking</w:t>
      </w:r>
    </w:p>
    <w:p w14:paraId="2FF4AAEA" w14:textId="523A2D43" w:rsidR="006E4F45" w:rsidRDefault="00B15C20">
      <w:r>
        <w:t>Serv</w:t>
      </w:r>
      <w:r>
        <w:t xml:space="preserve">ice Linking is the action, where Account Owner links a service (Source or Sink) to their </w:t>
      </w:r>
      <w:proofErr w:type="spellStart"/>
      <w:r>
        <w:t>MyData</w:t>
      </w:r>
      <w:proofErr w:type="spellEnd"/>
      <w:r>
        <w:t xml:space="preserve"> Account. Only after a Service Link has been established, the Account Owner is able to manage the data sharing and processing </w:t>
      </w:r>
      <w:proofErr w:type="spellStart"/>
      <w:r>
        <w:t>authorisations</w:t>
      </w:r>
      <w:proofErr w:type="spellEnd"/>
      <w:r>
        <w:t xml:space="preserve"> for this service. Se</w:t>
      </w:r>
      <w:r>
        <w:t>rvice Linking proce</w:t>
      </w:r>
      <w:r w:rsidR="00C14763">
        <w:t>ss is documented in detail in [4</w:t>
      </w:r>
      <w:r>
        <w:t>].</w:t>
      </w:r>
    </w:p>
    <w:p w14:paraId="584DA354" w14:textId="77777777" w:rsidR="006E4F45" w:rsidRDefault="006E4F45"/>
    <w:p w14:paraId="357FC2EE" w14:textId="77777777" w:rsidR="006E4F45" w:rsidRDefault="00B15C20">
      <w:r>
        <w:t>Any service to be linked needs to be registered per the process of Section 4 above. Also, if the service and Account Owner don’t have a previous relationship (e.g. an account at the service), the relat</w:t>
      </w:r>
      <w:r>
        <w:t>ionship is assumed to get established during the linking process, e.g. by the Account Owner creating an account to the service.</w:t>
      </w:r>
    </w:p>
    <w:p w14:paraId="0165F025" w14:textId="77777777" w:rsidR="006E4F45" w:rsidRDefault="006E4F45"/>
    <w:p w14:paraId="3EBA5A16" w14:textId="77777777" w:rsidR="006E4F45" w:rsidRDefault="00B15C20">
      <w:r>
        <w:t>Service linking is initiated by Account Owner through either service-provided UI dialogue or via Operator’s UI. In order to ini</w:t>
      </w:r>
      <w:r>
        <w:t xml:space="preserve">tiate Service Linking, the Account Owner must have been identified and authenticated by the Operator (user has logged into </w:t>
      </w:r>
      <w:proofErr w:type="spellStart"/>
      <w:r>
        <w:t>MyData</w:t>
      </w:r>
      <w:proofErr w:type="spellEnd"/>
      <w:r>
        <w:t xml:space="preserve"> Operator). </w:t>
      </w:r>
    </w:p>
    <w:p w14:paraId="0E1EE300" w14:textId="77777777" w:rsidR="006E4F45" w:rsidRDefault="00B15C20">
      <w:r>
        <w:rPr>
          <w:noProof/>
        </w:rPr>
        <w:drawing>
          <wp:inline distT="114300" distB="114300" distL="114300" distR="114300" wp14:anchorId="5531E33D" wp14:editId="75E76E41">
            <wp:extent cx="5943600" cy="2654300"/>
            <wp:effectExtent l="0" t="0" r="0" b="0"/>
            <wp:docPr id="3" name="image07.png" descr="Stack1.1 - Service Linking  - Service Linking V_20160218(1).png"/>
            <wp:cNvGraphicFramePr/>
            <a:graphic xmlns:a="http://schemas.openxmlformats.org/drawingml/2006/main">
              <a:graphicData uri="http://schemas.openxmlformats.org/drawingml/2006/picture">
                <pic:pic xmlns:pic="http://schemas.openxmlformats.org/drawingml/2006/picture">
                  <pic:nvPicPr>
                    <pic:cNvPr id="0" name="image07.png" descr="Stack1.1 - Service Linking  - Service Linking V_20160218(1).png"/>
                    <pic:cNvPicPr preferRelativeResize="0"/>
                  </pic:nvPicPr>
                  <pic:blipFill>
                    <a:blip r:embed="rId16"/>
                    <a:srcRect l="36" r="36"/>
                    <a:stretch>
                      <a:fillRect/>
                    </a:stretch>
                  </pic:blipFill>
                  <pic:spPr>
                    <a:xfrm>
                      <a:off x="0" y="0"/>
                      <a:ext cx="5943600" cy="2654300"/>
                    </a:xfrm>
                    <a:prstGeom prst="rect">
                      <a:avLst/>
                    </a:prstGeom>
                    <a:ln/>
                  </pic:spPr>
                </pic:pic>
              </a:graphicData>
            </a:graphic>
          </wp:inline>
        </w:drawing>
      </w:r>
    </w:p>
    <w:p w14:paraId="51F7303F" w14:textId="77777777" w:rsidR="006E4F45" w:rsidRDefault="00B15C20">
      <w:pPr>
        <w:jc w:val="center"/>
      </w:pPr>
      <w:bookmarkStart w:id="29" w:name="kix.yht3oitf68f3" w:colFirst="0" w:colLast="0"/>
      <w:bookmarkEnd w:id="29"/>
      <w:r>
        <w:rPr>
          <w:i/>
        </w:rPr>
        <w:t>Figure 5.1: The Service Linking process</w:t>
      </w:r>
    </w:p>
    <w:p w14:paraId="1302B20A" w14:textId="77777777" w:rsidR="006E4F45" w:rsidRDefault="006E4F45"/>
    <w:p w14:paraId="6974D23E" w14:textId="77777777" w:rsidR="006E4F45" w:rsidRDefault="00B15C20">
      <w:r>
        <w:t>As shown in Figure 5.1, Service Linking consists of four steps:</w:t>
      </w:r>
    </w:p>
    <w:p w14:paraId="41B27F99" w14:textId="77777777" w:rsidR="006E4F45" w:rsidRDefault="00B15C20">
      <w:pPr>
        <w:numPr>
          <w:ilvl w:val="0"/>
          <w:numId w:val="9"/>
        </w:numPr>
        <w:ind w:hanging="360"/>
        <w:contextualSpacing/>
      </w:pPr>
      <w:r>
        <w:t>Operato</w:t>
      </w:r>
      <w:r>
        <w:t>r’s Service Management -component fetches information needed to start Service Linking process from Service Registry.</w:t>
      </w:r>
    </w:p>
    <w:p w14:paraId="77D5D9B5" w14:textId="77777777" w:rsidR="006E4F45" w:rsidRDefault="00B15C20">
      <w:pPr>
        <w:numPr>
          <w:ilvl w:val="0"/>
          <w:numId w:val="9"/>
        </w:numPr>
        <w:ind w:hanging="360"/>
        <w:contextualSpacing/>
      </w:pPr>
      <w:r>
        <w:t>Operator requests a surrogate ID</w:t>
      </w:r>
      <w:r>
        <w:t xml:space="preserve"> for this Account Owner from service being linked. During this step Account Owner must identify and authenticate herself to service, for example by logging into her user account the service.</w:t>
      </w:r>
    </w:p>
    <w:p w14:paraId="620DFFBE" w14:textId="77777777" w:rsidR="006E4F45" w:rsidRDefault="00B15C20">
      <w:pPr>
        <w:numPr>
          <w:ilvl w:val="0"/>
          <w:numId w:val="9"/>
        </w:numPr>
        <w:ind w:hanging="360"/>
        <w:contextualSpacing/>
      </w:pPr>
      <w:r>
        <w:t>After Operator receives a surrogate ID, it constructs a Service L</w:t>
      </w:r>
      <w:r>
        <w:t xml:space="preserve">ink Record (SLR) and registers it to Account Owner’s </w:t>
      </w:r>
      <w:proofErr w:type="spellStart"/>
      <w:r>
        <w:t>MyData</w:t>
      </w:r>
      <w:proofErr w:type="spellEnd"/>
      <w:r>
        <w:t xml:space="preserve"> Account.</w:t>
      </w:r>
    </w:p>
    <w:p w14:paraId="4E191A21" w14:textId="77777777" w:rsidR="006E4F45" w:rsidRDefault="00B15C20">
      <w:pPr>
        <w:numPr>
          <w:ilvl w:val="0"/>
          <w:numId w:val="9"/>
        </w:numPr>
        <w:ind w:hanging="360"/>
        <w:contextualSpacing/>
      </w:pPr>
      <w:proofErr w:type="gramStart"/>
      <w:r>
        <w:t>Finally</w:t>
      </w:r>
      <w:proofErr w:type="gramEnd"/>
      <w:r>
        <w:t xml:space="preserve"> Operator delivers a copy of SLR to the service.</w:t>
      </w:r>
    </w:p>
    <w:p w14:paraId="340C325D" w14:textId="77777777" w:rsidR="006E4F45" w:rsidRDefault="006E4F45"/>
    <w:p w14:paraId="52F4F379" w14:textId="77777777" w:rsidR="006E4F45" w:rsidRDefault="00B15C20">
      <w:r>
        <w:lastRenderedPageBreak/>
        <w:t>As result of Service Linking, the transaction’s status and parameters are documented within a digital machine-readable record, cal</w:t>
      </w:r>
      <w:r>
        <w:t xml:space="preserve">led a Service Link Record (step 3). This record also defines technical information required for </w:t>
      </w:r>
      <w:proofErr w:type="spellStart"/>
      <w:r>
        <w:t>authorisation</w:t>
      </w:r>
      <w:proofErr w:type="spellEnd"/>
      <w:r>
        <w:t xml:space="preserve"> process described in Section 6 (</w:t>
      </w:r>
      <w:proofErr w:type="spellStart"/>
      <w:r>
        <w:t>Authorisation</w:t>
      </w:r>
      <w:proofErr w:type="spellEnd"/>
      <w:r>
        <w:t>).</w:t>
      </w:r>
    </w:p>
    <w:p w14:paraId="1A2D530F" w14:textId="77777777" w:rsidR="006E4F45" w:rsidRDefault="006E4F45"/>
    <w:p w14:paraId="57D821B7" w14:textId="77777777" w:rsidR="006E4F45" w:rsidRDefault="00B15C20">
      <w:r>
        <w:t>During service linking process, the surrogate ID is associated to existing Account Owner’s accoun</w:t>
      </w:r>
      <w:r>
        <w:t>t at the service or an account is generated (step 2). This ID is a pseudonym that is meaningful only to Operator and this specific service. It is used in communication between these two parties whenever they need to unambiguously refer to a specific Accoun</w:t>
      </w:r>
      <w:r>
        <w:t xml:space="preserve">t Owner’s </w:t>
      </w:r>
      <w:proofErr w:type="spellStart"/>
      <w:r>
        <w:t>MyData</w:t>
      </w:r>
      <w:proofErr w:type="spellEnd"/>
      <w:r>
        <w:t xml:space="preserve"> Account (messages from service to Operator), or to a specific user account at the service (messages from Operator to service). Surrogate ID is also used in logging </w:t>
      </w:r>
      <w:proofErr w:type="spellStart"/>
      <w:r>
        <w:t>MyData</w:t>
      </w:r>
      <w:proofErr w:type="spellEnd"/>
      <w:r>
        <w:t xml:space="preserve"> related operations that the Operator and the service perform.</w:t>
      </w:r>
    </w:p>
    <w:p w14:paraId="19925D53" w14:textId="77777777" w:rsidR="006E4F45" w:rsidRDefault="006E4F45"/>
    <w:p w14:paraId="1F12E596" w14:textId="77777777" w:rsidR="006E4F45" w:rsidRDefault="006E4F45"/>
    <w:p w14:paraId="32FE7A51" w14:textId="77777777" w:rsidR="006E4F45" w:rsidRDefault="00B15C20">
      <w:r>
        <w:br w:type="page"/>
      </w:r>
    </w:p>
    <w:p w14:paraId="67A7528F" w14:textId="77777777" w:rsidR="006E4F45" w:rsidRDefault="006E4F45"/>
    <w:p w14:paraId="19172FB0" w14:textId="77777777" w:rsidR="006E4F45" w:rsidRDefault="00B15C20">
      <w:pPr>
        <w:pStyle w:val="Heading1"/>
        <w:contextualSpacing w:val="0"/>
      </w:pPr>
      <w:bookmarkStart w:id="30" w:name="_pdnyzu9te7y6" w:colFirst="0" w:colLast="0"/>
      <w:bookmarkEnd w:id="30"/>
      <w:r>
        <w:t>6</w:t>
      </w:r>
      <w:r>
        <w:t xml:space="preserve">. </w:t>
      </w:r>
      <w:proofErr w:type="spellStart"/>
      <w:r>
        <w:t>Authorisation</w:t>
      </w:r>
      <w:proofErr w:type="spellEnd"/>
    </w:p>
    <w:p w14:paraId="298D3075" w14:textId="77777777" w:rsidR="006E4F45" w:rsidRDefault="00B15C20">
      <w:r>
        <w:t xml:space="preserve">Data movement and processing are based on Account Owner’s </w:t>
      </w:r>
      <w:proofErr w:type="spellStart"/>
      <w:r>
        <w:t>authorisation</w:t>
      </w:r>
      <w:proofErr w:type="spellEnd"/>
      <w:r>
        <w:t xml:space="preserve">. </w:t>
      </w:r>
      <w:proofErr w:type="spellStart"/>
      <w:r>
        <w:t>Authorisation</w:t>
      </w:r>
      <w:proofErr w:type="spellEnd"/>
      <w:r>
        <w:t xml:space="preserve"> proves there exists Account Owner’s permission for data processing or provisioning. The Account Owner decides in the </w:t>
      </w:r>
      <w:proofErr w:type="spellStart"/>
      <w:r>
        <w:t>authorisation</w:t>
      </w:r>
      <w:proofErr w:type="spellEnd"/>
      <w:r>
        <w:t xml:space="preserve"> process, what data a s</w:t>
      </w:r>
      <w:r>
        <w:t xml:space="preserve">ervice can provision and how the data can be processed and further used. </w:t>
      </w:r>
      <w:proofErr w:type="spellStart"/>
      <w:r>
        <w:t>Authorisation</w:t>
      </w:r>
      <w:proofErr w:type="spellEnd"/>
      <w:r>
        <w:t xml:space="preserve"> can happen only after the service has been linked to </w:t>
      </w:r>
      <w:proofErr w:type="spellStart"/>
      <w:r>
        <w:t>MyData</w:t>
      </w:r>
      <w:proofErr w:type="spellEnd"/>
      <w:r>
        <w:t xml:space="preserve"> Account.</w:t>
      </w:r>
    </w:p>
    <w:p w14:paraId="2888B0DA" w14:textId="77777777" w:rsidR="006E4F45" w:rsidRDefault="006E4F45"/>
    <w:p w14:paraId="1EF56574" w14:textId="77777777" w:rsidR="006E4F45" w:rsidRDefault="00B15C20">
      <w:r>
        <w:t xml:space="preserve">For </w:t>
      </w:r>
      <w:proofErr w:type="spellStart"/>
      <w:r>
        <w:t>authorising</w:t>
      </w:r>
      <w:proofErr w:type="spellEnd"/>
      <w:r>
        <w:t xml:space="preserve"> data transfer from a specific Source to a specific Sink for processing, the Account</w:t>
      </w:r>
      <w:r>
        <w:t xml:space="preserve"> Owner </w:t>
      </w:r>
      <w:proofErr w:type="spellStart"/>
      <w:r>
        <w:t>authorises</w:t>
      </w:r>
      <w:proofErr w:type="spellEnd"/>
      <w:r>
        <w:t xml:space="preserve"> the Source to provision the data and the Sink to request and process the data. For data processing within a service, the Account Owner </w:t>
      </w:r>
      <w:proofErr w:type="spellStart"/>
      <w:r>
        <w:t>authorises</w:t>
      </w:r>
      <w:proofErr w:type="spellEnd"/>
      <w:r>
        <w:t xml:space="preserve"> the service to process data within the service under rules and constraints set by the Accoun</w:t>
      </w:r>
      <w:r>
        <w:t>t Owner.</w:t>
      </w:r>
    </w:p>
    <w:p w14:paraId="4741C6D7" w14:textId="77777777" w:rsidR="006E4F45" w:rsidRDefault="00B15C20">
      <w:r>
        <w:rPr>
          <w:noProof/>
        </w:rPr>
        <w:drawing>
          <wp:inline distT="114300" distB="114300" distL="114300" distR="114300" wp14:anchorId="4A7D9E50" wp14:editId="502F2FB7">
            <wp:extent cx="5943600" cy="2959100"/>
            <wp:effectExtent l="0" t="0" r="0" b="0"/>
            <wp:docPr id="2" name="image06.png" descr="Stack1.1 - Service Authorization  - Consent - Authorization V-20160219.png"/>
            <wp:cNvGraphicFramePr/>
            <a:graphic xmlns:a="http://schemas.openxmlformats.org/drawingml/2006/main">
              <a:graphicData uri="http://schemas.openxmlformats.org/drawingml/2006/picture">
                <pic:pic xmlns:pic="http://schemas.openxmlformats.org/drawingml/2006/picture">
                  <pic:nvPicPr>
                    <pic:cNvPr id="0" name="image06.png" descr="Stack1.1 - Service Authorization  - Consent - Authorization V-20160219.png"/>
                    <pic:cNvPicPr preferRelativeResize="0"/>
                  </pic:nvPicPr>
                  <pic:blipFill>
                    <a:blip r:embed="rId17"/>
                    <a:srcRect t="18" b="18"/>
                    <a:stretch>
                      <a:fillRect/>
                    </a:stretch>
                  </pic:blipFill>
                  <pic:spPr>
                    <a:xfrm>
                      <a:off x="0" y="0"/>
                      <a:ext cx="5943600" cy="2959100"/>
                    </a:xfrm>
                    <a:prstGeom prst="rect">
                      <a:avLst/>
                    </a:prstGeom>
                    <a:ln/>
                  </pic:spPr>
                </pic:pic>
              </a:graphicData>
            </a:graphic>
          </wp:inline>
        </w:drawing>
      </w:r>
    </w:p>
    <w:p w14:paraId="41760CAF" w14:textId="77777777" w:rsidR="006E4F45" w:rsidRDefault="00B15C20">
      <w:pPr>
        <w:jc w:val="center"/>
      </w:pPr>
      <w:bookmarkStart w:id="31" w:name="kix.f8c8rd4ngnhm" w:colFirst="0" w:colLast="0"/>
      <w:bookmarkEnd w:id="31"/>
      <w:r>
        <w:rPr>
          <w:i/>
        </w:rPr>
        <w:t xml:space="preserve">Figure 6.1: </w:t>
      </w:r>
      <w:proofErr w:type="spellStart"/>
      <w:r>
        <w:rPr>
          <w:i/>
        </w:rPr>
        <w:t>MyData</w:t>
      </w:r>
      <w:proofErr w:type="spellEnd"/>
      <w:r>
        <w:rPr>
          <w:i/>
        </w:rPr>
        <w:t xml:space="preserve"> </w:t>
      </w:r>
      <w:proofErr w:type="spellStart"/>
      <w:r>
        <w:rPr>
          <w:i/>
        </w:rPr>
        <w:t>Authorisation</w:t>
      </w:r>
      <w:proofErr w:type="spellEnd"/>
      <w:r>
        <w:rPr>
          <w:i/>
        </w:rPr>
        <w:t xml:space="preserve"> consist of five steps</w:t>
      </w:r>
    </w:p>
    <w:p w14:paraId="68D16299" w14:textId="77777777" w:rsidR="006E4F45" w:rsidRDefault="006E4F45"/>
    <w:p w14:paraId="43C07D4B" w14:textId="77777777" w:rsidR="006E4F45" w:rsidRDefault="00B15C20">
      <w:proofErr w:type="spellStart"/>
      <w:r>
        <w:t>Authorisation</w:t>
      </w:r>
      <w:proofErr w:type="spellEnd"/>
      <w:r>
        <w:t xml:space="preserve"> is initiated by Account Owner and it consists of five steps as shown in Figure 6.1:</w:t>
      </w:r>
    </w:p>
    <w:p w14:paraId="4A938DCC" w14:textId="77777777" w:rsidR="006E4F45" w:rsidRDefault="00B15C20">
      <w:pPr>
        <w:numPr>
          <w:ilvl w:val="0"/>
          <w:numId w:val="10"/>
        </w:numPr>
        <w:ind w:hanging="360"/>
        <w:contextualSpacing/>
      </w:pPr>
      <w:r>
        <w:t>Fetch service’s Data Description and Resource Description (Source)</w:t>
      </w:r>
    </w:p>
    <w:p w14:paraId="19B3A600" w14:textId="77777777" w:rsidR="006E4F45" w:rsidRDefault="00B15C20">
      <w:pPr>
        <w:numPr>
          <w:ilvl w:val="0"/>
          <w:numId w:val="10"/>
        </w:numPr>
        <w:ind w:hanging="360"/>
        <w:contextualSpacing/>
      </w:pPr>
      <w:r>
        <w:t>Information about the service is presented to Account Owner including what information the Sink would like to have and for what purpose. Account Owner then defines data processing rules and constraints, which must meet the Sink’s minimum requirements for t</w:t>
      </w:r>
      <w:r>
        <w:t>he Consent to be actionable.</w:t>
      </w:r>
    </w:p>
    <w:p w14:paraId="1BF40E24" w14:textId="77777777" w:rsidR="006E4F45" w:rsidRDefault="00B15C20">
      <w:pPr>
        <w:numPr>
          <w:ilvl w:val="0"/>
          <w:numId w:val="10"/>
        </w:numPr>
        <w:ind w:hanging="360"/>
        <w:contextualSpacing/>
      </w:pPr>
      <w:r>
        <w:t xml:space="preserve">Consent Record is stored in Account Owner’s </w:t>
      </w:r>
      <w:proofErr w:type="spellStart"/>
      <w:r>
        <w:t>MyData</w:t>
      </w:r>
      <w:proofErr w:type="spellEnd"/>
      <w:r>
        <w:t xml:space="preserve"> Account</w:t>
      </w:r>
    </w:p>
    <w:p w14:paraId="7CCF4122" w14:textId="77777777" w:rsidR="006E4F45" w:rsidRDefault="00B15C20">
      <w:pPr>
        <w:numPr>
          <w:ilvl w:val="0"/>
          <w:numId w:val="10"/>
        </w:numPr>
        <w:ind w:hanging="360"/>
        <w:contextualSpacing/>
      </w:pPr>
      <w:r>
        <w:t>Consent Record is delivered to the Service.</w:t>
      </w:r>
    </w:p>
    <w:p w14:paraId="3602AF30" w14:textId="77777777" w:rsidR="006E4F45" w:rsidRDefault="00B15C20">
      <w:pPr>
        <w:numPr>
          <w:ilvl w:val="0"/>
          <w:numId w:val="10"/>
        </w:numPr>
        <w:ind w:hanging="360"/>
        <w:contextualSpacing/>
      </w:pPr>
      <w:proofErr w:type="spellStart"/>
      <w:r>
        <w:t>Authorisation</w:t>
      </w:r>
      <w:proofErr w:type="spellEnd"/>
      <w:r>
        <w:t xml:space="preserve"> token is delivered to the Sink service.</w:t>
      </w:r>
    </w:p>
    <w:p w14:paraId="20078567" w14:textId="77777777" w:rsidR="006E4F45" w:rsidRDefault="006E4F45"/>
    <w:p w14:paraId="5B958666" w14:textId="77777777" w:rsidR="006E4F45" w:rsidRDefault="00B15C20">
      <w:proofErr w:type="spellStart"/>
      <w:r>
        <w:t>MyData</w:t>
      </w:r>
      <w:proofErr w:type="spellEnd"/>
      <w:r>
        <w:t xml:space="preserve"> Account keeps track of all </w:t>
      </w:r>
      <w:proofErr w:type="spellStart"/>
      <w:r>
        <w:t>authorisations</w:t>
      </w:r>
      <w:proofErr w:type="spellEnd"/>
      <w:r>
        <w:t xml:space="preserve"> a user has given, in</w:t>
      </w:r>
      <w:r>
        <w:t xml:space="preserve">cluding expired and withdrawn </w:t>
      </w:r>
      <w:proofErr w:type="spellStart"/>
      <w:r>
        <w:t>authorisations</w:t>
      </w:r>
      <w:proofErr w:type="spellEnd"/>
      <w:r>
        <w:t xml:space="preserve">. The user interface of Operator’s Account Management Service needs to be able to represent </w:t>
      </w:r>
      <w:proofErr w:type="spellStart"/>
      <w:r>
        <w:t>authorisation</w:t>
      </w:r>
      <w:proofErr w:type="spellEnd"/>
      <w:r>
        <w:t xml:space="preserve"> summaries in a clear human-readable form in order to offer an unambiguous description of the </w:t>
      </w:r>
      <w:proofErr w:type="spellStart"/>
      <w:r>
        <w:t>authorisation</w:t>
      </w:r>
      <w:proofErr w:type="spellEnd"/>
      <w:r>
        <w:t xml:space="preserve">. </w:t>
      </w:r>
    </w:p>
    <w:p w14:paraId="1251E9EC" w14:textId="77777777" w:rsidR="006E4F45" w:rsidRDefault="00B15C20">
      <w:r>
        <w:lastRenderedPageBreak/>
        <w:t xml:space="preserve">The </w:t>
      </w:r>
      <w:proofErr w:type="spellStart"/>
      <w:r>
        <w:t>Authorisation</w:t>
      </w:r>
      <w:proofErr w:type="spellEnd"/>
      <w:r>
        <w:t xml:space="preserve"> transaction results in legally valid consents which are documented in Consent Records associated with the Service</w:t>
      </w:r>
      <w:r>
        <w:t xml:space="preserve"> Link Records for the service provisioning the data (consent to provision data) and for the service processing the data (consent to process data). </w:t>
      </w:r>
    </w:p>
    <w:p w14:paraId="6B87C7AB" w14:textId="77777777" w:rsidR="006E4F45" w:rsidRDefault="006E4F45"/>
    <w:p w14:paraId="5303C928" w14:textId="77777777" w:rsidR="006E4F45" w:rsidRDefault="00B15C20">
      <w:proofErr w:type="spellStart"/>
      <w:r>
        <w:t>MyData</w:t>
      </w:r>
      <w:proofErr w:type="spellEnd"/>
      <w:r>
        <w:t xml:space="preserve"> Consent Record (CR) is a machine-readable record that contains the permission the Account Owner has </w:t>
      </w:r>
      <w:r>
        <w:t>granted to a specific service. The Source’s CR defines, what data can be provisioned (the data resource instances of the Source in Service Registry) to the specified Sink, and the Sink’s CR defines, how the data can be processed. A CR is a manifestation of</w:t>
      </w:r>
      <w:r>
        <w:t xml:space="preserve"> legally valid Consent and makes it technically feasible to change or withdraw the consent dynamically. CRs are stored in the </w:t>
      </w:r>
      <w:proofErr w:type="spellStart"/>
      <w:r>
        <w:t>MyData</w:t>
      </w:r>
      <w:proofErr w:type="spellEnd"/>
      <w:r>
        <w:t xml:space="preserve"> Account and to relevant Source or Sink.</w:t>
      </w:r>
    </w:p>
    <w:p w14:paraId="5348DBDF" w14:textId="77777777" w:rsidR="006E4F45" w:rsidRDefault="006E4F45"/>
    <w:p w14:paraId="2D27D9C6" w14:textId="77777777" w:rsidR="006E4F45" w:rsidRDefault="00B15C20">
      <w:r>
        <w:t>Source's CR includes a resource set description that unambiguously describes, what</w:t>
      </w:r>
      <w:r>
        <w:t xml:space="preserve"> data Account Owner previously decided to share with Sink. Source must then make this data available to Sink. The CR also includes a resource set id that is used to refer to this specific set data. Because Sink has to be able to request this data from the </w:t>
      </w:r>
      <w:r>
        <w:t>Source, this Resource Set ID is also included in Sink's CR.</w:t>
      </w:r>
    </w:p>
    <w:p w14:paraId="6CDA39A6" w14:textId="77777777" w:rsidR="006E4F45" w:rsidRDefault="006E4F45"/>
    <w:p w14:paraId="0AE28267" w14:textId="77777777" w:rsidR="006E4F45" w:rsidRDefault="00B15C20">
      <w:r>
        <w:t xml:space="preserve">After CRs have been delivered, Operator delivers an </w:t>
      </w:r>
      <w:proofErr w:type="spellStart"/>
      <w:r>
        <w:t>authorisation</w:t>
      </w:r>
      <w:proofErr w:type="spellEnd"/>
      <w:r>
        <w:t xml:space="preserve"> token to Sink. This token functions as proof that this specific Sink has been allowed to access Account Owner's data in scope def</w:t>
      </w:r>
      <w:r>
        <w:t xml:space="preserve">ined by resource set description. Sink must include this token in each data request it makes to Source. </w:t>
      </w:r>
    </w:p>
    <w:p w14:paraId="2EB16EE1" w14:textId="77777777" w:rsidR="006E4F45" w:rsidRDefault="006E4F45"/>
    <w:p w14:paraId="67F76FD3" w14:textId="77777777" w:rsidR="006E4F45" w:rsidRDefault="00B15C20">
      <w:r>
        <w:t xml:space="preserve">The way Source provisions data described by resource set </w:t>
      </w:r>
      <w:proofErr w:type="spellStart"/>
      <w:r>
        <w:t>description,the</w:t>
      </w:r>
      <w:proofErr w:type="spellEnd"/>
      <w:r>
        <w:t xml:space="preserve"> actual data requests sent by Sink, and further details about token usage are </w:t>
      </w:r>
      <w:r>
        <w:t xml:space="preserve">described in </w:t>
      </w:r>
      <w:hyperlink w:anchor="_q1yusgvt7c2k">
        <w:r>
          <w:rPr>
            <w:color w:val="1155CC"/>
            <w:u w:val="single"/>
          </w:rPr>
          <w:t>Section 7</w:t>
        </w:r>
      </w:hyperlink>
      <w:r>
        <w:t xml:space="preserve"> (Data Connection).</w:t>
      </w:r>
    </w:p>
    <w:p w14:paraId="1A89D370" w14:textId="77777777" w:rsidR="006E4F45" w:rsidRDefault="006E4F45"/>
    <w:p w14:paraId="348124BD" w14:textId="77777777" w:rsidR="006E4F45" w:rsidRDefault="00B15C20">
      <w:r>
        <w:t xml:space="preserve">The Account Owner can, at will, deactivate the </w:t>
      </w:r>
      <w:proofErr w:type="spellStart"/>
      <w:r>
        <w:t>authorisation</w:t>
      </w:r>
      <w:proofErr w:type="spellEnd"/>
      <w:r>
        <w:t xml:space="preserve">, in which case no new data is provisioned. If the </w:t>
      </w:r>
      <w:proofErr w:type="spellStart"/>
      <w:r>
        <w:t>authorisation</w:t>
      </w:r>
      <w:proofErr w:type="spellEnd"/>
      <w:r>
        <w:t xml:space="preserve"> is reactivated, it is service dependent whether the </w:t>
      </w:r>
      <w:r>
        <w:t xml:space="preserve">data collected during the deactivation period now becomes available to the Sink or not. An example would be Account Owner’s current location data, which can be made unavailable for a period and the data for this period will not become available even after </w:t>
      </w:r>
      <w:r>
        <w:t>reactivation.</w:t>
      </w:r>
    </w:p>
    <w:p w14:paraId="596B3136" w14:textId="77777777" w:rsidR="006E4F45" w:rsidRDefault="006E4F45"/>
    <w:p w14:paraId="004BDA8F" w14:textId="77777777" w:rsidR="006E4F45" w:rsidRDefault="00B15C20">
      <w:r>
        <w:t xml:space="preserve">Account Owner can withdraw an </w:t>
      </w:r>
      <w:proofErr w:type="spellStart"/>
      <w:r>
        <w:t>authorisation</w:t>
      </w:r>
      <w:proofErr w:type="spellEnd"/>
      <w:r>
        <w:t xml:space="preserve"> at any time. </w:t>
      </w:r>
      <w:proofErr w:type="spellStart"/>
      <w:r>
        <w:t>Authorisation</w:t>
      </w:r>
      <w:proofErr w:type="spellEnd"/>
      <w:r>
        <w:t xml:space="preserve"> Management Service sets the consent to ‘withdrawn’-state and informs the impacted services. Unlike a deactivated </w:t>
      </w:r>
      <w:proofErr w:type="spellStart"/>
      <w:r>
        <w:t>authorisation</w:t>
      </w:r>
      <w:proofErr w:type="spellEnd"/>
      <w:r>
        <w:t xml:space="preserve">, a Consent that is withdrawn </w:t>
      </w:r>
      <w:proofErr w:type="spellStart"/>
      <w:r>
        <w:t>can not</w:t>
      </w:r>
      <w:proofErr w:type="spellEnd"/>
      <w:r>
        <w:t xml:space="preserve"> be re-</w:t>
      </w:r>
      <w:r>
        <w:t xml:space="preserve">enabled. </w:t>
      </w:r>
    </w:p>
    <w:p w14:paraId="790C4FAD" w14:textId="77777777" w:rsidR="006E4F45" w:rsidRDefault="006E4F45"/>
    <w:p w14:paraId="685994BC" w14:textId="77777777" w:rsidR="006E4F45" w:rsidRDefault="00B15C20">
      <w:r>
        <w:t xml:space="preserve">Account Owner can make changes to consent using </w:t>
      </w:r>
      <w:proofErr w:type="spellStart"/>
      <w:r>
        <w:t>Authorisation</w:t>
      </w:r>
      <w:proofErr w:type="spellEnd"/>
      <w:r>
        <w:t xml:space="preserve"> Management Services. The operation consists of a) withdrawing the current consent and b) issuing new consent based on user input and informing corresponding Source or Sink.</w:t>
      </w:r>
    </w:p>
    <w:p w14:paraId="4FABE64F" w14:textId="77777777" w:rsidR="006E4F45" w:rsidRDefault="006E4F45"/>
    <w:p w14:paraId="10AF41C3" w14:textId="77777777" w:rsidR="006E4F45" w:rsidRDefault="00B15C20">
      <w:r>
        <w:t>All Conse</w:t>
      </w:r>
      <w:r>
        <w:t>nt Management transactions (create, modify, withdraw) are recorded in Audit Log.</w:t>
      </w:r>
    </w:p>
    <w:p w14:paraId="2E7AA03F" w14:textId="77777777" w:rsidR="006E4F45" w:rsidRDefault="006E4F45"/>
    <w:p w14:paraId="31625286" w14:textId="266B1CCA" w:rsidR="006E4F45" w:rsidRDefault="00B15C20">
      <w:proofErr w:type="spellStart"/>
      <w:r>
        <w:t>Authorisati</w:t>
      </w:r>
      <w:r w:rsidR="0075099A">
        <w:t>on</w:t>
      </w:r>
      <w:proofErr w:type="spellEnd"/>
      <w:r w:rsidR="0075099A">
        <w:t xml:space="preserve"> is documented in detail in [5</w:t>
      </w:r>
      <w:r>
        <w:t>].</w:t>
      </w:r>
    </w:p>
    <w:p w14:paraId="21E4A056" w14:textId="77777777" w:rsidR="006B4927" w:rsidRDefault="006B4927">
      <w:pPr>
        <w:pStyle w:val="Heading1"/>
        <w:contextualSpacing w:val="0"/>
      </w:pPr>
      <w:bookmarkStart w:id="32" w:name="_q1yusgvt7c2k" w:colFirst="0" w:colLast="0"/>
      <w:bookmarkEnd w:id="32"/>
    </w:p>
    <w:p w14:paraId="2404BD04" w14:textId="77777777" w:rsidR="006E4F45" w:rsidRDefault="00B15C20">
      <w:pPr>
        <w:pStyle w:val="Heading1"/>
        <w:contextualSpacing w:val="0"/>
      </w:pPr>
      <w:r>
        <w:t>7. Data Connection</w:t>
      </w:r>
    </w:p>
    <w:p w14:paraId="64D4103A" w14:textId="77777777" w:rsidR="006E4F45" w:rsidRDefault="00B15C20">
      <w:r>
        <w:t xml:space="preserve">A Data Connection is the event where an </w:t>
      </w:r>
      <w:proofErr w:type="spellStart"/>
      <w:r>
        <w:t>authorised</w:t>
      </w:r>
      <w:proofErr w:type="spellEnd"/>
      <w:r>
        <w:t xml:space="preserve"> transfer of </w:t>
      </w:r>
      <w:proofErr w:type="spellStart"/>
      <w:r>
        <w:t>MyData</w:t>
      </w:r>
      <w:proofErr w:type="spellEnd"/>
      <w:r>
        <w:t xml:space="preserve"> Account Owner’s data from a Source to a</w:t>
      </w:r>
      <w:r>
        <w:t xml:space="preserve"> Sink is made. Data Connection is possible only after Account Owner has given an </w:t>
      </w:r>
      <w:proofErr w:type="spellStart"/>
      <w:r>
        <w:t>authorisation</w:t>
      </w:r>
      <w:proofErr w:type="spellEnd"/>
      <w:r>
        <w:t xml:space="preserve"> by conducting </w:t>
      </w:r>
      <w:proofErr w:type="spellStart"/>
      <w:r>
        <w:t>MyData</w:t>
      </w:r>
      <w:proofErr w:type="spellEnd"/>
      <w:r>
        <w:t xml:space="preserve"> </w:t>
      </w:r>
      <w:proofErr w:type="spellStart"/>
      <w:r>
        <w:t>Authorisation</w:t>
      </w:r>
      <w:proofErr w:type="spellEnd"/>
      <w:r>
        <w:t xml:space="preserve"> process (</w:t>
      </w:r>
      <w:hyperlink w:anchor="_pdnyzu9te7y6">
        <w:r>
          <w:rPr>
            <w:color w:val="1155CC"/>
            <w:u w:val="single"/>
          </w:rPr>
          <w:t>Section 6</w:t>
        </w:r>
      </w:hyperlink>
      <w:r>
        <w:t xml:space="preserve">). After the </w:t>
      </w:r>
      <w:proofErr w:type="spellStart"/>
      <w:r>
        <w:t>MyData</w:t>
      </w:r>
      <w:proofErr w:type="spellEnd"/>
      <w:r>
        <w:t xml:space="preserve"> </w:t>
      </w:r>
      <w:proofErr w:type="spellStart"/>
      <w:r>
        <w:t>Authorisation</w:t>
      </w:r>
      <w:proofErr w:type="spellEnd"/>
      <w:r>
        <w:t xml:space="preserve"> is issued, </w:t>
      </w:r>
      <w:proofErr w:type="spellStart"/>
      <w:r>
        <w:t>authorised</w:t>
      </w:r>
      <w:proofErr w:type="spellEnd"/>
      <w:r>
        <w:t xml:space="preserve"> data transfers m</w:t>
      </w:r>
      <w:r>
        <w:t xml:space="preserve">ay happen from Source to Sink as long as the </w:t>
      </w:r>
      <w:proofErr w:type="spellStart"/>
      <w:r>
        <w:t>authorisation</w:t>
      </w:r>
      <w:proofErr w:type="spellEnd"/>
      <w:r>
        <w:t xml:space="preserve"> is not deactivated or withdrawn. </w:t>
      </w:r>
    </w:p>
    <w:p w14:paraId="367F6FBE" w14:textId="77777777" w:rsidR="006E4F45" w:rsidRDefault="006E4F45"/>
    <w:p w14:paraId="51EE8A5D" w14:textId="763C2754" w:rsidR="006E4F45" w:rsidRDefault="00B15C20">
      <w:r>
        <w:t>Data Connection consists of 3 steps as shown in Figure 7.1</w:t>
      </w:r>
      <w:r w:rsidR="0075099A">
        <w:t xml:space="preserve"> and covered in detail in [6]</w:t>
      </w:r>
      <w:r>
        <w:t>:</w:t>
      </w:r>
    </w:p>
    <w:p w14:paraId="473EF06B" w14:textId="77777777" w:rsidR="006E4F45" w:rsidRDefault="00B15C20">
      <w:pPr>
        <w:numPr>
          <w:ilvl w:val="0"/>
          <w:numId w:val="5"/>
        </w:numPr>
        <w:ind w:hanging="360"/>
        <w:contextualSpacing/>
      </w:pPr>
      <w:r>
        <w:t xml:space="preserve">Sink makes a data request to Source using the </w:t>
      </w:r>
      <w:proofErr w:type="spellStart"/>
      <w:r>
        <w:t>authorisation</w:t>
      </w:r>
      <w:proofErr w:type="spellEnd"/>
      <w:r>
        <w:t xml:space="preserve"> token it received from Operator during </w:t>
      </w:r>
      <w:proofErr w:type="spellStart"/>
      <w:r>
        <w:t>MyD</w:t>
      </w:r>
      <w:r>
        <w:t>ata</w:t>
      </w:r>
      <w:proofErr w:type="spellEnd"/>
      <w:r>
        <w:t xml:space="preserve"> </w:t>
      </w:r>
      <w:proofErr w:type="spellStart"/>
      <w:r>
        <w:t>Authorisation</w:t>
      </w:r>
      <w:proofErr w:type="spellEnd"/>
      <w:r>
        <w:t xml:space="preserve"> process. Sink must verify the related Consent Record is valid before making the request.</w:t>
      </w:r>
    </w:p>
    <w:p w14:paraId="549A2285" w14:textId="77777777" w:rsidR="006E4F45" w:rsidRDefault="00B15C20">
      <w:pPr>
        <w:numPr>
          <w:ilvl w:val="0"/>
          <w:numId w:val="5"/>
        </w:numPr>
        <w:ind w:hanging="360"/>
        <w:contextualSpacing/>
      </w:pPr>
      <w:r>
        <w:t>When Source receive</w:t>
      </w:r>
      <w:bookmarkStart w:id="33" w:name="_GoBack"/>
      <w:bookmarkEnd w:id="33"/>
      <w:r>
        <w:t xml:space="preserve">s the token, it first validates the token (a), then verifies the Consent Record with which the </w:t>
      </w:r>
      <w:proofErr w:type="spellStart"/>
      <w:r>
        <w:t>authorisation</w:t>
      </w:r>
      <w:proofErr w:type="spellEnd"/>
      <w:r>
        <w:t xml:space="preserve"> token is associated i</w:t>
      </w:r>
      <w:r>
        <w:t>s still valid and active (b). Source may also make a status check for the Consent Record from the Operator, if e.g. this is particularly high risk data or the Source has reason to believe the status might have changed (c).</w:t>
      </w:r>
    </w:p>
    <w:p w14:paraId="382B2681" w14:textId="77777777" w:rsidR="006E4F45" w:rsidRDefault="00B15C20">
      <w:pPr>
        <w:numPr>
          <w:ilvl w:val="0"/>
          <w:numId w:val="5"/>
        </w:numPr>
        <w:ind w:hanging="360"/>
        <w:contextualSpacing/>
      </w:pPr>
      <w:r>
        <w:t>Based on the validation, Source e</w:t>
      </w:r>
      <w:r>
        <w:t>ither grants or denies the data request. As Sink requested data with a token containing only the Resource Set ID, Source uses the Resource Set Description in the Consent Record to determine, what data should actually be given.</w:t>
      </w:r>
    </w:p>
    <w:p w14:paraId="6A70E2B3" w14:textId="77777777" w:rsidR="006E4F45" w:rsidRDefault="00B15C20">
      <w:pPr>
        <w:jc w:val="center"/>
      </w:pPr>
      <w:r>
        <w:rPr>
          <w:noProof/>
        </w:rPr>
        <w:drawing>
          <wp:inline distT="114300" distB="114300" distL="114300" distR="114300" wp14:anchorId="3D46525A" wp14:editId="4DD21C7D">
            <wp:extent cx="5943600" cy="3721100"/>
            <wp:effectExtent l="0" t="0" r="0" b="0"/>
            <wp:docPr id="6" name="image14.png" descr="Stack1.1 - Data Connection  - Data Connection_V-20160219.png"/>
            <wp:cNvGraphicFramePr/>
            <a:graphic xmlns:a="http://schemas.openxmlformats.org/drawingml/2006/main">
              <a:graphicData uri="http://schemas.openxmlformats.org/drawingml/2006/picture">
                <pic:pic xmlns:pic="http://schemas.openxmlformats.org/drawingml/2006/picture">
                  <pic:nvPicPr>
                    <pic:cNvPr id="0" name="image14.png" descr="Stack1.1 - Data Connection  - Data Connection_V-20160219.png"/>
                    <pic:cNvPicPr preferRelativeResize="0"/>
                  </pic:nvPicPr>
                  <pic:blipFill>
                    <a:blip r:embed="rId18"/>
                    <a:srcRect l="358" r="358"/>
                    <a:stretch>
                      <a:fillRect/>
                    </a:stretch>
                  </pic:blipFill>
                  <pic:spPr>
                    <a:xfrm>
                      <a:off x="0" y="0"/>
                      <a:ext cx="5943600" cy="3721100"/>
                    </a:xfrm>
                    <a:prstGeom prst="rect">
                      <a:avLst/>
                    </a:prstGeom>
                    <a:ln/>
                  </pic:spPr>
                </pic:pic>
              </a:graphicData>
            </a:graphic>
          </wp:inline>
        </w:drawing>
      </w:r>
    </w:p>
    <w:p w14:paraId="07B5E3F1" w14:textId="77777777" w:rsidR="006E4F45" w:rsidRDefault="00B15C20">
      <w:pPr>
        <w:jc w:val="center"/>
      </w:pPr>
      <w:bookmarkStart w:id="34" w:name="kix.v7snbx5gy1x7" w:colFirst="0" w:colLast="0"/>
      <w:bookmarkEnd w:id="34"/>
      <w:r>
        <w:rPr>
          <w:i/>
        </w:rPr>
        <w:t>Figure 7.1: Data Connection process</w:t>
      </w:r>
    </w:p>
    <w:p w14:paraId="67F65224" w14:textId="77777777" w:rsidR="006E4F45" w:rsidRDefault="006E4F45"/>
    <w:p w14:paraId="6FBA14C1" w14:textId="77777777" w:rsidR="006E4F45" w:rsidRDefault="00B15C20">
      <w:r>
        <w:t>All Data Connections are recorded in the Audit Log.</w:t>
      </w:r>
      <w:r>
        <w:rPr>
          <w:i/>
        </w:rPr>
        <w:t xml:space="preserve"> </w:t>
      </w:r>
    </w:p>
    <w:p w14:paraId="50BB1C9C" w14:textId="77777777" w:rsidR="006E4F45" w:rsidRDefault="006E4F45"/>
    <w:p w14:paraId="3545671C" w14:textId="77777777" w:rsidR="006E4F45" w:rsidRDefault="006E4F45"/>
    <w:p w14:paraId="4291803A" w14:textId="77777777" w:rsidR="006E4F45" w:rsidRDefault="00B15C20">
      <w:pPr>
        <w:pStyle w:val="Heading1"/>
        <w:contextualSpacing w:val="0"/>
      </w:pPr>
      <w:bookmarkStart w:id="35" w:name="_q6c070f94kwu" w:colFirst="0" w:colLast="0"/>
      <w:bookmarkEnd w:id="35"/>
      <w:r>
        <w:t>References</w:t>
      </w:r>
    </w:p>
    <w:p w14:paraId="62F10FDA" w14:textId="77777777" w:rsidR="006E4F45" w:rsidRDefault="006E4F45"/>
    <w:p w14:paraId="54FA15C8" w14:textId="77777777" w:rsidR="006E4F45" w:rsidRDefault="00B15C20">
      <w:r>
        <w:t xml:space="preserve">[1] </w:t>
      </w:r>
      <w:proofErr w:type="spellStart"/>
      <w:r>
        <w:t>MyData</w:t>
      </w:r>
      <w:proofErr w:type="spellEnd"/>
      <w:r>
        <w:t xml:space="preserve"> White paper, </w:t>
      </w:r>
      <w:hyperlink r:id="rId19">
        <w:r>
          <w:rPr>
            <w:color w:val="1155CC"/>
            <w:u w:val="single"/>
          </w:rPr>
          <w:t>http://urn.fi/URN:ISBN:978-952-243-455-5</w:t>
        </w:r>
      </w:hyperlink>
      <w:r>
        <w:t>.</w:t>
      </w:r>
    </w:p>
    <w:p w14:paraId="19226F9A" w14:textId="77777777" w:rsidR="006B4927" w:rsidRPr="006B4927" w:rsidRDefault="006B4927" w:rsidP="006B4927">
      <w:pPr>
        <w:rPr>
          <w:color w:val="auto"/>
          <w:sz w:val="24"/>
          <w:szCs w:val="24"/>
        </w:rPr>
      </w:pPr>
      <w:r w:rsidRPr="006B4927">
        <w:t xml:space="preserve">[2] </w:t>
      </w:r>
      <w:proofErr w:type="spellStart"/>
      <w:r w:rsidRPr="006B4927">
        <w:t>MyData</w:t>
      </w:r>
      <w:proofErr w:type="spellEnd"/>
      <w:r w:rsidRPr="006B4927">
        <w:t xml:space="preserve"> Account, </w:t>
      </w:r>
      <w:hyperlink r:id="rId20" w:history="1">
        <w:r w:rsidRPr="006B4927">
          <w:rPr>
            <w:color w:val="1155CC"/>
            <w:u w:val="single"/>
          </w:rPr>
          <w:t>https://github.com/HIIT/mydata-stack/blob/master/mydata-account</w:t>
        </w:r>
      </w:hyperlink>
      <w:r w:rsidRPr="006B4927">
        <w:t>.</w:t>
      </w:r>
    </w:p>
    <w:p w14:paraId="59202788" w14:textId="77777777" w:rsidR="006B4927" w:rsidRPr="006B4927" w:rsidRDefault="006B4927" w:rsidP="006B4927">
      <w:pPr>
        <w:rPr>
          <w:color w:val="auto"/>
          <w:sz w:val="24"/>
          <w:szCs w:val="24"/>
        </w:rPr>
      </w:pPr>
      <w:r w:rsidRPr="006B4927">
        <w:t xml:space="preserve">[3] </w:t>
      </w:r>
      <w:proofErr w:type="spellStart"/>
      <w:r w:rsidRPr="006B4927">
        <w:t>MyData</w:t>
      </w:r>
      <w:proofErr w:type="spellEnd"/>
      <w:r w:rsidRPr="006B4927">
        <w:t xml:space="preserve"> Service Registry, </w:t>
      </w:r>
      <w:hyperlink r:id="rId21" w:history="1">
        <w:r w:rsidRPr="006B4927">
          <w:rPr>
            <w:color w:val="1155CC"/>
            <w:u w:val="single"/>
          </w:rPr>
          <w:t>https://github.com/HIIT/mydata-stack/blob/master/mydata-service-registry</w:t>
        </w:r>
      </w:hyperlink>
      <w:r w:rsidRPr="006B4927">
        <w:t>.</w:t>
      </w:r>
    </w:p>
    <w:p w14:paraId="41997C46" w14:textId="77777777" w:rsidR="006B4927" w:rsidRPr="006B4927" w:rsidRDefault="006B4927" w:rsidP="006B4927">
      <w:pPr>
        <w:rPr>
          <w:color w:val="auto"/>
          <w:sz w:val="24"/>
          <w:szCs w:val="24"/>
        </w:rPr>
      </w:pPr>
      <w:r w:rsidRPr="006B4927">
        <w:t xml:space="preserve">[4] </w:t>
      </w:r>
      <w:proofErr w:type="spellStart"/>
      <w:r w:rsidRPr="006B4927">
        <w:t>MyData</w:t>
      </w:r>
      <w:proofErr w:type="spellEnd"/>
      <w:r w:rsidRPr="006B4927">
        <w:t xml:space="preserve"> Service Linking, </w:t>
      </w:r>
      <w:hyperlink r:id="rId22" w:history="1">
        <w:r w:rsidRPr="006B4927">
          <w:rPr>
            <w:color w:val="1155CC"/>
            <w:u w:val="single"/>
          </w:rPr>
          <w:t>https://github.com/HIIT/mydata-stack/blob/master/mydata-service-linking</w:t>
        </w:r>
      </w:hyperlink>
      <w:r w:rsidRPr="006B4927">
        <w:t>.</w:t>
      </w:r>
    </w:p>
    <w:p w14:paraId="38416A8A" w14:textId="77777777" w:rsidR="006B4927" w:rsidRPr="006B4927" w:rsidRDefault="006B4927" w:rsidP="006B4927">
      <w:pPr>
        <w:rPr>
          <w:color w:val="auto"/>
          <w:sz w:val="24"/>
          <w:szCs w:val="24"/>
        </w:rPr>
      </w:pPr>
      <w:r w:rsidRPr="006B4927">
        <w:t xml:space="preserve">[5] </w:t>
      </w:r>
      <w:proofErr w:type="spellStart"/>
      <w:r w:rsidRPr="006B4927">
        <w:t>MyData</w:t>
      </w:r>
      <w:proofErr w:type="spellEnd"/>
      <w:r w:rsidRPr="006B4927">
        <w:t xml:space="preserve"> </w:t>
      </w:r>
      <w:proofErr w:type="spellStart"/>
      <w:r w:rsidRPr="006B4927">
        <w:t>Authorisation</w:t>
      </w:r>
      <w:proofErr w:type="spellEnd"/>
      <w:r w:rsidRPr="006B4927">
        <w:t xml:space="preserve">, </w:t>
      </w:r>
      <w:hyperlink r:id="rId23" w:history="1">
        <w:r w:rsidRPr="006B4927">
          <w:rPr>
            <w:color w:val="1155CC"/>
            <w:u w:val="single"/>
          </w:rPr>
          <w:t>https://github.com/HIIT/mydata-stack/blob/master/mydata-data-authz</w:t>
        </w:r>
      </w:hyperlink>
      <w:r w:rsidRPr="006B4927">
        <w:t>.</w:t>
      </w:r>
    </w:p>
    <w:p w14:paraId="40A0F332" w14:textId="77777777" w:rsidR="006B4927" w:rsidRPr="006B4927" w:rsidRDefault="006B4927" w:rsidP="006B4927">
      <w:pPr>
        <w:rPr>
          <w:color w:val="auto"/>
          <w:sz w:val="24"/>
          <w:szCs w:val="24"/>
        </w:rPr>
      </w:pPr>
      <w:r w:rsidRPr="006B4927">
        <w:t xml:space="preserve">[6] </w:t>
      </w:r>
      <w:proofErr w:type="spellStart"/>
      <w:r w:rsidRPr="006B4927">
        <w:t>MyData</w:t>
      </w:r>
      <w:proofErr w:type="spellEnd"/>
      <w:r w:rsidRPr="006B4927">
        <w:t xml:space="preserve"> Data Connection, </w:t>
      </w:r>
      <w:hyperlink r:id="rId24" w:history="1">
        <w:r w:rsidRPr="006B4927">
          <w:rPr>
            <w:color w:val="1155CC"/>
            <w:u w:val="single"/>
          </w:rPr>
          <w:t>https://github.com/HIIT/mydata-stack/blob/master/mydata-dconnection</w:t>
        </w:r>
      </w:hyperlink>
      <w:r w:rsidRPr="006B4927">
        <w:t>.</w:t>
      </w:r>
    </w:p>
    <w:p w14:paraId="799E8E71" w14:textId="77777777" w:rsidR="006E4F45" w:rsidRDefault="006E4F45"/>
    <w:p w14:paraId="52CB779E" w14:textId="77777777" w:rsidR="006E4F45" w:rsidRDefault="006E4F45"/>
    <w:p w14:paraId="62B8B7E5" w14:textId="77777777" w:rsidR="006E4F45" w:rsidRDefault="006E4F45">
      <w:pPr>
        <w:pStyle w:val="Heading1"/>
        <w:contextualSpacing w:val="0"/>
      </w:pPr>
      <w:bookmarkStart w:id="36" w:name="_v3btftrzd1gl" w:colFirst="0" w:colLast="0"/>
      <w:bookmarkEnd w:id="36"/>
    </w:p>
    <w:p w14:paraId="6373C1AD" w14:textId="77777777" w:rsidR="006E4F45" w:rsidRDefault="006E4F45">
      <w:pPr>
        <w:pStyle w:val="Heading1"/>
        <w:contextualSpacing w:val="0"/>
      </w:pPr>
      <w:bookmarkStart w:id="37" w:name="_6nwh0vitnub" w:colFirst="0" w:colLast="0"/>
      <w:bookmarkEnd w:id="37"/>
    </w:p>
    <w:p w14:paraId="6ADA02DB" w14:textId="77777777" w:rsidR="006E4F45" w:rsidRDefault="00B15C20">
      <w:r>
        <w:br w:type="page"/>
      </w:r>
    </w:p>
    <w:p w14:paraId="48AC72CF" w14:textId="77777777" w:rsidR="006E4F45" w:rsidRDefault="006E4F45">
      <w:pPr>
        <w:pStyle w:val="Heading1"/>
        <w:contextualSpacing w:val="0"/>
      </w:pPr>
      <w:bookmarkStart w:id="38" w:name="_7galzqsjn36i" w:colFirst="0" w:colLast="0"/>
      <w:bookmarkEnd w:id="38"/>
    </w:p>
    <w:p w14:paraId="1ABD54BB" w14:textId="77777777" w:rsidR="006E4F45" w:rsidRDefault="00B15C20">
      <w:pPr>
        <w:pStyle w:val="Heading1"/>
        <w:contextualSpacing w:val="0"/>
      </w:pPr>
      <w:bookmarkStart w:id="39" w:name="_91p52be4iy7b" w:colFirst="0" w:colLast="0"/>
      <w:bookmarkEnd w:id="39"/>
      <w:r>
        <w:t>Appendix 1: Glossary</w:t>
      </w:r>
    </w:p>
    <w:p w14:paraId="6C684221" w14:textId="77777777" w:rsidR="006E4F45" w:rsidRDefault="00B15C20">
      <w:pPr>
        <w:spacing w:before="200"/>
      </w:pPr>
      <w:r>
        <w:rPr>
          <w:b/>
        </w:rPr>
        <w:t>Account Owner (AO) [role]</w:t>
      </w:r>
      <w:r>
        <w:t xml:space="preserve"> is the person controlling a particular </w:t>
      </w:r>
      <w:proofErr w:type="spellStart"/>
      <w:r>
        <w:t>MyData</w:t>
      </w:r>
      <w:proofErr w:type="spellEnd"/>
      <w:r>
        <w:t xml:space="preserve"> account. Depending on the account type, the owner may be either (strongly) authenticated or even anonymous. In case of natural person, the Account Owner usually is the same as the Data Subject.</w:t>
      </w:r>
    </w:p>
    <w:p w14:paraId="76BDCEAA" w14:textId="77777777" w:rsidR="006E4F45" w:rsidRDefault="00B15C20">
      <w:pPr>
        <w:spacing w:before="200"/>
      </w:pPr>
      <w:r>
        <w:rPr>
          <w:b/>
        </w:rPr>
        <w:t>Account Managem</w:t>
      </w:r>
      <w:r>
        <w:rPr>
          <w:b/>
        </w:rPr>
        <w:t xml:space="preserve">ent Service </w:t>
      </w:r>
      <w:r>
        <w:t>is the</w:t>
      </w:r>
      <w:r>
        <w:rPr>
          <w:b/>
        </w:rPr>
        <w:t xml:space="preserve"> </w:t>
      </w:r>
      <w:r>
        <w:t xml:space="preserve">user interface and related service for managing </w:t>
      </w:r>
      <w:proofErr w:type="spellStart"/>
      <w:r>
        <w:t>MyData</w:t>
      </w:r>
      <w:proofErr w:type="spellEnd"/>
      <w:r>
        <w:t xml:space="preserve"> Accounts, Service Connections and </w:t>
      </w:r>
      <w:proofErr w:type="spellStart"/>
      <w:r>
        <w:t>MyData</w:t>
      </w:r>
      <w:proofErr w:type="spellEnd"/>
      <w:r>
        <w:t xml:space="preserve"> Authorizations</w:t>
      </w:r>
    </w:p>
    <w:p w14:paraId="6AAE5880" w14:textId="77777777" w:rsidR="006E4F45" w:rsidRDefault="00B15C20">
      <w:pPr>
        <w:spacing w:before="200"/>
      </w:pPr>
      <w:proofErr w:type="spellStart"/>
      <w:r>
        <w:rPr>
          <w:b/>
        </w:rPr>
        <w:t>Authorisation</w:t>
      </w:r>
      <w:proofErr w:type="spellEnd"/>
      <w:r>
        <w:rPr>
          <w:b/>
        </w:rPr>
        <w:t xml:space="preserve"> [interaction]</w:t>
      </w:r>
      <w:r>
        <w:t xml:space="preserve"> Account Owner’s act of granting permission for 1) a service to process data or 2) data transfer fr</w:t>
      </w:r>
      <w:r>
        <w:t>om a specific Source to a specific Sink. 1) results in a Consent Record and 2) results in a pair of Consent Records (one each for the Source and the Sink) documenting the granted permission.</w:t>
      </w:r>
    </w:p>
    <w:p w14:paraId="3D86135F" w14:textId="77777777" w:rsidR="006E4F45" w:rsidRDefault="00B15C20">
      <w:pPr>
        <w:spacing w:before="200"/>
      </w:pPr>
      <w:r>
        <w:rPr>
          <w:b/>
        </w:rPr>
        <w:t xml:space="preserve">Consent [lawful basis] </w:t>
      </w:r>
      <w:r>
        <w:t>is one of the grounds for lawfulness of pr</w:t>
      </w:r>
      <w:r>
        <w:t>ocessing personal data and it is given by the Data Subject for one or more specific purposes (Arts 6-7 GDPR). Consent means “any freely given, specific, informed and unambiguous indication of the data subject’s wishes” by which agreement to processing of t</w:t>
      </w:r>
      <w:r>
        <w:t>heir personal data is signified, either by statement or clear affirmative action (Art. 4 (8) GDPR). With regard to specific categories of personal data (Art. 9), automated decisions, including profiling (Art. 22), and transfers of personal data to third co</w:t>
      </w:r>
      <w:r>
        <w:t>untries (i.e. outside the EU) in certain circumstances (Art. 49) consent must also be explicit.</w:t>
      </w:r>
    </w:p>
    <w:p w14:paraId="5BA1FA6D" w14:textId="77777777" w:rsidR="006E4F45" w:rsidRDefault="00B15C20">
      <w:pPr>
        <w:spacing w:before="200"/>
      </w:pPr>
      <w:r>
        <w:rPr>
          <w:b/>
        </w:rPr>
        <w:t xml:space="preserve">Consent Record (CR) </w:t>
      </w:r>
      <w:r>
        <w:t xml:space="preserve">documents the permission the Account Owner has granted to a specific service. For </w:t>
      </w:r>
      <w:proofErr w:type="spellStart"/>
      <w:r>
        <w:t>authorising</w:t>
      </w:r>
      <w:proofErr w:type="spellEnd"/>
      <w:r>
        <w:t xml:space="preserve"> data processing within a service, the Account </w:t>
      </w:r>
      <w:r>
        <w:t xml:space="preserve">Owner creates a single Consent Record for the related service. For </w:t>
      </w:r>
      <w:proofErr w:type="spellStart"/>
      <w:r>
        <w:t>authorising</w:t>
      </w:r>
      <w:proofErr w:type="spellEnd"/>
      <w:r>
        <w:t xml:space="preserve"> data transfer from a specific Source to a specific Sink, the Account Owner creates a pair of Consent Records (one for the Source and one for the Sink). The Source’s CR defines, </w:t>
      </w:r>
      <w:r>
        <w:t>what data can be provisioned to the specified Sink, and the Sink’s CR defines, how the data can be accessed. The Sink’s CR can also include the permissions for data processing. A Consent Record is a manifestation of legally valid Consent and makes it techn</w:t>
      </w:r>
      <w:r>
        <w:t xml:space="preserve">ically feasible to change or withdraw the consent dynamically. Consent Records are stored in the </w:t>
      </w:r>
      <w:proofErr w:type="spellStart"/>
      <w:r>
        <w:t>MyData</w:t>
      </w:r>
      <w:proofErr w:type="spellEnd"/>
      <w:r>
        <w:t xml:space="preserve"> Account.</w:t>
      </w:r>
    </w:p>
    <w:p w14:paraId="70111C69" w14:textId="77777777" w:rsidR="006E4F45" w:rsidRDefault="006E4F45"/>
    <w:p w14:paraId="5B7BC8CD" w14:textId="77777777" w:rsidR="006E4F45" w:rsidRDefault="00B15C20">
      <w:r>
        <w:rPr>
          <w:b/>
        </w:rPr>
        <w:t xml:space="preserve">Consent Status Record (CSR) </w:t>
      </w:r>
      <w:r>
        <w:t xml:space="preserve">is a record </w:t>
      </w:r>
      <w:proofErr w:type="spellStart"/>
      <w:r>
        <w:t>MyData</w:t>
      </w:r>
      <w:proofErr w:type="spellEnd"/>
      <w:r>
        <w:t xml:space="preserve"> Operator sends to a service when status of a consent changes. Service MUST store these records </w:t>
      </w:r>
      <w:r>
        <w:t>for future use.</w:t>
      </w:r>
    </w:p>
    <w:p w14:paraId="36D3469A" w14:textId="77777777" w:rsidR="006E4F45" w:rsidRDefault="00B15C20">
      <w:pPr>
        <w:spacing w:before="200"/>
      </w:pPr>
      <w:r>
        <w:rPr>
          <w:b/>
        </w:rPr>
        <w:t xml:space="preserve">Data Connection </w:t>
      </w:r>
      <w:r>
        <w:t>is an</w:t>
      </w:r>
      <w:r>
        <w:rPr>
          <w:b/>
        </w:rPr>
        <w:t xml:space="preserve"> </w:t>
      </w:r>
      <w:proofErr w:type="spellStart"/>
      <w:r>
        <w:t>authorised</w:t>
      </w:r>
      <w:proofErr w:type="spellEnd"/>
      <w:r>
        <w:t xml:space="preserve"> transfer of data from a specific Source to a specific Sink.</w:t>
      </w:r>
    </w:p>
    <w:p w14:paraId="62484B86" w14:textId="77777777" w:rsidR="006E4F45" w:rsidRDefault="00B15C20">
      <w:pPr>
        <w:spacing w:before="200"/>
      </w:pPr>
      <w:r>
        <w:rPr>
          <w:b/>
        </w:rPr>
        <w:t xml:space="preserve">Data Controller [legal role] </w:t>
      </w:r>
      <w:r>
        <w:t>is a natural or legal person, public authority, agency or other body which alone or jointly with others determines the</w:t>
      </w:r>
      <w:r>
        <w:t xml:space="preserve"> purposes and means of the processing of personal data (Art. 4 (7) GDPR).</w:t>
      </w:r>
      <w:r>
        <w:rPr>
          <w:color w:val="666666"/>
          <w:sz w:val="18"/>
          <w:szCs w:val="18"/>
          <w:highlight w:val="white"/>
        </w:rPr>
        <w:t xml:space="preserve"> </w:t>
      </w:r>
    </w:p>
    <w:p w14:paraId="0A863BC2" w14:textId="77777777" w:rsidR="006E4F45" w:rsidRDefault="00B15C20">
      <w:pPr>
        <w:spacing w:before="200"/>
      </w:pPr>
      <w:r>
        <w:rPr>
          <w:b/>
        </w:rPr>
        <w:t xml:space="preserve">Data Processor [legal role] </w:t>
      </w:r>
      <w:r>
        <w:t>is a natural or legal person, public authority, agency or any other body which processes personal data on behalf of the data controller (Art. 4 (8) GDPR).</w:t>
      </w:r>
    </w:p>
    <w:p w14:paraId="5AAF406A" w14:textId="77777777" w:rsidR="006E4F45" w:rsidRDefault="00B15C20">
      <w:pPr>
        <w:spacing w:before="200"/>
      </w:pPr>
      <w:r>
        <w:rPr>
          <w:b/>
        </w:rPr>
        <w:t xml:space="preserve">Data Subject [legal role within the scope of the GDPR] </w:t>
      </w:r>
      <w:r>
        <w:t>is an identified or identifiable natural perso</w:t>
      </w:r>
      <w:r>
        <w:t xml:space="preserve">n whose personal data is processed (Art. 4 (1) GDPR). The data subject has rights and practical means to </w:t>
      </w:r>
      <w:r>
        <w:lastRenderedPageBreak/>
        <w:t>control creation, flow and usage of his personal data. The data subject gives and manages Consents related to their own data and Service Connections.</w:t>
      </w:r>
    </w:p>
    <w:p w14:paraId="10471287" w14:textId="77777777" w:rsidR="006E4F45" w:rsidRDefault="00B15C20">
      <w:pPr>
        <w:spacing w:before="200"/>
      </w:pPr>
      <w:r>
        <w:rPr>
          <w:b/>
        </w:rPr>
        <w:t>D</w:t>
      </w:r>
      <w:r>
        <w:rPr>
          <w:b/>
        </w:rPr>
        <w:t xml:space="preserve">ata Transfer Log [record]: </w:t>
      </w:r>
      <w:r>
        <w:t>Data Connections and unsuccessful attempts of Data Connection are recorded in a log that can be audited using Account Management Service.</w:t>
      </w:r>
    </w:p>
    <w:p w14:paraId="119E8DBA" w14:textId="77777777" w:rsidR="006E4F45" w:rsidRDefault="00B15C20">
      <w:pPr>
        <w:spacing w:before="200"/>
      </w:pPr>
      <w:proofErr w:type="spellStart"/>
      <w:r>
        <w:rPr>
          <w:b/>
        </w:rPr>
        <w:t>MyData</w:t>
      </w:r>
      <w:proofErr w:type="spellEnd"/>
      <w:r>
        <w:rPr>
          <w:b/>
        </w:rPr>
        <w:t xml:space="preserve"> </w:t>
      </w:r>
      <w:r>
        <w:t>is the subset of personal data that the individual can access and control.</w:t>
      </w:r>
    </w:p>
    <w:p w14:paraId="0AAFD365" w14:textId="77777777" w:rsidR="006E4F45" w:rsidRDefault="00B15C20">
      <w:pPr>
        <w:spacing w:before="200"/>
      </w:pPr>
      <w:proofErr w:type="spellStart"/>
      <w:r>
        <w:rPr>
          <w:b/>
        </w:rPr>
        <w:t>MyData</w:t>
      </w:r>
      <w:proofErr w:type="spellEnd"/>
      <w:r>
        <w:rPr>
          <w:b/>
        </w:rPr>
        <w:t xml:space="preserve"> Ac</w:t>
      </w:r>
      <w:r>
        <w:rPr>
          <w:b/>
        </w:rPr>
        <w:t>count</w:t>
      </w:r>
      <w:r>
        <w:t xml:space="preserve"> is a human centric concept in </w:t>
      </w:r>
      <w:proofErr w:type="spellStart"/>
      <w:r>
        <w:t>MyData</w:t>
      </w:r>
      <w:proofErr w:type="spellEnd"/>
      <w:r>
        <w:t xml:space="preserve"> architecture. </w:t>
      </w:r>
      <w:proofErr w:type="spellStart"/>
      <w:r>
        <w:t>MyData</w:t>
      </w:r>
      <w:proofErr w:type="spellEnd"/>
      <w:r>
        <w:t xml:space="preserve"> Account contains Account Owner’s digital identity or identities, linked services and service authorizations. </w:t>
      </w:r>
      <w:proofErr w:type="spellStart"/>
      <w:r>
        <w:t>MyData</w:t>
      </w:r>
      <w:proofErr w:type="spellEnd"/>
      <w:r>
        <w:t xml:space="preserve"> Account can include additional data about Account Owner to help in providing</w:t>
      </w:r>
      <w:r>
        <w:t xml:space="preserve"> improved services.</w:t>
      </w:r>
    </w:p>
    <w:p w14:paraId="164D6D5C" w14:textId="77777777" w:rsidR="006E4F45" w:rsidRDefault="00B15C20">
      <w:pPr>
        <w:spacing w:before="200"/>
      </w:pPr>
      <w:proofErr w:type="spellStart"/>
      <w:r>
        <w:rPr>
          <w:b/>
        </w:rPr>
        <w:t>MyData</w:t>
      </w:r>
      <w:proofErr w:type="spellEnd"/>
      <w:r>
        <w:rPr>
          <w:b/>
        </w:rPr>
        <w:t xml:space="preserve"> Operator [role]) </w:t>
      </w:r>
      <w:r>
        <w:t xml:space="preserve">provides </w:t>
      </w:r>
      <w:proofErr w:type="spellStart"/>
      <w:r>
        <w:t>MyData</w:t>
      </w:r>
      <w:proofErr w:type="spellEnd"/>
      <w:r>
        <w:t xml:space="preserve"> Accounts and the related Account Management Service.</w:t>
      </w:r>
    </w:p>
    <w:p w14:paraId="33692795" w14:textId="77777777" w:rsidR="006E4F45" w:rsidRDefault="00B15C20">
      <w:pPr>
        <w:spacing w:before="200"/>
      </w:pPr>
      <w:r>
        <w:rPr>
          <w:b/>
        </w:rPr>
        <w:t xml:space="preserve">Personal Data [definition]: </w:t>
      </w:r>
      <w:r>
        <w:t>All kinds of data related to a person or resulting from the person's activities. The term covers more than just the</w:t>
      </w:r>
      <w:r>
        <w:t xml:space="preserve"> most personal information, such as name and address. It is also not strictly limited to the legal definition of personally identifiable information. </w:t>
      </w:r>
      <w:r>
        <w:rPr>
          <w:b/>
        </w:rPr>
        <w:t xml:space="preserve">(legal definition) </w:t>
      </w:r>
      <w:r>
        <w:t>any information relating to an identified or identifiable natural person (Art. 4 (1) GD</w:t>
      </w:r>
      <w:r>
        <w:t>PR)</w:t>
      </w:r>
    </w:p>
    <w:p w14:paraId="64204BB4" w14:textId="77777777" w:rsidR="006E4F45" w:rsidRDefault="00B15C20">
      <w:pPr>
        <w:spacing w:before="200"/>
      </w:pPr>
      <w:r>
        <w:rPr>
          <w:b/>
        </w:rPr>
        <w:t xml:space="preserve">Service Linking [interaction]: </w:t>
      </w:r>
      <w:r>
        <w:t xml:space="preserve">Account Owner’s act of linking a service (Source or Sink) to their </w:t>
      </w:r>
      <w:proofErr w:type="spellStart"/>
      <w:r>
        <w:t>MyData</w:t>
      </w:r>
      <w:proofErr w:type="spellEnd"/>
      <w:r>
        <w:t xml:space="preserve"> Account. As the result the Service Linking status and parameters are documented within a digital machine-readable record, called a Service Link Rec</w:t>
      </w:r>
      <w:r>
        <w:t>ord.</w:t>
      </w:r>
    </w:p>
    <w:p w14:paraId="46052AA8" w14:textId="77777777" w:rsidR="006E4F45" w:rsidRDefault="00B15C20">
      <w:pPr>
        <w:spacing w:before="200"/>
      </w:pPr>
      <w:r>
        <w:rPr>
          <w:b/>
        </w:rPr>
        <w:t>Service Link Record (SLR)</w:t>
      </w:r>
      <w:r>
        <w:t xml:space="preserve"> is the outcome of a successful Service Linking. It documents in machine readable form the terms and scope of the agreement between the Account Owner and a single Source or Sink. Service Link Records are stored in the </w:t>
      </w:r>
      <w:proofErr w:type="spellStart"/>
      <w:r>
        <w:t>MyData</w:t>
      </w:r>
      <w:proofErr w:type="spellEnd"/>
      <w:r>
        <w:t xml:space="preserve"> A</w:t>
      </w:r>
      <w:r>
        <w:t>ccount.</w:t>
      </w:r>
    </w:p>
    <w:p w14:paraId="4F4248F2" w14:textId="77777777" w:rsidR="006E4F45" w:rsidRDefault="00B15C20">
      <w:pPr>
        <w:spacing w:before="200"/>
      </w:pPr>
      <w:r>
        <w:rPr>
          <w:b/>
        </w:rPr>
        <w:t xml:space="preserve">Service Link Status Record (SSR) </w:t>
      </w:r>
      <w:r>
        <w:t xml:space="preserve">is a record </w:t>
      </w:r>
      <w:proofErr w:type="spellStart"/>
      <w:r>
        <w:t>MyData</w:t>
      </w:r>
      <w:proofErr w:type="spellEnd"/>
      <w:r>
        <w:t xml:space="preserve"> Operator sends to a service when status of a Service Link changes. Service MUST store these records for future use.</w:t>
      </w:r>
    </w:p>
    <w:p w14:paraId="3CF5448E" w14:textId="77777777" w:rsidR="006E4F45" w:rsidRDefault="00B15C20">
      <w:pPr>
        <w:spacing w:before="200"/>
      </w:pPr>
      <w:r>
        <w:rPr>
          <w:b/>
        </w:rPr>
        <w:t xml:space="preserve">Sink [role] </w:t>
      </w:r>
      <w:r>
        <w:t>is an entity that can acquire data from one or more Sources and allo</w:t>
      </w:r>
      <w:r>
        <w:t xml:space="preserve">ws management of data processing through a </w:t>
      </w:r>
      <w:proofErr w:type="spellStart"/>
      <w:r>
        <w:t>MyData</w:t>
      </w:r>
      <w:proofErr w:type="spellEnd"/>
      <w:r>
        <w:t xml:space="preserve"> compliant APIs.</w:t>
      </w:r>
    </w:p>
    <w:p w14:paraId="2853D0DB" w14:textId="77777777" w:rsidR="006E4F45" w:rsidRDefault="00B15C20">
      <w:pPr>
        <w:spacing w:before="200"/>
      </w:pPr>
      <w:r>
        <w:rPr>
          <w:b/>
        </w:rPr>
        <w:t xml:space="preserve">Source [role] </w:t>
      </w:r>
      <w:r>
        <w:t xml:space="preserve">is an entity that can provision data about the Account Owner to one or more Sinks and allows management of data provisioning through </w:t>
      </w:r>
      <w:proofErr w:type="spellStart"/>
      <w:r>
        <w:t>MyData</w:t>
      </w:r>
      <w:proofErr w:type="spellEnd"/>
      <w:r>
        <w:t xml:space="preserve"> compliant APIs.</w:t>
      </w:r>
    </w:p>
    <w:p w14:paraId="32803029" w14:textId="77777777" w:rsidR="006E4F45" w:rsidRDefault="00B15C20">
      <w:pPr>
        <w:spacing w:before="200"/>
      </w:pPr>
      <w:r>
        <w:rPr>
          <w:b/>
        </w:rPr>
        <w:t>Surrogate ID</w:t>
      </w:r>
      <w:r>
        <w:t xml:space="preserve"> is a ps</w:t>
      </w:r>
      <w:r>
        <w:t xml:space="preserve">eudonym that associates Account Owner’s </w:t>
      </w:r>
      <w:proofErr w:type="spellStart"/>
      <w:r>
        <w:t>MyData</w:t>
      </w:r>
      <w:proofErr w:type="spellEnd"/>
      <w:r>
        <w:t xml:space="preserve"> Account to his / her account at the service being linked. This ID is meaningful only to Operator and to the service that generated it. It is used in communication between these two parties whenever they need t</w:t>
      </w:r>
      <w:r>
        <w:t xml:space="preserve">o unambiguously refer to a specific Account Owner’s </w:t>
      </w:r>
      <w:proofErr w:type="spellStart"/>
      <w:r>
        <w:t>MyData</w:t>
      </w:r>
      <w:proofErr w:type="spellEnd"/>
      <w:r>
        <w:t xml:space="preserve"> Account (messages from service to Operator), or to a specific user account at the service (messages from Operator to service).</w:t>
      </w:r>
      <w:r>
        <w:br/>
      </w:r>
    </w:p>
    <w:p w14:paraId="7AC45D1F" w14:textId="77777777" w:rsidR="006E4F45" w:rsidRDefault="006E4F45">
      <w:pPr>
        <w:pStyle w:val="Heading1"/>
        <w:contextualSpacing w:val="0"/>
      </w:pPr>
      <w:bookmarkStart w:id="40" w:name="_mxsnp1iotdzg" w:colFirst="0" w:colLast="0"/>
      <w:bookmarkEnd w:id="40"/>
    </w:p>
    <w:p w14:paraId="5A35725C" w14:textId="77777777" w:rsidR="006E4F45" w:rsidRDefault="006E4F45"/>
    <w:sectPr w:rsidR="006E4F45">
      <w:headerReference w:type="default" r:id="rId25"/>
      <w:headerReference w:type="first" r:id="rId26"/>
      <w:footerReference w:type="first" r:id="rId2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7947C1" w14:textId="77777777" w:rsidR="00B15C20" w:rsidRDefault="00B15C20">
      <w:pPr>
        <w:spacing w:line="240" w:lineRule="auto"/>
      </w:pPr>
      <w:r>
        <w:separator/>
      </w:r>
    </w:p>
  </w:endnote>
  <w:endnote w:type="continuationSeparator" w:id="0">
    <w:p w14:paraId="1267850E" w14:textId="77777777" w:rsidR="00B15C20" w:rsidRDefault="00B15C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5F74C" w14:textId="77777777" w:rsidR="006E4F45" w:rsidRDefault="006E4F4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33CB5" w14:textId="77777777" w:rsidR="00B15C20" w:rsidRDefault="00B15C20">
      <w:pPr>
        <w:spacing w:line="240" w:lineRule="auto"/>
      </w:pPr>
      <w:r>
        <w:separator/>
      </w:r>
    </w:p>
  </w:footnote>
  <w:footnote w:type="continuationSeparator" w:id="0">
    <w:p w14:paraId="208AADB8" w14:textId="77777777" w:rsidR="00B15C20" w:rsidRDefault="00B15C20">
      <w:pPr>
        <w:spacing w:line="240" w:lineRule="auto"/>
      </w:pPr>
      <w:r>
        <w:continuationSeparator/>
      </w:r>
    </w:p>
  </w:footnote>
  <w:footnote w:id="1">
    <w:p w14:paraId="4BE991E0" w14:textId="77777777" w:rsidR="006E4F45" w:rsidRDefault="00B15C20">
      <w:pPr>
        <w:spacing w:line="240" w:lineRule="auto"/>
      </w:pPr>
      <w:r>
        <w:rPr>
          <w:vertAlign w:val="superscript"/>
        </w:rPr>
        <w:footnoteRef/>
      </w:r>
      <w:r>
        <w:t xml:space="preserve"> In this document we use the upcoming EU General Data Protection Regulation (GDPR) as example and detail it further in a separate info box.</w:t>
      </w:r>
    </w:p>
  </w:footnote>
  <w:footnote w:id="2">
    <w:p w14:paraId="5A8E131E" w14:textId="77777777" w:rsidR="006E4F45" w:rsidRDefault="00B15C20">
      <w:pPr>
        <w:spacing w:line="240" w:lineRule="auto"/>
      </w:pPr>
      <w:r>
        <w:rPr>
          <w:vertAlign w:val="superscript"/>
        </w:rPr>
        <w:footnoteRef/>
      </w:r>
      <w:r>
        <w:rPr>
          <w:sz w:val="18"/>
          <w:szCs w:val="18"/>
          <w:highlight w:val="white"/>
        </w:rPr>
        <w:t xml:space="preserve"> Regulation (E</w:t>
      </w:r>
      <w:r>
        <w:rPr>
          <w:sz w:val="18"/>
          <w:szCs w:val="18"/>
          <w:highlight w:val="white"/>
        </w:rPr>
        <w:t xml:space="preserve">U) 2016/679 available at </w:t>
      </w:r>
      <w:hyperlink r:id="rId1">
        <w:r>
          <w:rPr>
            <w:color w:val="1155CC"/>
            <w:sz w:val="18"/>
            <w:szCs w:val="18"/>
            <w:highlight w:val="white"/>
            <w:u w:val="single"/>
          </w:rPr>
          <w:t>http://eur-lex.europa.eu/legal-content/EN/TXT/PDF/?uri=CELEX:32016R0679&amp;from=FI</w:t>
        </w:r>
      </w:hyperlink>
      <w:r>
        <w:rPr>
          <w:sz w:val="18"/>
          <w:szCs w:val="18"/>
        </w:rPr>
        <w:t>.</w:t>
      </w:r>
    </w:p>
  </w:footnote>
  <w:footnote w:id="3">
    <w:p w14:paraId="17805073" w14:textId="77777777" w:rsidR="006E4F45" w:rsidRDefault="00B15C20">
      <w:pPr>
        <w:spacing w:line="240" w:lineRule="auto"/>
      </w:pPr>
      <w:r>
        <w:rPr>
          <w:vertAlign w:val="superscript"/>
        </w:rPr>
        <w:footnoteRef/>
      </w:r>
      <w:r>
        <w:rPr>
          <w:sz w:val="18"/>
          <w:szCs w:val="18"/>
        </w:rPr>
        <w:t xml:space="preserve"> According to Art 4 (25), the definition of an ‘in</w:t>
      </w:r>
      <w:r>
        <w:rPr>
          <w:sz w:val="18"/>
          <w:szCs w:val="18"/>
        </w:rPr>
        <w:t>formation society service’ corresponds to that of Art. 1(1) of Directive (EU) 2015/1535, i.e. a service normally provided against payment, at a distance, electronically, and at the recipient’s request.</w:t>
      </w:r>
    </w:p>
  </w:footnote>
  <w:footnote w:id="4">
    <w:p w14:paraId="309B0A7E" w14:textId="77777777" w:rsidR="006E4F45" w:rsidRDefault="00B15C20">
      <w:pPr>
        <w:spacing w:line="240" w:lineRule="auto"/>
      </w:pPr>
      <w:r>
        <w:rPr>
          <w:vertAlign w:val="superscript"/>
        </w:rPr>
        <w:footnoteRef/>
      </w:r>
      <w:r>
        <w:rPr>
          <w:sz w:val="18"/>
          <w:szCs w:val="18"/>
        </w:rPr>
        <w:t xml:space="preserve"> Cf. WP187 Opinion 15/2011 on the definition of conse</w:t>
      </w:r>
      <w:r>
        <w:rPr>
          <w:sz w:val="18"/>
          <w:szCs w:val="18"/>
        </w:rPr>
        <w:t xml:space="preserve">nt, July 13, 2011, p. 2, 7-8: </w:t>
      </w:r>
      <w:hyperlink r:id="rId2">
        <w:r>
          <w:rPr>
            <w:color w:val="1155CC"/>
            <w:sz w:val="18"/>
            <w:szCs w:val="18"/>
            <w:u w:val="single"/>
          </w:rPr>
          <w:t>http://ec.europa.eu/justice/policies/privacy/docs/wpdocs/2011/wp187_en.pdf</w:t>
        </w:r>
      </w:hyperlink>
      <w:r>
        <w:rPr>
          <w:sz w:val="18"/>
          <w:szCs w:val="18"/>
        </w:rPr>
        <w:t xml:space="preserve">. </w:t>
      </w:r>
      <w:proofErr w:type="spellStart"/>
      <w:proofErr w:type="gramStart"/>
      <w:r>
        <w:rPr>
          <w:sz w:val="18"/>
          <w:szCs w:val="18"/>
        </w:rPr>
        <w:t>NB:The</w:t>
      </w:r>
      <w:proofErr w:type="spellEnd"/>
      <w:proofErr w:type="gramEnd"/>
      <w:r>
        <w:rPr>
          <w:sz w:val="18"/>
          <w:szCs w:val="18"/>
        </w:rPr>
        <w:t xml:space="preserve"> opinion was issued in connection to the Data Prot</w:t>
      </w:r>
      <w:r>
        <w:rPr>
          <w:sz w:val="18"/>
          <w:szCs w:val="18"/>
        </w:rPr>
        <w:t>ection Directive (95/46/EC; DPD) which is replaced by the GDPR.</w:t>
      </w:r>
    </w:p>
    <w:p w14:paraId="46EE5EE3" w14:textId="77777777" w:rsidR="006E4F45" w:rsidRDefault="006E4F45">
      <w:pPr>
        <w:spacing w:line="240" w:lineRule="auto"/>
      </w:pPr>
    </w:p>
  </w:footnote>
  <w:footnote w:id="5">
    <w:p w14:paraId="41BAFF82" w14:textId="77777777" w:rsidR="006E4F45" w:rsidRDefault="00B15C20">
      <w:pPr>
        <w:spacing w:line="240" w:lineRule="auto"/>
      </w:pPr>
      <w:r>
        <w:rPr>
          <w:vertAlign w:val="superscript"/>
        </w:rPr>
        <w:footnoteRef/>
      </w:r>
      <w:r>
        <w:t xml:space="preserve"> It is likely to be defined along extending the criteria set for entering e.g. a regional or governmental trust network - </w:t>
      </w:r>
      <w:hyperlink r:id="rId3">
        <w:r>
          <w:rPr>
            <w:color w:val="1155CC"/>
            <w:u w:val="single"/>
          </w:rPr>
          <w:t>ISO/IEC 29115</w:t>
        </w:r>
      </w:hyperlink>
      <w:r>
        <w:t xml:space="preserve"> entity authentication assurance level or </w:t>
      </w:r>
      <w:hyperlink r:id="rId4">
        <w:r>
          <w:rPr>
            <w:color w:val="1155CC"/>
            <w:u w:val="single"/>
          </w:rPr>
          <w:t>FICAM TFS</w:t>
        </w:r>
      </w:hyperlink>
      <w:r>
        <w:t xml:space="preserve"> are examples of trust and assurance level related requirements that may apply.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F1B19" w14:textId="77777777" w:rsidR="006E4F45" w:rsidRDefault="00B15C20">
    <w:r>
      <w:fldChar w:fldCharType="begin"/>
    </w:r>
    <w:r>
      <w:instrText>PAGE</w:instrText>
    </w:r>
    <w:r>
      <w:fldChar w:fldCharType="separate"/>
    </w:r>
    <w:r w:rsidR="0075099A">
      <w:rPr>
        <w:noProof/>
      </w:rPr>
      <w:t>20</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D2B89" w14:textId="77777777" w:rsidR="006E4F45" w:rsidRDefault="00B15C20">
    <w:r>
      <w:t xml:space="preserve">Short URL: </w:t>
    </w:r>
    <w:hyperlink r:id="rId1">
      <w:r>
        <w:rPr>
          <w:color w:val="1155CC"/>
          <w:u w:val="single"/>
        </w:rPr>
        <w:t>http://bit.ly/mydata_stack</w:t>
      </w:r>
    </w:hyperlink>
  </w:p>
  <w:p w14:paraId="035BF2AD" w14:textId="77777777" w:rsidR="006E4F45" w:rsidRDefault="00B15C20">
    <w:r>
      <w:t xml:space="preserve">Published paper: </w:t>
    </w:r>
    <w:hyperlink r:id="rId2">
      <w:r>
        <w:rPr>
          <w:color w:val="1155CC"/>
          <w:u w:val="single"/>
        </w:rPr>
        <w:t>https://hiit.github.io/mydata-stack/</w:t>
      </w:r>
    </w:hyperlink>
  </w:p>
  <w:p w14:paraId="79798A65" w14:textId="77777777" w:rsidR="006E4F45" w:rsidRDefault="006E4F45"/>
  <w:p w14:paraId="46BF43B2" w14:textId="77777777" w:rsidR="006E4F45" w:rsidRDefault="00B15C20">
    <w:pPr>
      <w:jc w:val="right"/>
    </w:pPr>
    <w:r>
      <w:fldChar w:fldCharType="begin"/>
    </w:r>
    <w:r>
      <w:instrText>PAGE</w:instrText>
    </w:r>
    <w:r>
      <w:fldChar w:fldCharType="separate"/>
    </w:r>
    <w:r w:rsidR="006B4927">
      <w:rPr>
        <w:noProof/>
      </w:rPr>
      <w:t>1</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F1082"/>
    <w:multiLevelType w:val="multilevel"/>
    <w:tmpl w:val="028E49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155D3A"/>
    <w:multiLevelType w:val="multilevel"/>
    <w:tmpl w:val="ABC400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52F66C5"/>
    <w:multiLevelType w:val="multilevel"/>
    <w:tmpl w:val="D42AD3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6480D01"/>
    <w:multiLevelType w:val="multilevel"/>
    <w:tmpl w:val="06A2C2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67703C0"/>
    <w:multiLevelType w:val="multilevel"/>
    <w:tmpl w:val="34AE49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C9B2311"/>
    <w:multiLevelType w:val="multilevel"/>
    <w:tmpl w:val="E51879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24632D8B"/>
    <w:multiLevelType w:val="multilevel"/>
    <w:tmpl w:val="B38EF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7AA55DF"/>
    <w:multiLevelType w:val="multilevel"/>
    <w:tmpl w:val="21D0AA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3FD52232"/>
    <w:multiLevelType w:val="multilevel"/>
    <w:tmpl w:val="2A4C22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25B6D4B"/>
    <w:multiLevelType w:val="multilevel"/>
    <w:tmpl w:val="6B5E8F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5"/>
  </w:num>
  <w:num w:numId="3">
    <w:abstractNumId w:val="2"/>
  </w:num>
  <w:num w:numId="4">
    <w:abstractNumId w:val="6"/>
  </w:num>
  <w:num w:numId="5">
    <w:abstractNumId w:val="3"/>
  </w:num>
  <w:num w:numId="6">
    <w:abstractNumId w:val="4"/>
  </w:num>
  <w:num w:numId="7">
    <w:abstractNumId w:val="9"/>
  </w:num>
  <w:num w:numId="8">
    <w:abstractNumId w:val="0"/>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E4F45"/>
    <w:rsid w:val="006B4927"/>
    <w:rsid w:val="006E4F45"/>
    <w:rsid w:val="00725109"/>
    <w:rsid w:val="0075099A"/>
    <w:rsid w:val="00921B79"/>
    <w:rsid w:val="00B12115"/>
    <w:rsid w:val="00B15C20"/>
    <w:rsid w:val="00C14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7342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spacing w:before="20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B4927"/>
    <w:pPr>
      <w:spacing w:line="240" w:lineRule="auto"/>
    </w:pPr>
    <w:rPr>
      <w:sz w:val="18"/>
      <w:szCs w:val="18"/>
    </w:rPr>
  </w:style>
  <w:style w:type="character" w:customStyle="1" w:styleId="BalloonTextChar">
    <w:name w:val="Balloon Text Char"/>
    <w:basedOn w:val="DefaultParagraphFont"/>
    <w:link w:val="BalloonText"/>
    <w:uiPriority w:val="99"/>
    <w:semiHidden/>
    <w:rsid w:val="006B4927"/>
    <w:rPr>
      <w:sz w:val="18"/>
      <w:szCs w:val="18"/>
    </w:rPr>
  </w:style>
  <w:style w:type="paragraph" w:styleId="NormalWeb">
    <w:name w:val="Normal (Web)"/>
    <w:basedOn w:val="Normal"/>
    <w:uiPriority w:val="99"/>
    <w:semiHidden/>
    <w:unhideWhenUsed/>
    <w:rsid w:val="006B4927"/>
    <w:pPr>
      <w:spacing w:before="100" w:beforeAutospacing="1" w:after="100" w:afterAutospacing="1" w:line="240" w:lineRule="auto"/>
    </w:pPr>
    <w:rPr>
      <w:color w:val="auto"/>
      <w:sz w:val="24"/>
      <w:szCs w:val="24"/>
    </w:rPr>
  </w:style>
  <w:style w:type="character" w:styleId="Hyperlink">
    <w:name w:val="Hyperlink"/>
    <w:basedOn w:val="DefaultParagraphFont"/>
    <w:uiPriority w:val="99"/>
    <w:semiHidden/>
    <w:unhideWhenUsed/>
    <w:rsid w:val="006B4927"/>
    <w:rPr>
      <w:color w:val="0000FF"/>
      <w:u w:val="single"/>
    </w:rPr>
  </w:style>
  <w:style w:type="paragraph" w:styleId="CommentSubject">
    <w:name w:val="annotation subject"/>
    <w:basedOn w:val="CommentText"/>
    <w:next w:val="CommentText"/>
    <w:link w:val="CommentSubjectChar"/>
    <w:uiPriority w:val="99"/>
    <w:semiHidden/>
    <w:unhideWhenUsed/>
    <w:rsid w:val="006B4927"/>
    <w:rPr>
      <w:b/>
      <w:bCs/>
      <w:sz w:val="20"/>
      <w:szCs w:val="20"/>
    </w:rPr>
  </w:style>
  <w:style w:type="character" w:customStyle="1" w:styleId="CommentSubjectChar">
    <w:name w:val="Comment Subject Char"/>
    <w:basedOn w:val="CommentTextChar"/>
    <w:link w:val="CommentSubject"/>
    <w:uiPriority w:val="99"/>
    <w:semiHidden/>
    <w:rsid w:val="006B49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078382">
      <w:bodyDiv w:val="1"/>
      <w:marLeft w:val="0"/>
      <w:marRight w:val="0"/>
      <w:marTop w:val="0"/>
      <w:marBottom w:val="0"/>
      <w:divBdr>
        <w:top w:val="none" w:sz="0" w:space="0" w:color="auto"/>
        <w:left w:val="none" w:sz="0" w:space="0" w:color="auto"/>
        <w:bottom w:val="none" w:sz="0" w:space="0" w:color="auto"/>
        <w:right w:val="none" w:sz="0" w:space="0" w:color="auto"/>
      </w:divBdr>
    </w:div>
    <w:div w:id="120163093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github.com/HIIT/mydata-stack/blob/master/mydata-account.pdf" TargetMode="External"/><Relationship Id="rId21" Type="http://schemas.openxmlformats.org/officeDocument/2006/relationships/hyperlink" Target="https://github.com/HIIT/mydata-stack/blob/master/mydata-service-registry.pdf" TargetMode="External"/><Relationship Id="rId22" Type="http://schemas.openxmlformats.org/officeDocument/2006/relationships/hyperlink" Target="https://github.com/HIIT/mydata-stack/blob/master/mydata-service-linking.pdf" TargetMode="External"/><Relationship Id="rId23" Type="http://schemas.openxmlformats.org/officeDocument/2006/relationships/hyperlink" Target="https://github.com/HIIT/mydata-stack/blob/master/mydata-data-authz.pdf" TargetMode="External"/><Relationship Id="rId24" Type="http://schemas.openxmlformats.org/officeDocument/2006/relationships/hyperlink" Target="https://github.com/HIIT/mydata-stack/blob/master/mydata-dconnection.pdf" TargetMode="External"/><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www.digitalserviceshub.com"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urn.fi/URN:ISBN:978-952-243-455-5"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www.iso.org/iso/catalogue_detail.htm?csnumber=45138" TargetMode="External"/><Relationship Id="rId4" Type="http://schemas.openxmlformats.org/officeDocument/2006/relationships/hyperlink" Target="https://www.idmanagement.gov/IDM/s/" TargetMode="External"/><Relationship Id="rId1" Type="http://schemas.openxmlformats.org/officeDocument/2006/relationships/hyperlink" Target="http://eur-lex.europa.eu/legal-content/EN/TXT/PDF/?uri=CELEX:32016R0679&amp;from=FI" TargetMode="External"/><Relationship Id="rId2" Type="http://schemas.openxmlformats.org/officeDocument/2006/relationships/hyperlink" Target="http://ec.europa.eu/justice/policies/privacy/docs/wpdocs/2011/wp187_en.pdf"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http://bit.ly/mydata_stack" TargetMode="External"/><Relationship Id="rId2" Type="http://schemas.openxmlformats.org/officeDocument/2006/relationships/hyperlink" Target="https://hiit.github.io/mydata-st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25</Pages>
  <Words>7087</Words>
  <Characters>40398</Characters>
  <Application>Microsoft Macintosh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Harri Honko</cp:lastModifiedBy>
  <cp:revision>5</cp:revision>
  <dcterms:created xsi:type="dcterms:W3CDTF">2016-08-29T15:30:00Z</dcterms:created>
  <dcterms:modified xsi:type="dcterms:W3CDTF">2016-08-29T15:44:00Z</dcterms:modified>
</cp:coreProperties>
</file>