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9.0 -->
  <w:body>
    <w:p>
      <w:pPr>
        <w:bidi w:val="0"/>
        <w:spacing w:before="275" w:after="0" w:line="210" w:lineRule="atLeast"/>
        <w:ind w:left="1189"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REGULATION </w:t>
      </w:r>
      <w:r>
        <w:rPr>
          <w:rFonts w:ascii="Times New Roman" w:eastAsia="Times New Roman" w:hAnsi="Times New Roman" w:cs="Times New Roman"/>
          <w:b/>
          <w:bCs/>
          <w:i w:val="0"/>
          <w:iCs w:val="0"/>
          <w:strike w:val="0"/>
          <w:color w:val="2E3238"/>
          <w:spacing w:val="3"/>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(EU)  2023/1115  OF  THE  EUROPEAN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PARLIAMENT </w:t>
      </w:r>
      <w:r>
        <w:rPr>
          <w:rFonts w:ascii="Times New Roman" w:eastAsia="Times New Roman" w:hAnsi="Times New Roman" w:cs="Times New Roman"/>
          <w:b/>
          <w:bCs/>
          <w:i w:val="0"/>
          <w:iCs w:val="0"/>
          <w:strike w:val="0"/>
          <w:color w:val="2E3238"/>
          <w:spacing w:val="3"/>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OF  THE  COUNCIL </w:t>
      </w:r>
    </w:p>
    <w:p>
      <w:pPr>
        <w:bidi w:val="0"/>
        <w:spacing w:before="113" w:after="0" w:line="210" w:lineRule="atLeast"/>
        <w:ind w:left="445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of 31 May  2023 </w:t>
      </w:r>
    </w:p>
    <w:p>
      <w:pPr>
        <w:bidi w:val="0"/>
        <w:spacing w:before="110" w:after="0" w:line="213" w:lineRule="atLeast"/>
        <w:ind w:left="1024" w:right="805"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on </w:t>
      </w:r>
      <w:r>
        <w:rPr>
          <w:rFonts w:ascii="Times New Roman" w:eastAsia="Times New Roman" w:hAnsi="Times New Roman" w:cs="Times New Roman"/>
          <w:b/>
          <w:bCs/>
          <w:i w:val="0"/>
          <w:iCs w:val="0"/>
          <w:strike w:val="0"/>
          <w:color w:val="2E3238"/>
          <w:spacing w:val="39"/>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the </w:t>
      </w:r>
      <w:r>
        <w:rPr>
          <w:rFonts w:ascii="Times New Roman" w:eastAsia="Times New Roman" w:hAnsi="Times New Roman" w:cs="Times New Roman"/>
          <w:b/>
          <w:bCs/>
          <w:i w:val="0"/>
          <w:iCs w:val="0"/>
          <w:strike w:val="0"/>
          <w:color w:val="2E3238"/>
          <w:spacing w:val="39"/>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making </w:t>
      </w:r>
      <w:r>
        <w:rPr>
          <w:rFonts w:ascii="Times New Roman" w:eastAsia="Times New Roman" w:hAnsi="Times New Roman" w:cs="Times New Roman"/>
          <w:b/>
          <w:bCs/>
          <w:i w:val="0"/>
          <w:iCs w:val="0"/>
          <w:strike w:val="0"/>
          <w:color w:val="2E3238"/>
          <w:spacing w:val="43"/>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available </w:t>
      </w:r>
      <w:r>
        <w:rPr>
          <w:rFonts w:ascii="Times New Roman" w:eastAsia="Times New Roman" w:hAnsi="Times New Roman" w:cs="Times New Roman"/>
          <w:b/>
          <w:bCs/>
          <w:i w:val="0"/>
          <w:iCs w:val="0"/>
          <w:strike w:val="0"/>
          <w:color w:val="2E3238"/>
          <w:spacing w:val="44"/>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on </w:t>
      </w:r>
      <w:r>
        <w:rPr>
          <w:rFonts w:ascii="Times New Roman" w:eastAsia="Times New Roman" w:hAnsi="Times New Roman" w:cs="Times New Roman"/>
          <w:b/>
          <w:bCs/>
          <w:i w:val="0"/>
          <w:iCs w:val="0"/>
          <w:strike w:val="0"/>
          <w:color w:val="2E3238"/>
          <w:spacing w:val="39"/>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the </w:t>
      </w:r>
      <w:r>
        <w:rPr>
          <w:rFonts w:ascii="Times New Roman" w:eastAsia="Times New Roman" w:hAnsi="Times New Roman" w:cs="Times New Roman"/>
          <w:b/>
          <w:bCs/>
          <w:i w:val="0"/>
          <w:iCs w:val="0"/>
          <w:strike w:val="0"/>
          <w:color w:val="2E3238"/>
          <w:spacing w:val="4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Union </w:t>
      </w:r>
      <w:r>
        <w:rPr>
          <w:rFonts w:ascii="Times New Roman" w:eastAsia="Times New Roman" w:hAnsi="Times New Roman" w:cs="Times New Roman"/>
          <w:b/>
          <w:bCs/>
          <w:i w:val="0"/>
          <w:iCs w:val="0"/>
          <w:strike w:val="0"/>
          <w:color w:val="2E3238"/>
          <w:spacing w:val="4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market </w:t>
      </w:r>
      <w:r>
        <w:rPr>
          <w:rFonts w:ascii="Times New Roman" w:eastAsia="Times New Roman" w:hAnsi="Times New Roman" w:cs="Times New Roman"/>
          <w:b/>
          <w:bCs/>
          <w:i w:val="0"/>
          <w:iCs w:val="0"/>
          <w:strike w:val="0"/>
          <w:color w:val="2E3238"/>
          <w:spacing w:val="42"/>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w:t>
      </w:r>
      <w:r>
        <w:rPr>
          <w:rFonts w:ascii="Times New Roman" w:eastAsia="Times New Roman" w:hAnsi="Times New Roman" w:cs="Times New Roman"/>
          <w:b/>
          <w:bCs/>
          <w:i w:val="0"/>
          <w:iCs w:val="0"/>
          <w:strike w:val="0"/>
          <w:color w:val="2E3238"/>
          <w:spacing w:val="4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the </w:t>
      </w:r>
      <w:r>
        <w:rPr>
          <w:rFonts w:ascii="Times New Roman" w:eastAsia="Times New Roman" w:hAnsi="Times New Roman" w:cs="Times New Roman"/>
          <w:b/>
          <w:bCs/>
          <w:i w:val="0"/>
          <w:iCs w:val="0"/>
          <w:strike w:val="0"/>
          <w:color w:val="2E3238"/>
          <w:spacing w:val="39"/>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export </w:t>
      </w:r>
      <w:r>
        <w:rPr>
          <w:rFonts w:ascii="Times New Roman" w:eastAsia="Times New Roman" w:hAnsi="Times New Roman" w:cs="Times New Roman"/>
          <w:b/>
          <w:bCs/>
          <w:i w:val="0"/>
          <w:iCs w:val="0"/>
          <w:strike w:val="0"/>
          <w:color w:val="2E3238"/>
          <w:spacing w:val="43"/>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from </w:t>
      </w:r>
      <w:r>
        <w:rPr>
          <w:rFonts w:ascii="Times New Roman" w:eastAsia="Times New Roman" w:hAnsi="Times New Roman" w:cs="Times New Roman"/>
          <w:b/>
          <w:bCs/>
          <w:i w:val="0"/>
          <w:iCs w:val="0"/>
          <w:strike w:val="0"/>
          <w:color w:val="2E3238"/>
          <w:spacing w:val="4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the </w:t>
      </w:r>
      <w:r>
        <w:rPr>
          <w:rFonts w:ascii="Times New Roman" w:eastAsia="Times New Roman" w:hAnsi="Times New Roman" w:cs="Times New Roman"/>
          <w:b/>
          <w:bCs/>
          <w:i w:val="0"/>
          <w:iCs w:val="0"/>
          <w:strike w:val="0"/>
          <w:color w:val="2E3238"/>
          <w:spacing w:val="4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Union </w:t>
      </w:r>
      <w:r>
        <w:rPr>
          <w:rFonts w:ascii="Times New Roman" w:eastAsia="Times New Roman" w:hAnsi="Times New Roman" w:cs="Times New Roman"/>
          <w:b/>
          <w:bCs/>
          <w:i w:val="0"/>
          <w:iCs w:val="0"/>
          <w:strike w:val="0"/>
          <w:color w:val="2E3238"/>
          <w:spacing w:val="4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of </w:t>
      </w:r>
      <w:r>
        <w:rPr>
          <w:rFonts w:ascii="Times New Roman" w:eastAsia="Times New Roman" w:hAnsi="Times New Roman" w:cs="Times New Roman"/>
          <w:b/>
          <w:bCs/>
          <w:i w:val="0"/>
          <w:iCs w:val="0"/>
          <w:strike w:val="0"/>
          <w:color w:val="2E3238"/>
          <w:spacing w:val="38"/>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certain commodities </w:t>
      </w:r>
      <w:r>
        <w:rPr>
          <w:rFonts w:ascii="Times New Roman" w:eastAsia="Times New Roman" w:hAnsi="Times New Roman" w:cs="Times New Roman"/>
          <w:b/>
          <w:bCs/>
          <w:i w:val="0"/>
          <w:iCs w:val="0"/>
          <w:strike w:val="0"/>
          <w:color w:val="2E3238"/>
          <w:spacing w:val="27"/>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w:t>
      </w:r>
      <w:r>
        <w:rPr>
          <w:rFonts w:ascii="Times New Roman" w:eastAsia="Times New Roman" w:hAnsi="Times New Roman" w:cs="Times New Roman"/>
          <w:b/>
          <w:bCs/>
          <w:i w:val="0"/>
          <w:iCs w:val="0"/>
          <w:strike w:val="0"/>
          <w:color w:val="2E3238"/>
          <w:spacing w:val="2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products </w:t>
      </w:r>
      <w:r>
        <w:rPr>
          <w:rFonts w:ascii="Times New Roman" w:eastAsia="Times New Roman" w:hAnsi="Times New Roman" w:cs="Times New Roman"/>
          <w:b/>
          <w:bCs/>
          <w:i w:val="0"/>
          <w:iCs w:val="0"/>
          <w:strike w:val="0"/>
          <w:color w:val="2E3238"/>
          <w:spacing w:val="25"/>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associated </w:t>
      </w:r>
      <w:r>
        <w:rPr>
          <w:rFonts w:ascii="Times New Roman" w:eastAsia="Times New Roman" w:hAnsi="Times New Roman" w:cs="Times New Roman"/>
          <w:b/>
          <w:bCs/>
          <w:i w:val="0"/>
          <w:iCs w:val="0"/>
          <w:strike w:val="0"/>
          <w:color w:val="2E3238"/>
          <w:spacing w:val="26"/>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with </w:t>
      </w:r>
      <w:r>
        <w:rPr>
          <w:rFonts w:ascii="Times New Roman" w:eastAsia="Times New Roman" w:hAnsi="Times New Roman" w:cs="Times New Roman"/>
          <w:b/>
          <w:bCs/>
          <w:i w:val="0"/>
          <w:iCs w:val="0"/>
          <w:strike w:val="0"/>
          <w:color w:val="2E3238"/>
          <w:spacing w:val="2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deforestation </w:t>
      </w:r>
      <w:r>
        <w:rPr>
          <w:rFonts w:ascii="Times New Roman" w:eastAsia="Times New Roman" w:hAnsi="Times New Roman" w:cs="Times New Roman"/>
          <w:b/>
          <w:bCs/>
          <w:i w:val="0"/>
          <w:iCs w:val="0"/>
          <w:strike w:val="0"/>
          <w:color w:val="2E3238"/>
          <w:spacing w:val="29"/>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w:t>
      </w:r>
      <w:r>
        <w:rPr>
          <w:rFonts w:ascii="Times New Roman" w:eastAsia="Times New Roman" w:hAnsi="Times New Roman" w:cs="Times New Roman"/>
          <w:b/>
          <w:bCs/>
          <w:i w:val="0"/>
          <w:iCs w:val="0"/>
          <w:strike w:val="0"/>
          <w:color w:val="2E3238"/>
          <w:spacing w:val="2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forest </w:t>
      </w:r>
      <w:r>
        <w:rPr>
          <w:rFonts w:ascii="Times New Roman" w:eastAsia="Times New Roman" w:hAnsi="Times New Roman" w:cs="Times New Roman"/>
          <w:b/>
          <w:bCs/>
          <w:i w:val="0"/>
          <w:iCs w:val="0"/>
          <w:strike w:val="0"/>
          <w:color w:val="2E3238"/>
          <w:spacing w:val="22"/>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degradation </w:t>
      </w:r>
      <w:r>
        <w:rPr>
          <w:rFonts w:ascii="Times New Roman" w:eastAsia="Times New Roman" w:hAnsi="Times New Roman" w:cs="Times New Roman"/>
          <w:b/>
          <w:bCs/>
          <w:i w:val="0"/>
          <w:iCs w:val="0"/>
          <w:strike w:val="0"/>
          <w:color w:val="2E3238"/>
          <w:spacing w:val="27"/>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w:t>
      </w:r>
      <w:r>
        <w:rPr>
          <w:rFonts w:ascii="Times New Roman" w:eastAsia="Times New Roman" w:hAnsi="Times New Roman" w:cs="Times New Roman"/>
          <w:b/>
          <w:bCs/>
          <w:i w:val="0"/>
          <w:iCs w:val="0"/>
          <w:strike w:val="0"/>
          <w:color w:val="2E3238"/>
          <w:spacing w:val="2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repealing </w:t>
      </w:r>
    </w:p>
    <w:p>
      <w:pPr>
        <w:bidi w:val="0"/>
        <w:spacing w:before="3" w:after="0" w:line="210" w:lineRule="atLeast"/>
        <w:ind w:left="3876"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Regulation </w:t>
      </w:r>
      <w:r>
        <w:rPr>
          <w:rFonts w:ascii="Times New Roman" w:eastAsia="Times New Roman" w:hAnsi="Times New Roman" w:cs="Times New Roman"/>
          <w:b/>
          <w:bCs/>
          <w:i w:val="0"/>
          <w:iCs w:val="0"/>
          <w:strike w:val="0"/>
          <w:color w:val="2E3238"/>
          <w:spacing w:val="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(EU)  No  995/2010</w:t>
      </w:r>
    </w:p>
    <w:p>
      <w:pPr>
        <w:bidi w:val="0"/>
        <w:spacing w:before="131" w:after="0" w:line="187" w:lineRule="atLeast"/>
        <w:ind w:left="4130"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bCs/>
          <w:i w:val="0"/>
          <w:iCs w:val="0"/>
          <w:strike w:val="0"/>
          <w:color w:val="2E3238"/>
          <w:spacing w:val="0"/>
          <w:sz w:val="17"/>
          <w:szCs w:val="17"/>
          <w:u w:val="none"/>
          <w:rtl w:val="0"/>
        </w:rPr>
        <w:t>(Text  with  EEA  relevance)</w:t>
      </w:r>
      <w:r>
        <w:rPr>
          <w:rFonts w:ascii="Times New Roman" w:eastAsia="Times New Roman" w:hAnsi="Times New Roman" w:cs="Times New Roman"/>
          <w:b w:val="0"/>
          <w:bCs w:val="0"/>
          <w:i w:val="0"/>
          <w:iCs w:val="0"/>
          <w:strike w:val="0"/>
          <w:color w:val="2E3238"/>
          <w:spacing w:val="0"/>
          <w:sz w:val="17"/>
          <w:szCs w:val="17"/>
          <w:u w:val="none"/>
          <w:rtl w:val="0"/>
        </w:rPr>
        <w:t xml:space="preserve"> </w:t>
      </w:r>
    </w:p>
    <w:p>
      <w:pPr>
        <w:bidi w:val="0"/>
        <w:spacing w:before="266" w:after="0" w:line="187" w:lineRule="atLeast"/>
        <w:ind w:left="513"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THE  EUROPEAN  PARLIAMENT </w:t>
      </w:r>
      <w:r>
        <w:rPr>
          <w:rFonts w:ascii="Times New Roman" w:eastAsia="Times New Roman" w:hAnsi="Times New Roman" w:cs="Times New Roman"/>
          <w:b w:val="0"/>
          <w:bCs w:val="0"/>
          <w:i w:val="0"/>
          <w:iCs w:val="0"/>
          <w:strike w:val="0"/>
          <w:color w:val="2E3238"/>
          <w:spacing w:val="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AND  THE  COUNCIL  OF  THE  EUROPEAN  UNION,</w:t>
      </w:r>
    </w:p>
    <w:p>
      <w:pPr>
        <w:bidi w:val="0"/>
        <w:spacing w:before="0" w:after="0" w:line="515" w:lineRule="atLeast"/>
        <w:ind w:left="512" w:right="476"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Having  regard  to  the  Treaty  on  the  Functioning  of  the  European  Union,  and  in  particular  Article 192(1)  thereof, Having  regard  to  the  proposal  from  the  European  Commission, </w:t>
      </w:r>
    </w:p>
    <w:p>
      <w:pPr>
        <w:bidi w:val="0"/>
        <w:spacing w:before="287" w:after="0" w:line="210" w:lineRule="atLeast"/>
        <w:ind w:left="51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After  transmission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draft  legislative  act  to  the  national  parliaments, </w:t>
      </w:r>
    </w:p>
    <w:p>
      <w:pPr>
        <w:bidi w:val="0"/>
        <w:spacing w:before="287" w:after="0" w:line="210" w:lineRule="atLeast"/>
        <w:ind w:left="512" w:right="-200" w:firstLine="0"/>
        <w:jc w:val="both"/>
        <w:outlineLvl w:val="9"/>
        <w:rPr>
          <w:rFonts w:ascii="Times New Roman" w:eastAsia="Times New Roman" w:hAnsi="Times New Roman" w:cs="Times New Roman"/>
          <w:sz w:val="19"/>
          <w:szCs w:val="19"/>
        </w:rPr>
      </w:pPr>
      <w:bookmarkStart w:id="0" w:name="_page0_x-5.00_y277.89"/>
      <w:bookmarkEnd w:id="0"/>
      <w:r>
        <w:rPr>
          <w:rFonts w:ascii="Times New Roman" w:eastAsia="Times New Roman" w:hAnsi="Times New Roman" w:cs="Times New Roman"/>
          <w:b w:val="0"/>
          <w:bCs w:val="0"/>
          <w:i w:val="0"/>
          <w:iCs w:val="0"/>
          <w:strike w:val="0"/>
          <w:color w:val="2E3238"/>
          <w:spacing w:val="0"/>
          <w:sz w:val="19"/>
          <w:szCs w:val="19"/>
          <w:u w:val="none"/>
          <w:rtl w:val="0"/>
        </w:rPr>
        <w:t xml:space="preserve">Having  regard  to  the  opinion  of  the  European  Economic  and  Social  </w:t>
      </w:r>
      <w:hyperlink w:anchor="_page0_x-5.00_y759.89" w:history="1">
        <w:r>
          <w:rPr>
            <w:rFonts w:ascii="Times New Roman" w:eastAsia="Times New Roman" w:hAnsi="Times New Roman" w:cs="Times New Roman"/>
            <w:b w:val="0"/>
            <w:bCs w:val="0"/>
            <w:i w:val="0"/>
            <w:iCs w:val="0"/>
            <w:strike w:val="0"/>
            <w:color w:val="2E3238"/>
            <w:spacing w:val="0"/>
            <w:sz w:val="19"/>
            <w:szCs w:val="19"/>
            <w:u w:val="none"/>
            <w:rtl w:val="0"/>
          </w:rPr>
          <w:t xml:space="preserve">Committee </w:t>
        </w:r>
      </w:hyperlink>
      <w:r>
        <w:rPr>
          <w:rFonts w:ascii="Times New Roman" w:eastAsia="Times New Roman" w:hAnsi="Times New Roman" w:cs="Times New Roman"/>
          <w:b w:val="0"/>
          <w:bCs w:val="0"/>
          <w:i w:val="0"/>
          <w:iCs w:val="0"/>
          <w:strike w:val="0"/>
          <w:color w:val="2E3238"/>
          <w:spacing w:val="0"/>
          <w:sz w:val="19"/>
          <w:szCs w:val="19"/>
          <w:u w:val="none"/>
          <w:rtl w:val="0"/>
        </w:rPr>
        <w:t>(</w:t>
      </w:r>
      <w:hyperlink w:anchor="_page0_x-5.00_y759.89" w:history="1">
        <w:r>
          <w:rPr>
            <w:rFonts w:ascii="Times New Roman" w:eastAsia="Times New Roman" w:hAnsi="Times New Roman" w:cs="Times New Roman"/>
            <w:b w:val="0"/>
            <w:bCs w:val="0"/>
            <w:i w:val="0"/>
            <w:iCs w:val="0"/>
            <w:strike w:val="0"/>
            <w:color w:val="2E3238"/>
            <w:spacing w:val="0"/>
            <w:sz w:val="12"/>
            <w:szCs w:val="12"/>
            <w:u w:val="none"/>
            <w:rtl w:val="0"/>
          </w:rPr>
          <w:t>1</w:t>
        </w:r>
        <w:r>
          <w:rPr>
            <w:rFonts w:ascii="Times New Roman" w:eastAsia="Times New Roman" w:hAnsi="Times New Roman" w:cs="Times New Roman"/>
            <w:b w:val="0"/>
            <w:bCs w:val="0"/>
            <w:i w:val="0"/>
            <w:iCs w:val="0"/>
            <w:strike w:val="0"/>
            <w:color w:val="2E3238"/>
            <w:spacing w:val="0"/>
            <w:sz w:val="19"/>
            <w:szCs w:val="19"/>
            <w:u w:val="none"/>
            <w:rtl w:val="0"/>
          </w:rPr>
          <w: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286" w:after="0" w:line="210" w:lineRule="atLeast"/>
        <w:ind w:left="51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After  consulting  the  Committee  of  the  Regions, </w:t>
      </w:r>
    </w:p>
    <w:p>
      <w:pPr>
        <w:bidi w:val="0"/>
        <w:spacing w:before="0" w:after="0" w:line="515" w:lineRule="atLeast"/>
        <w:ind w:left="512" w:right="4654" w:firstLine="0"/>
        <w:jc w:val="left"/>
        <w:outlineLvl w:val="9"/>
        <w:rPr>
          <w:rFonts w:ascii="Times New Roman" w:eastAsia="Times New Roman" w:hAnsi="Times New Roman" w:cs="Times New Roman"/>
          <w:sz w:val="19"/>
          <w:szCs w:val="19"/>
        </w:rPr>
      </w:pPr>
      <w:bookmarkStart w:id="1" w:name="_page0_x-5.00_y328.89"/>
      <w:bookmarkEnd w:id="1"/>
      <w:r>
        <w:rPr>
          <w:rFonts w:ascii="Times New Roman" w:eastAsia="Times New Roman" w:hAnsi="Times New Roman" w:cs="Times New Roman"/>
          <w:b w:val="0"/>
          <w:bCs w:val="0"/>
          <w:i w:val="0"/>
          <w:iCs w:val="0"/>
          <w:strike w:val="0"/>
          <w:color w:val="2E3238"/>
          <w:spacing w:val="0"/>
          <w:sz w:val="19"/>
          <w:szCs w:val="19"/>
          <w:u w:val="none"/>
          <w:rtl w:val="0"/>
        </w:rPr>
        <w:t xml:space="preserve">Acting  in  accordance  with  the  ordinary  legislative  </w:t>
      </w:r>
      <w:hyperlink w:anchor="_page0_x-5.00_y768.89" w:history="1">
        <w:r>
          <w:rPr>
            <w:rFonts w:ascii="Times New Roman" w:eastAsia="Times New Roman" w:hAnsi="Times New Roman" w:cs="Times New Roman"/>
            <w:b w:val="0"/>
            <w:bCs w:val="0"/>
            <w:i w:val="0"/>
            <w:iCs w:val="0"/>
            <w:strike w:val="0"/>
            <w:color w:val="2E3238"/>
            <w:spacing w:val="0"/>
            <w:sz w:val="19"/>
            <w:szCs w:val="19"/>
            <w:u w:val="none"/>
            <w:rtl w:val="0"/>
          </w:rPr>
          <w:t xml:space="preserve">procedure </w:t>
        </w:r>
      </w:hyperlink>
      <w:r>
        <w:rPr>
          <w:rFonts w:ascii="Times New Roman" w:eastAsia="Times New Roman" w:hAnsi="Times New Roman" w:cs="Times New Roman"/>
          <w:b w:val="0"/>
          <w:bCs w:val="0"/>
          <w:i w:val="0"/>
          <w:iCs w:val="0"/>
          <w:strike w:val="0"/>
          <w:color w:val="2E3238"/>
          <w:spacing w:val="0"/>
          <w:sz w:val="19"/>
          <w:szCs w:val="19"/>
          <w:u w:val="none"/>
          <w:rtl w:val="0"/>
        </w:rPr>
        <w:t>(</w:t>
      </w:r>
      <w:hyperlink w:anchor="_page0_x-5.00_y768.89" w:history="1">
        <w:r>
          <w:rPr>
            <w:rFonts w:ascii="Times New Roman" w:eastAsia="Times New Roman" w:hAnsi="Times New Roman" w:cs="Times New Roman"/>
            <w:b w:val="0"/>
            <w:bCs w:val="0"/>
            <w:i w:val="0"/>
            <w:iCs w:val="0"/>
            <w:strike w:val="0"/>
            <w:color w:val="2E3238"/>
            <w:spacing w:val="2"/>
            <w:sz w:val="12"/>
            <w:szCs w:val="12"/>
            <w:u w:val="none"/>
            <w:rtl w:val="0"/>
          </w:rPr>
          <w:t>2</w:t>
        </w:r>
        <w:r>
          <w:rPr>
            <w:rFonts w:ascii="Times New Roman" w:eastAsia="Times New Roman" w:hAnsi="Times New Roman" w:cs="Times New Roman"/>
            <w:b w:val="0"/>
            <w:bCs w:val="0"/>
            <w:i w:val="0"/>
            <w:iCs w:val="0"/>
            <w:strike w:val="0"/>
            <w:color w:val="2E3238"/>
            <w:spacing w:val="2"/>
            <w:sz w:val="19"/>
            <w:szCs w:val="19"/>
            <w:u w:val="none"/>
            <w:rtl w:val="0"/>
          </w:rPr>
          <w: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Whereas:</w:t>
      </w:r>
    </w:p>
    <w:p>
      <w:pPr>
        <w:numPr>
          <w:ilvl w:val="0"/>
          <w:numId w:val="1"/>
        </w:numPr>
        <w:bidi w:val="0"/>
        <w:spacing w:before="284" w:after="0" w:line="213" w:lineRule="atLeast"/>
        <w:ind w:right="-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Forests provide a broad variety of environmental,  economic and social benefits, including timber and non-wood forest products and environmental services essential for humankind, as they harbour most of the Earth’s terrestrial biodiversity.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They  maintain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functions,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help  protect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climate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clean  air  and  play  a vital role for the purification of waters and soils as well as for water retention and recharge. Large forest areas act as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moisture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source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help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prevent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desertification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continental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regions.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addition,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subsistence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income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approximately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world’s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population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destruction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has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serious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consequences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livelihoods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most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vulnerable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local  communities  who  depend  heavily  on forest  ecosystems.  Furthermore,  deforestation  and  forest  degradation reduce essential carbon sinks. Deforestation and forest degradation also increase the likelihood of contact between wild animals, farmed animals and humans, thereby increasing the risk of spreading new diseases and the risks of new  epidemics  and  pandemics.</w:t>
      </w:r>
    </w:p>
    <w:p>
      <w:pPr>
        <w:numPr>
          <w:ilvl w:val="0"/>
          <w:numId w:val="1"/>
        </w:numPr>
        <w:bidi w:val="0"/>
        <w:spacing w:before="302"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Deforestation and forest degradation are taking place at an alarming rate. The Food and Agriculture Organization of the United Nations (FAO) estimates that 420 million hectares of forest – about 10 % of the world’s remaining forests, equalling an area larger than the European Union – have been lost worldwide between 1990 and 2020. Deforestation and forest degradation are, in turn, important drivers of global warming and biodiversity loss – the two most important environmental challenges of our time. Yet, every year the world continues to lose 10 million hectares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heavily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impacted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climate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change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many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challenges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will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be addressed  to  ensure  the  adaptability  and  resilience  of  forests  in the  coming  decades.</w:t>
      </w:r>
    </w:p>
    <w:p>
      <w:pPr>
        <w:numPr>
          <w:ilvl w:val="0"/>
          <w:numId w:val="1"/>
        </w:numPr>
        <w:bidi w:val="0"/>
        <w:spacing w:before="302" w:after="0" w:line="213" w:lineRule="atLeast"/>
        <w:ind w:right="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contribute  to the global  climate  crisis  in multiple  ways.  Most  importantly, they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increase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greenhouse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gas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emissions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associated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fires,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permanently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removing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carbon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sink capacities, decreasing the climate change resilience of the affected area and substantially reducing its biodiversity and resilience to diseases and pests. Deforestation alone accounts for 11 % of greenhouse gas emissions as stated in  the  Intergovernmental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Panel  on  Climate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Change  (IPCC)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special  report  on  climate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change  and  land  of  2019.</w:t>
      </w:r>
    </w:p>
    <w:p>
      <w:pPr>
        <w:numPr>
          <w:ilvl w:val="0"/>
          <w:numId w:val="1"/>
        </w:numPr>
        <w:bidi w:val="0"/>
        <w:spacing w:before="302"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Climate breakdown induces the loss of biodiversity globally and biodiversity loss aggravates climate change, they are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thus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inextricably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linked,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recent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studies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confirmed.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Biodiversity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healthy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funda­ mental  to  climate-resilient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development.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Insects,  birds  and  mammals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  as  pollinators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seed  dispersers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can help store carbon more efficiently, directly or indirectly. Forests also ensure the continuous replenishment of water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resources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prevention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droughts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deleterious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effects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local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communities,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indigenous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Drastically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reducing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systemically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restoring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and  other  ecosystems  is the  single  largest  nature-based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opportunity  for  climate  mitigation.</w:t>
      </w:r>
    </w:p>
    <w:p>
      <w:pPr>
        <w:bidi w:val="0"/>
        <w:spacing w:before="255" w:after="0" w:line="187" w:lineRule="atLeast"/>
        <w:ind w:left="513" w:right="-200" w:firstLine="0"/>
        <w:jc w:val="both"/>
        <w:outlineLvl w:val="9"/>
        <w:rPr>
          <w:rFonts w:ascii="Times New Roman" w:eastAsia="Times New Roman" w:hAnsi="Times New Roman" w:cs="Times New Roman"/>
          <w:sz w:val="17"/>
          <w:szCs w:val="17"/>
        </w:rPr>
      </w:pPr>
      <w:bookmarkStart w:id="2" w:name="_page0_x-5.00_y759.89"/>
      <w:bookmarkEnd w:id="2"/>
      <w:bookmarkStart w:id="3" w:name="_page0_x-5.00_y768.89"/>
      <w:bookmarkEnd w:id="3"/>
      <w:hyperlink w:anchor="_page0_x-5.00_y277.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C 275,  18.7.2022,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 88.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1025" type="#_x0000_t75" style="width:55pt;height:4pt;margin-top:9.2pt;margin-left:66pt;mso-position-horizontal-relative:page;position:absolute;z-index:-251658240" o:allowincell="f">
            <v:imagedata r:id="rId4" o:title=""/>
            <w10:anchorlock/>
          </v:shape>
        </w:pict>
      </w:r>
    </w:p>
    <w:p>
      <w:pPr>
        <w:bidi w:val="0"/>
        <w:spacing w:before="0" w:after="0" w:line="187" w:lineRule="atLeast"/>
        <w:ind w:left="513" w:right="-200" w:firstLine="0"/>
        <w:jc w:val="both"/>
        <w:outlineLvl w:val="9"/>
        <w:rPr>
          <w:rFonts w:ascii="Times New Roman" w:eastAsia="Times New Roman" w:hAnsi="Times New Roman" w:cs="Times New Roman"/>
          <w:sz w:val="17"/>
          <w:szCs w:val="17"/>
        </w:rPr>
      </w:pPr>
      <w:hyperlink w:anchor="_page0_x-5.00_y328.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Position  of  the  European  Parliament </w:t>
      </w:r>
      <w:r>
        <w:rPr>
          <w:rFonts w:ascii="Times New Roman" w:eastAsia="Times New Roman" w:hAnsi="Times New Roman" w:cs="Times New Roman"/>
          <w:b w:val="0"/>
          <w:bCs w:val="0"/>
          <w:i w:val="0"/>
          <w:iCs w:val="0"/>
          <w:strike w:val="0"/>
          <w:color w:val="2E3238"/>
          <w:spacing w:val="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19 April  2023  (not  yet  published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in  the  Official  Journal)  and  decision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the  Council of </w:t>
      </w:r>
    </w:p>
    <w:p>
      <w:pPr>
        <w:bidi w:val="0"/>
        <w:spacing w:before="0" w:after="0" w:line="187" w:lineRule="atLeast"/>
        <w:ind w:left="746" w:right="-200" w:firstLine="0"/>
        <w:jc w:val="both"/>
        <w:outlineLvl w:val="0"/>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16 May  2023.</w:t>
      </w:r>
    </w:p>
    <w:p>
      <w:pPr>
        <w:sectPr>
          <w:headerReference w:type="even" r:id="rId5"/>
          <w:headerReference w:type="default" r:id="rId6"/>
          <w:pgSz w:w="11906" w:h="16838"/>
          <w:pgMar w:top="1300" w:right="642" w:bottom="640" w:left="850" w:header="840" w:footer="708"/>
          <w:cols w:space="708"/>
          <w:titlePg w:val="0"/>
        </w:sectPr>
      </w:pPr>
    </w:p>
    <w:p>
      <w:pPr>
        <w:numPr>
          <w:ilvl w:val="0"/>
          <w:numId w:val="2"/>
        </w:numPr>
        <w:bidi w:val="0"/>
        <w:spacing w:before="272" w:after="0" w:line="213" w:lineRule="atLeast"/>
        <w:ind w:right="-10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Biodiversity  is essential for the resilience of ecosystems  and their services both at local and at global level. Over half of the global gross domestic product depends on nature and the services it provides. Three major economic sectors – construction,  agriculture, and food and drink – all highly depend on nature. Biodiversity  loss threatens sustainable water cycles and food systems, putting food security and nutrition at risk. More than 75 % of global food  crop  types  rely  on  animal  pollination.  Furthermore,  several  industrial  sectors  rely  on  genetic  diversity  and ecosystem  services  as  critical  inputs  for  production,  in particular  for  medicines,  including  antimicrobials.</w:t>
      </w:r>
    </w:p>
    <w:p>
      <w:pPr>
        <w:numPr>
          <w:ilvl w:val="0"/>
          <w:numId w:val="2"/>
        </w:numPr>
        <w:bidi w:val="0"/>
        <w:spacing w:before="618"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Climate  change,  biodiversity  loss  and  deforestation  are  concerns  of  the  highest  global  importance,  affecting  the survival  of  humanity  and  sustained  living  conditions  on  Earth.  The  acceleration  of  climate  change,  biodiversity loss and environmental  degradation, paired with tangible examples of their devastating effects on nature, human living conditions and local economies, have led to the recognition of the green transition as the defining objective of  our  time  and  a matter  of  gender  equality  and  of  intergenerational  equity.</w:t>
      </w:r>
    </w:p>
    <w:p>
      <w:pPr>
        <w:numPr>
          <w:ilvl w:val="0"/>
          <w:numId w:val="2"/>
        </w:numPr>
        <w:bidi w:val="0"/>
        <w:spacing w:before="617" w:after="0" w:line="213" w:lineRule="atLeast"/>
        <w:ind w:right="4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Environmental  human  rights  defenders,  who  strive  to  protect  and  promote  human  rights  relating  to  the environment,  including  access  to  clean  water,  air,  and  land  are  often  the  target  of  persecution  and  lethal attacks.  Those  attacks  disproportionately  affect  indigenous  peoples.  According  to  2020  reports,  more  than  two thirds  of  victims  of  those  attacks  were  working  to  defend  the  world’s  forests  from  deforestation  and  industrial development.</w:t>
      </w:r>
    </w:p>
    <w:p>
      <w:pPr>
        <w:numPr>
          <w:ilvl w:val="0"/>
          <w:numId w:val="2"/>
        </w:numPr>
        <w:bidi w:val="0"/>
        <w:spacing w:before="618" w:after="0" w:line="213" w:lineRule="atLeast"/>
        <w:ind w:right="4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Union consumption is a considerable driver of deforestation and forest degradation on a global scale. The impact assessment  of  this  Regulation  estimated  that  without  appropriate  regulatory  intervention,  the  Union’s consumption  and  production  of  six  commodities  (cattle,  cocoa,  coffee,  oil  palm,  soya  and  wood)  alone  would rise  to  approximately  248 000  hectares  of  deforestation  annually  by  2030.</w:t>
      </w:r>
    </w:p>
    <w:p>
      <w:pPr>
        <w:numPr>
          <w:ilvl w:val="0"/>
          <w:numId w:val="2"/>
        </w:numPr>
        <w:bidi w:val="0"/>
        <w:spacing w:before="617"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As regards the situation of forests within the Union, the State of Europe’s Forests 2020 report states that, between 1990 and 2020, the area of forests in Europe has increased by 9 %, carbon stored in the biomass has grown by 50 % and wood supply has risen by 40 %. Primary and naturally  regenerating  forests are at risk, inter alia, from intensive  management,  and  their  unique  biodiversity  and  structural  features  are  in  danger.  Furthermore,  the European  Environment  Agency  has  noted  that  less  than  5 %  of  European  forest  areas  are  now  considered  to be  undisturbed  or  natural,  whereas  10 %  of  European  forest  areas  have  been  classified  as  intensively  managed. Forest ecosystems have to cope with multiple pressures caused by climate change, ranging from extreme weather patterns  to pests,  and with  human-related  activities  that negatively  affect  ecosystems  and habitats.  In particular, intensively managed even-aged forests through clear-cutting and deadwood removal can have a severe impact on whole  habitats.</w:t>
      </w:r>
    </w:p>
    <w:p>
      <w:pPr>
        <w:numPr>
          <w:ilvl w:val="0"/>
          <w:numId w:val="2"/>
        </w:numPr>
        <w:bidi w:val="0"/>
        <w:spacing w:before="617" w:after="0" w:line="213" w:lineRule="atLeast"/>
        <w:ind w:right="-11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2019, the Commission adopted several initiatives to address the global environmental crises, including specific actions on deforestation. In its communication of 23 July 2019 on Stepping up EU Action to Protect and Restore the World’s Forests (‘Communication  on Stepping up EU Action to Protect and Restore the World’s Forests’), the Commission  identified  as a priority  the reduction  of the Union  consumption  footprint  on land and encouraged the  consumption  of  products  from  deforestation-free  supply  chains  in  the  Union.  In  its  communication  of </w:t>
      </w:r>
    </w:p>
    <w:p>
      <w:pPr>
        <w:bidi w:val="0"/>
        <w:spacing w:before="0" w:after="0" w:line="213" w:lineRule="atLeast"/>
        <w:ind w:left="1020" w:right="-53"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11 December  2019  on  the  European  Green  Deal,  the  Commission  set  out  a  new  growth  strategy  that  aims  to transform  the  Union  into  a  fair  and  prosperous  society,  with  a  modern,  resource-efficient  and  competitive economy  built  on  sustainable  and  rule-based  free  trade,  where  there  are  no  net  emissions  of  greenhouse  gases in 2050, where economic growth is decoupled from resource use and no person or place is left behind. It aims to protect, conserve  and enhance the Union’s natural capital, and protect the health and well-being  of citizens and future  generations  from  environment-related  risks  and  impacts.  Furthermore,  the  European  Green  Deal  aims  to provide citizens and future generations with, inter alia, fresh air, clean water, healthy soil and biodiversity. To that end, the communication  of the Commission  of 20 May 2020  on a EU Biodiversity  Strategy  for 2030:  Bringing nature  back  into  our  lives  (the  ‘EU  Biodiversity  Strategy  for  </w:t>
      </w:r>
      <w:r>
        <w:rPr>
          <w:rFonts w:ascii="Times New Roman" w:eastAsia="Times New Roman" w:hAnsi="Times New Roman" w:cs="Times New Roman"/>
          <w:b w:val="0"/>
          <w:bCs w:val="0"/>
          <w:i w:val="0"/>
          <w:iCs w:val="0"/>
          <w:strike w:val="0"/>
          <w:color w:val="2E3238"/>
          <w:spacing w:val="1"/>
          <w:sz w:val="19"/>
          <w:szCs w:val="19"/>
          <w:u w:val="none"/>
          <w:rtl w:val="0"/>
        </w:rPr>
        <w:t>2030’)</w:t>
      </w:r>
      <w:r>
        <w:rPr>
          <w:rFonts w:ascii="Times New Roman" w:eastAsia="Times New Roman" w:hAnsi="Times New Roman" w:cs="Times New Roman"/>
          <w:b w:val="0"/>
          <w:bCs w:val="0"/>
          <w:i w:val="0"/>
          <w:iCs w:val="0"/>
          <w:strike w:val="0"/>
          <w:color w:val="2E3238"/>
          <w:spacing w:val="0"/>
          <w:sz w:val="19"/>
          <w:szCs w:val="19"/>
          <w:u w:val="none"/>
          <w:rtl w:val="0"/>
        </w:rPr>
        <w:t xml:space="preserve">  the  communication  of  the  Commission  of 20 May 2020 on a Farm to Fork Strategy for a fair, healthy and environmentally-friendly  food system (the ‘Farm to Fork’ strategy), the communication of the Commission of 16 July 2021 on a new EU Forest Strategy for 2030, the communication  of the Commission  of 12 May 2021 on the Pathway to a Healthy Planet for All, EU Action Plan: ‘Towards Zero Pollution for Air, Water and Soil’ and other relevant strategies, such as the communication of the Commission of 30 June 2021 on a long-term Vision for the EU’s Rural Areas – Towards stronger, connected, resilient  and  prosperous  rural  areas  by  2040,  developed  under  the  European  Green  Deal,  further  highlight  the importance of action on forest protection and resilience. In particular, the EU Biodiversity Strategy for 2030 aims to protect  nature  and reverse  the degradation  of ecosystems.  Finally,  the communication  of the Commission  of</w:t>
      </w:r>
    </w:p>
    <w:p>
      <w:pPr>
        <w:sectPr>
          <w:headerReference w:type="even" r:id="rId7"/>
          <w:headerReference w:type="default" r:id="rId8"/>
          <w:pgSz w:w="11906" w:h="16838"/>
          <w:pgMar w:top="1300" w:right="688" w:bottom="640" w:left="850" w:header="840" w:footer="708"/>
          <w:cols w:space="708"/>
          <w:titlePg w:val="0"/>
        </w:sectPr>
      </w:pPr>
    </w:p>
    <w:p>
      <w:pPr>
        <w:bidi w:val="0"/>
        <w:spacing w:before="272" w:after="0" w:line="213" w:lineRule="atLeast"/>
        <w:ind w:left="1020" w:right="105"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11 October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2018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sustainable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Bioeconomy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Strengthening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connection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economy, society  and  the  environment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enhances  the  protection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environment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ecosystems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while  addressing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growing  demand  for food, feed, energy,  materials  and products  by seeking  new ways to produce  and consume.</w:t>
      </w:r>
    </w:p>
    <w:p>
      <w:pPr>
        <w:numPr>
          <w:ilvl w:val="0"/>
          <w:numId w:val="3"/>
        </w:numPr>
        <w:bidi w:val="0"/>
        <w:spacing w:before="571" w:after="0" w:line="213" w:lineRule="atLeast"/>
        <w:ind w:right="-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repeatedly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expressed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about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persistent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They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emphasised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since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current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policies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global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level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conservation,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restoration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sustainable  management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forests  do  not  suffice  to  halt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degradation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biodiversity  loss, enhanced  Union  action  is needed  in order  to contribute  more  effectively  to the  achievement  of  the Sustainable Development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Goals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(SDGs)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2030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Agenda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Sustainable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Development,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which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all United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Nations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4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2015. </w:t>
      </w:r>
      <w:r>
        <w:rPr>
          <w:rFonts w:ascii="Times New Roman" w:eastAsia="Times New Roman" w:hAnsi="Times New Roman" w:cs="Times New Roman"/>
          <w:b w:val="0"/>
          <w:bCs w:val="0"/>
          <w:i w:val="0"/>
          <w:iCs w:val="0"/>
          <w:strike w:val="0"/>
          <w:color w:val="2E3238"/>
          <w:spacing w:val="5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Council </w:t>
      </w:r>
      <w:r>
        <w:rPr>
          <w:rFonts w:ascii="Times New Roman" w:eastAsia="Times New Roman" w:hAnsi="Times New Roman" w:cs="Times New Roman"/>
          <w:b w:val="0"/>
          <w:bCs w:val="0"/>
          <w:i w:val="0"/>
          <w:iCs w:val="0"/>
          <w:strike w:val="0"/>
          <w:color w:val="2E3238"/>
          <w:spacing w:val="5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has </w:t>
      </w:r>
      <w:r>
        <w:rPr>
          <w:rFonts w:ascii="Times New Roman" w:eastAsia="Times New Roman" w:hAnsi="Times New Roman" w:cs="Times New Roman"/>
          <w:b w:val="0"/>
          <w:bCs w:val="0"/>
          <w:i w:val="0"/>
          <w:iCs w:val="0"/>
          <w:strike w:val="0"/>
          <w:color w:val="2E3238"/>
          <w:spacing w:val="5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specifically </w:t>
      </w:r>
      <w:r>
        <w:rPr>
          <w:rFonts w:ascii="Times New Roman" w:eastAsia="Times New Roman" w:hAnsi="Times New Roman" w:cs="Times New Roman"/>
          <w:b w:val="0"/>
          <w:bCs w:val="0"/>
          <w:i w:val="0"/>
          <w:iCs w:val="0"/>
          <w:strike w:val="0"/>
          <w:color w:val="2E3238"/>
          <w:spacing w:val="5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supported </w:t>
      </w:r>
      <w:r>
        <w:rPr>
          <w:rFonts w:ascii="Times New Roman" w:eastAsia="Times New Roman" w:hAnsi="Times New Roman" w:cs="Times New Roman"/>
          <w:b w:val="0"/>
          <w:bCs w:val="0"/>
          <w:i w:val="0"/>
          <w:iCs w:val="0"/>
          <w:strike w:val="0"/>
          <w:color w:val="2E3238"/>
          <w:spacing w:val="5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announcement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communication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Stepping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up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Restore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World’s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that  it would  assess  additional  regulatory  and  non-regulatory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measures  and  that  it would  present  proposals  for both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types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measures.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endorsed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Decade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Action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SDGs,  the  UN  Decade  on  Ecosystem  Restoration  and  the  UN  Decade  of  Family  Farming.</w:t>
      </w:r>
    </w:p>
    <w:p>
      <w:pPr>
        <w:numPr>
          <w:ilvl w:val="0"/>
          <w:numId w:val="3"/>
        </w:numPr>
        <w:bidi w:val="0"/>
        <w:spacing w:before="590" w:after="0" w:line="213" w:lineRule="atLeast"/>
        <w:ind w:right="-7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highlighted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ongoing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destruction,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conversion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world’s forests and natural ecosystems, as well as human rights violations, are linked, to a large extent, to the expansion of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agricultural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particular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converting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agricultural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dedicated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producing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number  of  high-demand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products.  On  22 October  2020,  the  European  Parliament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adopted  a resolution,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225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Treaty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Functioning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(TFEU), requesting the Commission to submit, on the basis of Article 192(1) TFEU, a proposal for an ‘EU legal framework to  halt  and  reverse  EU-driven  global  deforestation’ based  on  mandatory  due  diligence.</w:t>
      </w:r>
    </w:p>
    <w:p>
      <w:pPr>
        <w:numPr>
          <w:ilvl w:val="0"/>
          <w:numId w:val="3"/>
        </w:numPr>
        <w:bidi w:val="0"/>
        <w:spacing w:before="590" w:after="0" w:line="213" w:lineRule="atLeast"/>
        <w:ind w:right="-7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Combating deforestation and forest degradation constitutes an important part of the package of measures needed to  reduce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greenhouse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gas  emissions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to  comply  with  the  Union’s  commitments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the  European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Green </w:t>
      </w:r>
      <w:bookmarkStart w:id="4" w:name="_page2_x-5.00_y411.89"/>
      <w:bookmarkEnd w:id="4"/>
      <w:r>
        <w:rPr>
          <w:rFonts w:ascii="Times New Roman" w:eastAsia="Times New Roman" w:hAnsi="Times New Roman" w:cs="Times New Roman"/>
          <w:b w:val="0"/>
          <w:bCs w:val="0"/>
          <w:i w:val="0"/>
          <w:iCs w:val="0"/>
          <w:strike w:val="0"/>
          <w:color w:val="2E3238"/>
          <w:spacing w:val="0"/>
          <w:sz w:val="19"/>
          <w:szCs w:val="19"/>
          <w:u w:val="none"/>
          <w:rtl w:val="0"/>
        </w:rPr>
        <w:t xml:space="preserve">Deal as well as with the Paris Agreement  adopted under the United Nations Framework  Convention  on Climate </w:t>
      </w:r>
      <w:bookmarkStart w:id="5" w:name="_page2_x-5.00_y422.89"/>
      <w:bookmarkEnd w:id="5"/>
      <w:r>
        <w:rPr>
          <w:rFonts w:ascii="Times New Roman" w:eastAsia="Times New Roman" w:hAnsi="Times New Roman" w:cs="Times New Roman"/>
          <w:b w:val="0"/>
          <w:bCs w:val="0"/>
          <w:i w:val="0"/>
          <w:iCs w:val="0"/>
          <w:strike w:val="0"/>
          <w:color w:val="2E3238"/>
          <w:spacing w:val="0"/>
          <w:sz w:val="19"/>
          <w:szCs w:val="19"/>
          <w:u w:val="none"/>
          <w:rtl w:val="0"/>
        </w:rPr>
        <w:t>Change</w:t>
      </w:r>
      <w:hyperlink w:anchor="_page2_x-5.00_y714.89" w:history="1">
        <w:r>
          <w:rPr>
            <w:rFonts w:ascii="Times New Roman" w:eastAsia="Times New Roman" w:hAnsi="Times New Roman" w:cs="Times New Roman"/>
            <w:b w:val="0"/>
            <w:bCs w:val="0"/>
            <w:i w:val="0"/>
            <w:iCs w:val="0"/>
            <w:strike w:val="0"/>
            <w:color w:val="2E3238"/>
            <w:spacing w:val="0"/>
            <w:sz w:val="19"/>
            <w:szCs w:val="19"/>
            <w:u w:val="none"/>
            <w:rtl w:val="0"/>
          </w:rPr>
          <w:t xml:space="preserve"> ()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‘Paris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Agreement’),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Eighth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Environment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Programme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Decision </w:t>
        </w:r>
      </w:hyperlink>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p>
    <w:p>
      <w:pPr>
        <w:bidi w:val="0"/>
        <w:spacing w:before="0" w:after="0" w:line="170" w:lineRule="atLeast"/>
        <w:ind w:left="1020" w:right="257" w:firstLine="0"/>
        <w:jc w:val="both"/>
        <w:outlineLvl w:val="9"/>
        <w:rPr>
          <w:rFonts w:ascii="Times New Roman" w:eastAsia="Times New Roman" w:hAnsi="Times New Roman" w:cs="Times New Roman"/>
          <w:sz w:val="19"/>
          <w:szCs w:val="19"/>
        </w:rPr>
      </w:pPr>
      <w:bookmarkStart w:id="6" w:name="_page2_x-5.00_y433.89"/>
      <w:bookmarkEnd w:id="6"/>
      <w:r>
        <w:rPr>
          <w:rFonts w:ascii="Times New Roman" w:eastAsia="Times New Roman" w:hAnsi="Times New Roman" w:cs="Times New Roman"/>
          <w:b w:val="0"/>
          <w:bCs w:val="0"/>
          <w:i w:val="0"/>
          <w:iCs w:val="0"/>
          <w:strike w:val="0"/>
          <w:color w:val="2E3238"/>
          <w:spacing w:val="0"/>
          <w:sz w:val="19"/>
          <w:szCs w:val="19"/>
          <w:u w:val="none"/>
          <w:rtl w:val="0"/>
        </w:rPr>
        <w:t>2022/591</w:t>
      </w:r>
      <w:hyperlink w:anchor="_page2_x-5.00_y714.89" w:history="1">
        <w:r>
          <w:rPr>
            <w:rFonts w:ascii="Times New Roman" w:eastAsia="Times New Roman" w:hAnsi="Times New Roman" w:cs="Times New Roman"/>
            <w:b w:val="0"/>
            <w:bCs w:val="0"/>
            <w:i w:val="0"/>
            <w:iCs w:val="0"/>
            <w:strike w:val="0"/>
            <w:color w:val="2E3238"/>
            <w:spacing w:val="0"/>
            <w:sz w:val="12"/>
            <w:szCs w:val="12"/>
            <w:u w:val="none"/>
            <w:rtl w:val="0"/>
          </w:rPr>
          <w:t>3</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European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of  the  </w:t>
      </w:r>
      <w:hyperlink w:anchor="_page2_x-5.00_y723.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4</w:t>
        </w:r>
        <w:r>
          <w:rPr>
            <w:rFonts w:ascii="Times New Roman" w:eastAsia="Times New Roman" w:hAnsi="Times New Roman" w:cs="Times New Roman"/>
            <w:b w:val="0"/>
            <w:bCs w:val="0"/>
            <w:i w:val="0"/>
            <w:iCs w:val="0"/>
            <w:strike w:val="0"/>
            <w:color w:val="2E3238"/>
            <w:spacing w:val="0"/>
            <w:sz w:val="19"/>
            <w:szCs w:val="19"/>
            <w:u w:val="none"/>
            <w:rtl w:val="0"/>
          </w:rPr>
          <w:t xml:space="preserve">),  and  with  the  legally  binding  commitment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under</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Regulation  (EU) 2021/1119  of the European  Parliament  and of the </w:t>
      </w:r>
      <w:hyperlink w:anchor="_page2_x-5.00_y741.89" w:history="1">
        <w:r>
          <w:rPr>
            <w:rFonts w:ascii="Times New Roman" w:eastAsia="Times New Roman" w:hAnsi="Times New Roman" w:cs="Times New Roman"/>
            <w:b w:val="0"/>
            <w:bCs w:val="0"/>
            <w:i w:val="0"/>
            <w:iCs w:val="0"/>
            <w:strike w:val="0"/>
            <w:color w:val="2E3238"/>
            <w:spacing w:val="0"/>
            <w:sz w:val="19"/>
            <w:szCs w:val="19"/>
            <w:u w:val="none"/>
            <w:rtl w:val="0"/>
          </w:rPr>
          <w:t>Council</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w:t>
        </w:r>
        <w:r>
          <w:rPr>
            <w:rFonts w:ascii="Times New Roman" w:eastAsia="Times New Roman" w:hAnsi="Times New Roman" w:cs="Times New Roman"/>
            <w:b w:val="0"/>
            <w:bCs w:val="0"/>
            <w:i w:val="0"/>
            <w:iCs w:val="0"/>
            <w:strike w:val="0"/>
            <w:color w:val="2E3238"/>
            <w:spacing w:val="3"/>
            <w:sz w:val="12"/>
            <w:szCs w:val="12"/>
            <w:u w:val="none"/>
            <w:rtl w:val="0"/>
          </w:rPr>
          <w:t>5</w:t>
        </w:r>
        <w:r>
          <w:rPr>
            <w:rFonts w:ascii="Times New Roman" w:eastAsia="Times New Roman" w:hAnsi="Times New Roman" w:cs="Times New Roman"/>
            <w:b w:val="0"/>
            <w:bCs w:val="0"/>
            <w:i w:val="0"/>
            <w:iCs w:val="0"/>
            <w:strike w:val="0"/>
            <w:color w:val="2E3238"/>
            <w:spacing w:val="3"/>
            <w:sz w:val="19"/>
            <w:szCs w:val="19"/>
            <w:u w:val="none"/>
            <w:rtl w:val="0"/>
          </w:rPr>
          <w:t>)</w:t>
        </w:r>
        <w:r>
          <w:rPr>
            <w:rFonts w:ascii="Times New Roman" w:eastAsia="Times New Roman" w:hAnsi="Times New Roman" w:cs="Times New Roman"/>
            <w:b w:val="0"/>
            <w:bCs w:val="0"/>
            <w:i w:val="0"/>
            <w:iCs w:val="0"/>
            <w:strike w:val="0"/>
            <w:color w:val="2E3238"/>
            <w:spacing w:val="0"/>
            <w:sz w:val="19"/>
            <w:szCs w:val="19"/>
            <w:u w:val="none"/>
            <w:rtl w:val="0"/>
          </w:rPr>
          <w:t xml:space="preserve"> to reach climate neutrality  at the</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3" w:after="0" w:line="210" w:lineRule="atLeast"/>
        <w:ind w:left="1020"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latest  by  2050  and  reduce  greenhouse  gas  emissions  by  at least  55 %  compared  to 1990  levels  by  2030.</w:t>
      </w:r>
    </w:p>
    <w:p>
      <w:pPr>
        <w:numPr>
          <w:ilvl w:val="0"/>
          <w:numId w:val="4"/>
        </w:numPr>
        <w:bidi w:val="0"/>
        <w:spacing w:before="571" w:after="0" w:line="213" w:lineRule="atLeast"/>
        <w:ind w:right="9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Combating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constitutes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an  important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  of  the  package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measures </w:t>
      </w:r>
      <w:bookmarkStart w:id="7" w:name="_page2_x-5.00_y505.89"/>
      <w:bookmarkEnd w:id="7"/>
      <w:r>
        <w:rPr>
          <w:rFonts w:ascii="Times New Roman" w:eastAsia="Times New Roman" w:hAnsi="Times New Roman" w:cs="Times New Roman"/>
          <w:b w:val="0"/>
          <w:bCs w:val="0"/>
          <w:i w:val="0"/>
          <w:iCs w:val="0"/>
          <w:strike w:val="0"/>
          <w:color w:val="2E3238"/>
          <w:spacing w:val="0"/>
          <w:sz w:val="19"/>
          <w:szCs w:val="19"/>
          <w:u w:val="none"/>
          <w:rtl w:val="0"/>
        </w:rPr>
        <w:t xml:space="preserve">needed to combat biodiversity loss and to comply with the Union’s commitments  under the UN Convention on Biological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Diversity  </w:t>
      </w:r>
      <w:hyperlink w:anchor="_page2_x-5.00_y768.89" w:history="1">
        <w:r>
          <w:rPr>
            <w:rFonts w:ascii="Times New Roman" w:eastAsia="Times New Roman" w:hAnsi="Times New Roman" w:cs="Times New Roman"/>
            <w:b w:val="0"/>
            <w:bCs w:val="0"/>
            <w:i w:val="0"/>
            <w:iCs w:val="0"/>
            <w:strike w:val="0"/>
            <w:color w:val="2E3238"/>
            <w:spacing w:val="0"/>
            <w:sz w:val="19"/>
            <w:szCs w:val="19"/>
            <w:u w:val="none"/>
            <w:rtl w:val="0"/>
          </w:rPr>
          <w:t>(CBD) (</w:t>
        </w:r>
        <w:r>
          <w:rPr>
            <w:rFonts w:ascii="Times New Roman" w:eastAsia="Times New Roman" w:hAnsi="Times New Roman" w:cs="Times New Roman"/>
            <w:b w:val="0"/>
            <w:bCs w:val="0"/>
            <w:i w:val="0"/>
            <w:iCs w:val="0"/>
            <w:strike w:val="0"/>
            <w:color w:val="2E3238"/>
            <w:spacing w:val="0"/>
            <w:sz w:val="12"/>
            <w:szCs w:val="12"/>
            <w:u w:val="none"/>
            <w:rtl w:val="0"/>
          </w:rPr>
          <w:t>6</w:t>
        </w:r>
        <w:r>
          <w:rPr>
            <w:rFonts w:ascii="Times New Roman" w:eastAsia="Times New Roman" w:hAnsi="Times New Roman" w:cs="Times New Roman"/>
            <w:b w:val="0"/>
            <w:bCs w:val="0"/>
            <w:i w:val="0"/>
            <w:iCs w:val="0"/>
            <w:strike w:val="0"/>
            <w:color w:val="2E3238"/>
            <w:spacing w:val="0"/>
            <w:sz w:val="19"/>
            <w:szCs w:val="19"/>
            <w:u w:val="none"/>
            <w:rtl w:val="0"/>
          </w:rPr>
          <w:t xml:space="preserve">),  the  European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Green  Deal,  the  EU  Biodiversity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Strategy  for  2030  and  the  accom­ </w:t>
        </w:r>
      </w:hyperlink>
      <w:r>
        <w:rPr>
          <w:rFonts w:ascii="Times New Roman" w:eastAsia="Times New Roman" w:hAnsi="Times New Roman" w:cs="Times New Roman"/>
          <w:b w:val="0"/>
          <w:bCs w:val="0"/>
          <w:i w:val="0"/>
          <w:iCs w:val="0"/>
          <w:strike w:val="0"/>
          <w:color w:val="2E3238"/>
          <w:spacing w:val="0"/>
          <w:sz w:val="19"/>
          <w:szCs w:val="19"/>
          <w:u w:val="none"/>
          <w:rtl w:val="0"/>
        </w:rPr>
        <w:t>panying  Union  nature  restoration  objectives.</w:t>
      </w:r>
    </w:p>
    <w:p>
      <w:pPr>
        <w:numPr>
          <w:ilvl w:val="0"/>
          <w:numId w:val="4"/>
        </w:numPr>
        <w:bidi w:val="0"/>
        <w:spacing w:before="590" w:after="0" w:line="213" w:lineRule="atLeast"/>
        <w:ind w:right="-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Primary  forests  are  unique  and  irreplaceable.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Plantation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and  planted  forests  have  a  different  biodiversity composition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different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services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compared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primary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naturally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regenerating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forests.</w:t>
      </w:r>
    </w:p>
    <w:p>
      <w:pPr>
        <w:numPr>
          <w:ilvl w:val="0"/>
          <w:numId w:val="4"/>
        </w:numPr>
        <w:bidi w:val="0"/>
        <w:spacing w:before="589" w:after="0" w:line="213" w:lineRule="atLeast"/>
        <w:ind w:right="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Agricultural expansion drives almost 90 % of global deforestation, with more than half of forest loss being due to conversion  of  forest  into  cropland,  whereas  livestock  grazing  is  responsible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for  almost  40 %  of  forest  loss.</w:t>
      </w:r>
    </w:p>
    <w:p>
      <w:pPr>
        <w:numPr>
          <w:ilvl w:val="0"/>
          <w:numId w:val="4"/>
        </w:numPr>
        <w:bidi w:val="0"/>
        <w:spacing w:before="590" w:after="0" w:line="213" w:lineRule="atLeast"/>
        <w:ind w:right="6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livestock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contribute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Promoting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alternative, sustainable agricultural practices can address environmental and climate challenges, and prevent deforestation and forest degradation worldwide. Incentives to adopt more balanced, healthier and more nutritious diets and a more sustainable  lifestyle  can  decrease  the  pressure  on  land  and  resources.</w:t>
      </w:r>
    </w:p>
    <w:p>
      <w:pPr>
        <w:bidi w:val="0"/>
        <w:spacing w:before="255" w:after="0" w:line="187" w:lineRule="atLeast"/>
        <w:ind w:left="513" w:right="-200" w:firstLine="0"/>
        <w:jc w:val="both"/>
        <w:outlineLvl w:val="9"/>
        <w:rPr>
          <w:rFonts w:ascii="Times New Roman" w:eastAsia="Times New Roman" w:hAnsi="Times New Roman" w:cs="Times New Roman"/>
          <w:sz w:val="17"/>
          <w:szCs w:val="17"/>
        </w:rPr>
      </w:pPr>
      <w:bookmarkStart w:id="8" w:name="_page2_x-5.00_y714.89"/>
      <w:bookmarkEnd w:id="8"/>
      <w:bookmarkStart w:id="9" w:name="_page2_x-5.00_y723.89"/>
      <w:bookmarkEnd w:id="9"/>
      <w:hyperlink w:anchor="_page2_x-5.00_y411.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L 282,  19.10.2016,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 4. </w:t>
      </w:r>
      <w:r>
        <w:pict>
          <v:shape id="PathGroup" o:spid="_x0000_s1026" type="#_x0000_t75" style="width:55pt;height:5pt;margin-top:8.49pt;margin-left:66pt;mso-position-horizontal-relative:page;position:absolute;z-index:-251657216" o:allowincell="f">
            <v:imagedata r:id="rId9" o:title=""/>
            <w10:anchorlock/>
          </v:shape>
        </w:pict>
      </w:r>
    </w:p>
    <w:p>
      <w:pPr>
        <w:bidi w:val="0"/>
        <w:spacing w:before="0" w:after="0" w:line="365" w:lineRule="atLeast"/>
        <w:ind w:left="513" w:right="-200" w:firstLine="0"/>
        <w:jc w:val="both"/>
        <w:outlineLvl w:val="9"/>
        <w:rPr>
          <w:rFonts w:ascii="Times New Roman" w:eastAsia="Times New Roman" w:hAnsi="Times New Roman" w:cs="Times New Roman"/>
          <w:sz w:val="17"/>
          <w:szCs w:val="17"/>
        </w:rPr>
      </w:pPr>
      <w:hyperlink w:anchor="_page2_x-5.00_y422.89" w:history="1">
        <w:r>
          <w:rPr>
            <w:rFonts w:ascii="Times New Roman" w:eastAsia="Times New Roman" w:hAnsi="Times New Roman" w:cs="Times New Roman"/>
            <w:b w:val="0"/>
            <w:bCs w:val="0"/>
            <w:i w:val="0"/>
            <w:iCs w:val="0"/>
            <w:strike w:val="0"/>
            <w:color w:val="2E3238"/>
            <w:spacing w:val="0"/>
            <w:sz w:val="17"/>
            <w:szCs w:val="17"/>
            <w:u w:val="none"/>
            <w:rtl w:val="0"/>
          </w:rPr>
          <w:t>(</w:t>
        </w:r>
      </w:hyperlink>
      <w:hyperlink w:anchor="_page2_x-5.00_y411.89" w:history="1">
        <w:r>
          <w:rPr>
            <w:rFonts w:ascii="Times New Roman" w:eastAsia="Times New Roman" w:hAnsi="Times New Roman" w:cs="Times New Roman"/>
            <w:b w:val="0"/>
            <w:bCs w:val="0"/>
            <w:i w:val="0"/>
            <w:iCs w:val="0"/>
            <w:strike w:val="0"/>
            <w:color w:val="2E3238"/>
            <w:spacing w:val="0"/>
            <w:sz w:val="11"/>
            <w:szCs w:val="11"/>
            <w:u w:val="none"/>
            <w:rtl w:val="0"/>
          </w:rPr>
          <w:t>3</w:t>
        </w:r>
      </w:hyperlink>
      <w:hyperlink w:anchor="_page2_x-5.00_y422.89" w:history="1">
        <w:r>
          <w:rPr>
            <w:rFonts w:ascii="Times New Roman" w:eastAsia="Times New Roman" w:hAnsi="Times New Roman" w:cs="Times New Roman"/>
            <w:b w:val="0"/>
            <w:bCs w:val="0"/>
            <w:i w:val="0"/>
            <w:iCs w:val="0"/>
            <w:strike w:val="0"/>
            <w:color w:val="2E3238"/>
            <w:spacing w:val="0"/>
            <w:sz w:val="11"/>
            <w:szCs w:val="11"/>
            <w:u w:val="none"/>
            <w:rtl w:val="0"/>
          </w:rPr>
          <w:t>4</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Decision (EU) 2022/591 of the European Parliament and of the Council of 6 April 2022 on a General Union Environment Action </w:t>
      </w:r>
    </w:p>
    <w:p>
      <w:pPr>
        <w:bidi w:val="0"/>
        <w:spacing w:before="1" w:after="0" w:line="187" w:lineRule="atLeast"/>
        <w:ind w:left="746" w:right="-200" w:firstLine="0"/>
        <w:jc w:val="both"/>
        <w:outlineLvl w:val="9"/>
        <w:rPr>
          <w:rFonts w:ascii="Times New Roman" w:eastAsia="Times New Roman" w:hAnsi="Times New Roman" w:cs="Times New Roman"/>
          <w:sz w:val="17"/>
          <w:szCs w:val="17"/>
        </w:rPr>
      </w:pPr>
      <w:bookmarkStart w:id="10" w:name="_page2_x-5.00_y741.89"/>
      <w:bookmarkEnd w:id="10"/>
      <w:r>
        <w:rPr>
          <w:rFonts w:ascii="Times New Roman" w:eastAsia="Times New Roman" w:hAnsi="Times New Roman" w:cs="Times New Roman"/>
          <w:b w:val="0"/>
          <w:bCs w:val="0"/>
          <w:i w:val="0"/>
          <w:iCs w:val="0"/>
          <w:strike w:val="0"/>
          <w:color w:val="2E3238"/>
          <w:spacing w:val="0"/>
          <w:sz w:val="17"/>
          <w:szCs w:val="17"/>
          <w:u w:val="none"/>
          <w:rtl w:val="0"/>
        </w:rPr>
        <w:t xml:space="preserve">Programme  to  2030  (OJ  L 114,  12.4.2022,  p. 22). </w:t>
      </w:r>
    </w:p>
    <w:p>
      <w:pPr>
        <w:bidi w:val="0"/>
        <w:spacing w:before="0" w:after="0" w:line="187" w:lineRule="atLeast"/>
        <w:ind w:left="513" w:right="-200" w:firstLine="0"/>
        <w:jc w:val="both"/>
        <w:outlineLvl w:val="9"/>
        <w:rPr>
          <w:rFonts w:ascii="Times New Roman" w:eastAsia="Times New Roman" w:hAnsi="Times New Roman" w:cs="Times New Roman"/>
          <w:sz w:val="17"/>
          <w:szCs w:val="17"/>
        </w:rPr>
      </w:pPr>
      <w:hyperlink w:anchor="_page2_x-5.00_y433.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5</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2021/1119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30 June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2021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establishing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framework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for </w:t>
      </w:r>
    </w:p>
    <w:p>
      <w:pPr>
        <w:bidi w:val="0"/>
        <w:spacing w:before="0" w:after="0" w:line="178" w:lineRule="atLeast"/>
        <w:ind w:left="746" w:right="-34" w:firstLine="0"/>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achieving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climate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neutrality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amending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Regulations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(EC)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401/2009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2018/1999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Climate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Law’) </w:t>
      </w:r>
      <w:bookmarkStart w:id="11" w:name="_page2_x-5.00_y768.89"/>
      <w:bookmarkEnd w:id="11"/>
      <w:r>
        <w:rPr>
          <w:rFonts w:ascii="Times New Roman" w:eastAsia="Times New Roman" w:hAnsi="Times New Roman" w:cs="Times New Roman"/>
          <w:b w:val="0"/>
          <w:bCs w:val="0"/>
          <w:i w:val="0"/>
          <w:iCs w:val="0"/>
          <w:strike w:val="0"/>
          <w:color w:val="2E3238"/>
          <w:spacing w:val="0"/>
          <w:sz w:val="17"/>
          <w:szCs w:val="17"/>
          <w:u w:val="none"/>
          <w:rtl w:val="0"/>
        </w:rPr>
        <w:t xml:space="preserve">(OJ  L 243,  9.7.2021,  p. 1). </w:t>
      </w:r>
    </w:p>
    <w:p>
      <w:pPr>
        <w:bidi w:val="0"/>
        <w:spacing w:before="0" w:after="0" w:line="187" w:lineRule="atLeast"/>
        <w:ind w:left="513" w:right="-200" w:firstLine="0"/>
        <w:jc w:val="both"/>
        <w:outlineLvl w:val="9"/>
        <w:rPr>
          <w:rFonts w:ascii="Times New Roman" w:eastAsia="Times New Roman" w:hAnsi="Times New Roman" w:cs="Times New Roman"/>
          <w:sz w:val="17"/>
          <w:szCs w:val="17"/>
        </w:rPr>
      </w:pPr>
      <w:hyperlink w:anchor="_page2_x-5.00_y505.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6</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Decision 93/626/EEC of 25 October 1993 concerning the conclusion of the Convention on Biological Diversity (OJ L 309, </w:t>
      </w:r>
    </w:p>
    <w:p>
      <w:pPr>
        <w:bidi w:val="0"/>
        <w:spacing w:before="0" w:after="0" w:line="187" w:lineRule="atLeast"/>
        <w:ind w:left="746"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13.12.1993,  p. 1).</w:t>
      </w:r>
    </w:p>
    <w:p>
      <w:pPr>
        <w:sectPr>
          <w:headerReference w:type="even" r:id="rId10"/>
          <w:headerReference w:type="default" r:id="rId11"/>
          <w:pgSz w:w="11906" w:h="16838"/>
          <w:pgMar w:top="1300" w:right="689" w:bottom="640" w:left="850" w:header="840" w:footer="708"/>
          <w:cols w:space="708"/>
          <w:titlePg w:val="0"/>
        </w:sectPr>
      </w:pPr>
    </w:p>
    <w:p>
      <w:pPr>
        <w:numPr>
          <w:ilvl w:val="0"/>
          <w:numId w:val="5"/>
        </w:numPr>
        <w:bidi w:val="0"/>
        <w:spacing w:before="272" w:after="0" w:line="213" w:lineRule="atLeast"/>
        <w:ind w:right="5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Union  imported  and  consumed  one  third  of  the  globally  traded  agricultural  products  associated  with deforestation  between  1990  and  2008.  Over  that  period,  Union  consumption  was  responsible  for  10 %  of worldwide  deforestation  associated  with  the  production  of  goods  or  the  provision  of  services.  Even  if  the relative  share  of  Union  consumption  is  decreasing,  Union  consumption  is  a  disproportionally  large  driver  of deforestation.  The  Union  should  therefore  take  action  to  minimise  global  deforestation  and  forest  degradation driven  by its  consumption  of certain  commodities  and  products  and  thereby  seek  to reduce  its contribution  to greenhouse  gas  emissions  and  global  biodiversity  loss  as  well  as  promote  sustainable  production  and consumption  patterns  in  the  Union  and  globally.  To  have  the  greatest  impact,  Union  policy  should  aim  at influencing  the  global  market,  not  only  supply  chains  to  the  Union.  Partnerships  and  efficient  international cooperation,  including  free  trade  agreements,  with  producer  and  consumer  countries  are  fundamental  in  that respect.</w:t>
      </w:r>
    </w:p>
    <w:p>
      <w:pPr>
        <w:numPr>
          <w:ilvl w:val="0"/>
          <w:numId w:val="5"/>
        </w:numPr>
        <w:bidi w:val="0"/>
        <w:spacing w:before="617" w:after="0" w:line="213" w:lineRule="atLeast"/>
        <w:ind w:right="-5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Union is committed to promoting and implementing ambitious environment and climate policies across the world,  in  accordance  with  the  Charter  of  Fundamental  Rights  of  the  European  Union,  in  particular  Article 37 thereof which provides that a high level of environmental  protection and the improvement  of the quality of the environment  is to be integrated  into  the policies  of the Union  and ensured  in accordance  with the principle  of sustainable  development.  As  part  of  the  external  dimension  of  the  European  Green  Deal,  action  under  this Regulation should take into account the importance of existing global agreements, commitments and frameworks contributing  to  the  reduction  of  deforestation  and  forest  degradation  such  as  the  UN  Strategic  Plan  for  Forests 2017-2030  and its Global  Forest  Goals,  the UN Framework  Convention  on Climate  Change  (UNFCCC)  and the Paris  Agreement,  the  CBD  and  its  Post-2020  Global  Biodiversity  Framework,  the  global  Strategic  Plan  for Biodiversity  2011-2020  and  its  Aichi  Biodiversity  Targets,  and  the  UN  Convention  to  Combat  Desertification, as  well  as  the  multilateral  framework  in  support  of  tackling  the  root  causes  of  deforestation  and  forest  degra­ dation,  such  as  the  SDGs  and  the  UN  Declaration  on  the  Rights  of  Indigenous  Peoples.</w:t>
      </w:r>
    </w:p>
    <w:p>
      <w:pPr>
        <w:numPr>
          <w:ilvl w:val="0"/>
          <w:numId w:val="5"/>
        </w:numPr>
        <w:bidi w:val="0"/>
        <w:spacing w:before="617" w:after="0" w:line="213" w:lineRule="atLeast"/>
        <w:ind w:right="-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Halting  deforestation  and  restoring  degraded  forests  is  an  essential  part  of  the  SDGs.  This  Regulation  should contribute  in  particular  to  meeting  the  goals  regarding  life  on  land  (SDG  15),  climate  action  (SDG  13), responsible  consumption  and  production  (SDG  12),  zero  hunger  (SDG  2)  and  good  health  and  well-being (SDG  3).  The  relevant  target  15.2  to  halt  deforestation  by  2020  has  not  been  met,  underlining  the  urgency  of ambitious  and  effective  action.</w:t>
      </w:r>
    </w:p>
    <w:p>
      <w:pPr>
        <w:numPr>
          <w:ilvl w:val="0"/>
          <w:numId w:val="5"/>
        </w:numPr>
        <w:bidi w:val="0"/>
        <w:spacing w:before="617" w:after="0" w:line="213" w:lineRule="atLeast"/>
        <w:ind w:right="-2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should  also  respond  to  the  New  York  Declaration  on  Forests,  a  non-legally  binding  political declaration  that endorses  a global  timeline  to cut natural  forest  loss in half by 2020  and to strive  to end it by 2030.  The  Declaration  was  endorsed  by  dozens  of  governments,  many  of  the  world’s  biggest  companies,  and influential civil society and indigenous peoples’ organisations. It also called on the private sector to meet the goal of  eliminating  deforestation  from  the  production  of  agricultural  commodities  such  as  palm  oil,  soy,  paper  and beef products by no later than 2020, a goal that was not achieved. In addition, this Regulation should contribute to the UN Strategic Plan for Forests 2017-2030 whose Global Forest Goal 1 is to reverse the loss of forest cover worldwide  through  sustainable  forest  management,  including  protection,  restoration,  afforestation  and  refores­ tation, and increase efforts to prevent forest degradation and contribute to the global effort of addressing climate change.</w:t>
      </w:r>
    </w:p>
    <w:p>
      <w:pPr>
        <w:numPr>
          <w:ilvl w:val="0"/>
          <w:numId w:val="5"/>
        </w:numPr>
        <w:bidi w:val="0"/>
        <w:spacing w:before="617" w:after="0" w:line="213" w:lineRule="atLeast"/>
        <w:ind w:right="-8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should also respond to the Glasgow Leaders’ Declaration  on Forests and Land Use issued at the November  2021  UN  Climate  Change  Conference,  which  recognises  that  ‘to  meet  our  land  use,  climate,  biodi­ versity  and  Sustainable  Development  Goals,  both  globally  and  nationally,  will  require  transformative  further action  in  the  interconnected  areas  of  sustainable  production  and  consumption;  infrastructure  development; trade,  finance  and  investment;  and  support  for  smallholders,  indigenous  peoples,  and  local  communities’.  The signatories  committed  to working  collectively  to halt and reverse  forest loss and land degradation  by 2030 and stressed that they would strengthen their shared efforts to facilitate trade and development policies, internationally and  domestically,  that  promote  sustainable  development  and  sustainable  commodity  production  and consumption,  and  that  work  to  countries’ mutual  benefit.</w:t>
      </w:r>
    </w:p>
    <w:p>
      <w:pPr>
        <w:numPr>
          <w:ilvl w:val="0"/>
          <w:numId w:val="5"/>
        </w:numPr>
        <w:bidi w:val="0"/>
        <w:spacing w:before="617" w:after="0" w:line="213" w:lineRule="atLeast"/>
        <w:ind w:right="-2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As a member of World Trade Organization (WTO), the Union is committed to promoting a universal, rule-based, open,  transparent,  predictable,  inclusive,  non-discriminatory  and  equitable  multilateral  trading  system  under  the WTO, as well as an open,  sustainable,  and assertive  trade policy.  The scope  of this Regulation  should  therefore include commodities and products produced within the Union as well as commodities and products imported to the  Union.</w:t>
      </w:r>
    </w:p>
    <w:p>
      <w:pPr>
        <w:sectPr>
          <w:headerReference w:type="even" r:id="rId12"/>
          <w:headerReference w:type="default" r:id="rId13"/>
          <w:pgSz w:w="11906" w:h="16838"/>
          <w:pgMar w:top="1300" w:right="688" w:bottom="640" w:left="850" w:header="840" w:footer="708"/>
          <w:cols w:space="708"/>
          <w:titlePg w:val="0"/>
        </w:sectPr>
      </w:pPr>
    </w:p>
    <w:p>
      <w:pPr>
        <w:numPr>
          <w:ilvl w:val="0"/>
          <w:numId w:val="6"/>
        </w:numPr>
        <w:bidi w:val="0"/>
        <w:spacing w:before="272" w:after="0" w:line="213" w:lineRule="atLeast"/>
        <w:ind w:right="-6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challenges the world is facing in climate change and biodiversity loss can only be dealt with by global action. The Union should be a strong global actor, leading both by example as well as by taking the lead in international cooperation  to create  an  open  and  fair  multilateral  system  where  sustainable  trade  acts  as a key  enabler  of  the green  transition  to  fight  climate  change  and  reverse  biodiversity  loss.</w:t>
      </w:r>
    </w:p>
    <w:p>
      <w:pPr>
        <w:numPr>
          <w:ilvl w:val="0"/>
          <w:numId w:val="6"/>
        </w:numPr>
        <w:bidi w:val="0"/>
        <w:spacing w:before="873" w:after="0" w:line="213" w:lineRule="atLeast"/>
        <w:ind w:right="-5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also  follows  the  communications  of  the  Commission  of  22 June  2022  on  the  power  of  trade partnerships:  together  for green  and just economic  growth  and of 18 February  2021  on Trade  Policy  Review  – An Open, Sustainable and Assertive Trade Policy, which stated that with new internal and external challenges and more  particularly  a  new,  more  sustainable  growth  model  as  defined  by  the  European  Green  Deal  and  the European  Digital  Strategy,  contained  in  the  communication  of  the  Commission  of  19 February  2020  on Shaping  Europe’s  digital  future,  the  Union  needs  a  new  trade  policy  strategy  –  one  that  will  support  achieving its domestic and external policy objectives and promote greater sustainability in line with its commitment to fully implement the SDGs. Trade policy needs to play a full role in the Union’s recovery from the COVID-19 pandemic and in the green and digital transformations of the economy and towards building a more resilient Union in the world.</w:t>
      </w:r>
    </w:p>
    <w:p>
      <w:pPr>
        <w:numPr>
          <w:ilvl w:val="0"/>
          <w:numId w:val="6"/>
        </w:numPr>
        <w:bidi w:val="0"/>
        <w:spacing w:before="873" w:after="0" w:line="213" w:lineRule="atLeast"/>
        <w:ind w:right="11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line with its communication  of 22 June 2022 on the power of trade partnerships: together for green and just economic  growth,  the  Commission  is  stepping  up  engagement  with  trade  partners  to  foster  compliance  with international  labour  and environmental  standards.  The communication  envisages  robust  chapters  on sustainable development,  containing  clauses  on  deforestation  and  forest  degradation.  Ensuring  enforcement  of  current  and the  conclusion  of  new  trade  agreements  with  such  chapters  will  complement  the  objectives  of  this  Regulation.</w:t>
      </w:r>
    </w:p>
    <w:p>
      <w:pPr>
        <w:numPr>
          <w:ilvl w:val="0"/>
          <w:numId w:val="6"/>
        </w:numPr>
        <w:bidi w:val="0"/>
        <w:spacing w:before="873" w:after="0" w:line="213" w:lineRule="atLeast"/>
        <w:ind w:right="5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should be complementary to other measures proposed in the communication on Stepping up EU Action to Protect and Restore the World’s Forests, in particular working in partnership with producer countries, to support them in addressing root causes of deforestation, such as weak governance, ineffective law enforcement and  corruption,  and  strengthening  international  cooperation  with  major  consumer  countries  by,  inter  alia, encouraging  trade  in  deforestation-free  products  and  the  adoption  of  similar  measures,  to  avoid  products coming  from  supply  chains  associated  with  deforestation  and forest  degradation  being  placed  on their  markets.</w:t>
      </w:r>
    </w:p>
    <w:p>
      <w:pPr>
        <w:numPr>
          <w:ilvl w:val="0"/>
          <w:numId w:val="6"/>
        </w:numPr>
        <w:bidi w:val="0"/>
        <w:spacing w:before="873" w:after="0" w:line="213" w:lineRule="atLeast"/>
        <w:ind w:right="8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should take into account the principle of policy coherence for development and serve to promote and facilitate  cooperation  with developing  countries,  particularly  with the least developed  countries  (LDCs), inter alia  through  the  provision  of  technical  and  financial  assistance,  where  possible  and  relevant.</w:t>
      </w:r>
    </w:p>
    <w:p>
      <w:pPr>
        <w:numPr>
          <w:ilvl w:val="0"/>
          <w:numId w:val="6"/>
        </w:numPr>
        <w:bidi w:val="0"/>
        <w:spacing w:before="873" w:after="0" w:line="213" w:lineRule="atLeast"/>
        <w:ind w:right="-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coordination  with  Member  States,  the  Commission  should  continue  to  work  in  partnership  with  producer countries, and more generally in cooperation with international organisations and bodies as well as with relevant stakeholders  active  on  the  ground  through  multi-stakeholder  dialogues.  The  Commission  should  reinforce  its support  and  incentives  with  regard  to  protecting  forests  and  the  transition  to  deforestation-free  production, acknowledging  and  strengthening  the  role  and  rights  of  indigenous  peoples,  local  communities,  smallholders and  micro,  small  and  medium-sized  enterprises  (SMEs),  improving  governance  and  land  tenure,  increasing  law enforcement  and promoting  sustainable  forest management,  with an emphasis on closer-to-nature  forestry prac­ tices,  based  on  science-based  indicators  and  thresholds,  ecotourism,  climate-resilient  agriculture,  diversification, agro-ecology  and  agroforestry.  In  doing  so,  the  Commission  should  fully  recognise  the  role  and  rights  of indigenous  peoples  and  local  communities  in  protecting  forests,  taking  into  account  the  principle  of  free, prior  and  informed  consent  (FPIC).  Building  upon  the  experience  and  lessons  learned  in  the  context  of existing initiatives, the Union and the Member States should work towards partnerships with producer countries, at their request,  and address  global challenges  while meeting  local needs and paying  attention  to the challenges faced  by  smallholders,  in  line  with  the  communication  on  Stepping  up  EU  Action  to  Protect  and  Restore  the World’s  Forests.  The  partnership  approach  should  help  producer  countries  and  parts  thereof  in  protecting, restoring  and  sustainably  using  forest,  hence  contributing  to the  objective  of this  Regulation  to reduce  defores­ tation  and  forest  degradation,  including  through  the  use  of  digital  technologies,  geospatial  information  and capacity  building.</w:t>
      </w:r>
    </w:p>
    <w:p>
      <w:pPr>
        <w:sectPr>
          <w:headerReference w:type="even" r:id="rId14"/>
          <w:headerReference w:type="default" r:id="rId15"/>
          <w:pgSz w:w="11906" w:h="16838"/>
          <w:pgMar w:top="1300" w:right="689" w:bottom="640" w:left="850" w:header="840" w:footer="708"/>
          <w:cols w:space="708"/>
          <w:titlePg w:val="0"/>
        </w:sectPr>
      </w:pPr>
    </w:p>
    <w:p>
      <w:pPr>
        <w:numPr>
          <w:ilvl w:val="0"/>
          <w:numId w:val="7"/>
        </w:numPr>
        <w:bidi w:val="0"/>
        <w:spacing w:before="272" w:after="0" w:line="213" w:lineRule="atLeast"/>
        <w:ind w:right="5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traders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bound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obligations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regardless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making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takes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traditional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online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means.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therefore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that  in  every  supply  chain  there  is  an  operator  within  the  meaning  of  this  Regulation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who  is established in the Union and can be held accountable in the event of non-fulfilment of the obligations under this Regulation.  The Commission  and the Member States should monitor the implementation  of this Regulation  and identify whether digital and technological developments require further specifications or initiatives, as appropriate, in  the  future.</w:t>
      </w:r>
    </w:p>
    <w:p>
      <w:pPr>
        <w:numPr>
          <w:ilvl w:val="0"/>
          <w:numId w:val="7"/>
        </w:numPr>
        <w:bidi w:val="0"/>
        <w:spacing w:before="586" w:after="0" w:line="213" w:lineRule="atLeast"/>
        <w:ind w:right="-7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Another  important  action  announced  in the  communication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Stepping  up  EU  Action  to Protect  and  Restore the World’s Forests  is the establishment  of the EU Observatory  on deforestation,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degradation,  changes  in the world’s forest cover and associated drivers (‘EU Observatory’) launched by the Commission in order to better monitor changes in the world’s forest cover and related drivers. Building on existing monitoring  tools, including Copernicus products and other publicly or privately available sources, the EU Observatory should facilitate access to information  on supply  chains  for  public  entities,  consumers  and  business,  providing  easy-to-understand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linking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changes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world’s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demand  for,  and  trade  in,  commodities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products.  The  EU  Observatory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thus  support  the  implemen­ 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this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providing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scientific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evidence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regard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global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 dation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Observatory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maps,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series since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cut-off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date  defined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this  Regulation,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a  range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classes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allowing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landscape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composition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be examined.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Observatory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participate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development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early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warning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combining research and monitoring capacity. As regards this Regulation, when technically feasible, the objective of the early warning  system  should  be to be part of a platform  that  can  assist  the competent  authorities,  operators,  traders and  other  relevant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stakeholders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that  can  provide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continuous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monitoring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early  notification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possible deforestation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forest  degradation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activities.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platform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operational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soon  as  possible.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EU Observatory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cooperate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international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organisations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bodies, research  institutes,  non-governmental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organisations,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operators,  traders,  third  countries  and  other  relevant  stake­ holders.</w:t>
      </w:r>
    </w:p>
    <w:p>
      <w:pPr>
        <w:numPr>
          <w:ilvl w:val="0"/>
          <w:numId w:val="7"/>
        </w:numPr>
        <w:bidi w:val="0"/>
        <w:spacing w:before="586" w:after="0" w:line="213" w:lineRule="atLeast"/>
        <w:ind w:right="-3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existing Union legal framework focuses on tackling illegal logging and associated trade and does not address </w:t>
      </w:r>
      <w:bookmarkStart w:id="12" w:name="_page5_x-5.00_y435.89"/>
      <w:bookmarkEnd w:id="12"/>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directly.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consists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995/2010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Council</w:t>
      </w:r>
      <w:hyperlink w:anchor="_page5_x-5.00_y750.89" w:history="1">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2"/>
            <w:szCs w:val="12"/>
            <w:u w:val="none"/>
            <w:rtl w:val="0"/>
          </w:rPr>
          <w:t>7</w:t>
        </w:r>
        <w:r>
          <w:rPr>
            <w:rFonts w:ascii="Times New Roman" w:eastAsia="Times New Roman" w:hAnsi="Times New Roman" w:cs="Times New Roman"/>
            <w:b w:val="0"/>
            <w:bCs w:val="0"/>
            <w:i w:val="0"/>
            <w:iCs w:val="0"/>
            <w:strike w:val="0"/>
            <w:color w:val="2E3238"/>
            <w:spacing w:val="0"/>
            <w:sz w:val="19"/>
            <w:szCs w:val="19"/>
            <w:u w:val="none"/>
            <w:rtl w:val="0"/>
          </w:rPr>
          <w:t xml:space="preserve">) and  Council  Regulation  (EC)  No  </w:t>
        </w:r>
      </w:hyperlink>
      <w:hyperlink w:anchor="_page5_x-5.00_y768.89" w:history="1">
        <w:r>
          <w:rPr>
            <w:rFonts w:ascii="Times New Roman" w:eastAsia="Times New Roman" w:hAnsi="Times New Roman" w:cs="Times New Roman"/>
            <w:b w:val="0"/>
            <w:bCs w:val="0"/>
            <w:i w:val="0"/>
            <w:iCs w:val="0"/>
            <w:strike w:val="0"/>
            <w:color w:val="2E3238"/>
            <w:spacing w:val="0"/>
            <w:sz w:val="19"/>
            <w:szCs w:val="19"/>
            <w:u w:val="none"/>
            <w:rtl w:val="0"/>
          </w:rPr>
          <w:t>2173/2005 (</w:t>
        </w:r>
        <w:r>
          <w:rPr>
            <w:rFonts w:ascii="Times New Roman" w:eastAsia="Times New Roman" w:hAnsi="Times New Roman" w:cs="Times New Roman"/>
            <w:b w:val="0"/>
            <w:bCs w:val="0"/>
            <w:i w:val="0"/>
            <w:iCs w:val="0"/>
            <w:strike w:val="0"/>
            <w:color w:val="2E3238"/>
            <w:spacing w:val="0"/>
            <w:sz w:val="12"/>
            <w:szCs w:val="12"/>
            <w:u w:val="none"/>
            <w:rtl w:val="0"/>
          </w:rPr>
          <w:t>8</w:t>
        </w:r>
        <w:r>
          <w:rPr>
            <w:rFonts w:ascii="Times New Roman" w:eastAsia="Times New Roman" w:hAnsi="Times New Roman" w:cs="Times New Roman"/>
            <w:b w:val="0"/>
            <w:bCs w:val="0"/>
            <w:i w:val="0"/>
            <w:iCs w:val="0"/>
            <w:strike w:val="0"/>
            <w:color w:val="2E3238"/>
            <w:spacing w:val="0"/>
            <w:sz w:val="19"/>
            <w:szCs w:val="19"/>
            <w:u w:val="none"/>
            <w:rtl w:val="0"/>
          </w:rPr>
          <w:t xml:space="preserve">).  Both  Regulations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were  evaluated  in  a  Fitness  Check</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which determined that, while the legislation has had a positive impact on forest governance, the objectives of the two  Regulations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  namely  to  curb  illegal  logging  and  related  trade,  and  to  reduce  the  consumption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illegally harvested timber in the Union – have not been met and it was concluded that focusing solely on the legality of timber  was  not  sufficient  to meet  the  set  objectives.</w:t>
      </w:r>
    </w:p>
    <w:p>
      <w:pPr>
        <w:numPr>
          <w:ilvl w:val="0"/>
          <w:numId w:val="7"/>
        </w:numPr>
        <w:bidi w:val="0"/>
        <w:spacing w:before="586" w:after="0" w:line="213" w:lineRule="atLeast"/>
        <w:ind w:right="-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Available reports confirm that a sizeable part of ongoing deforestation is legal in accordance with the laws of the country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report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Policy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Finance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Initiative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published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2021 estimates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2013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2019,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around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30 %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destined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commercial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agriculture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tropical countries was legal. Available data tend to focus on countries with weak governance – the global share of deforestation that is illegal might be lower, but already provide clear data signalling that leaving out deforestation that  is legal  in  the  country  of  production  undermines  the  effectiveness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policy  measures.</w:t>
      </w:r>
    </w:p>
    <w:p>
      <w:pPr>
        <w:numPr>
          <w:ilvl w:val="0"/>
          <w:numId w:val="7"/>
        </w:numPr>
        <w:bidi w:val="0"/>
        <w:spacing w:before="585"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impact assessment of possible policy measures to address Union-driven deforestation and forest degradation, 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Council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conclusions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16 December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2019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resolution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22 October 2020 clearly identify the need to establish deforestation  and forest degradation  as the guiding criteria for future Union measures. A focus only on legality could potentially entail a risk of lowered environmental standards with a view  to obtaining  market  access.  Therefore,  the new Union  legal  framework  should  address  both  legality  and whether  the  production  of  relevant  commodities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relevant  products  is deforestation-free.</w:t>
      </w:r>
    </w:p>
    <w:p>
      <w:pPr>
        <w:numPr>
          <w:ilvl w:val="0"/>
          <w:numId w:val="7"/>
        </w:numPr>
        <w:bidi w:val="0"/>
        <w:spacing w:before="584" w:after="0" w:line="214" w:lineRule="atLeast"/>
        <w:ind w:right="-2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definition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‘deforestation-free ’  should  be  sufficiently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broad  to  cover  deforestation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should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clarity,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measurable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based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quantitative,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objective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internationally recognised  data.</w:t>
      </w:r>
    </w:p>
    <w:p>
      <w:pPr>
        <w:bidi w:val="0"/>
        <w:spacing w:before="254" w:after="0" w:line="187" w:lineRule="atLeast"/>
        <w:ind w:left="513" w:right="-200" w:firstLine="0"/>
        <w:jc w:val="both"/>
        <w:outlineLvl w:val="9"/>
        <w:rPr>
          <w:rFonts w:ascii="Times New Roman" w:eastAsia="Times New Roman" w:hAnsi="Times New Roman" w:cs="Times New Roman"/>
          <w:sz w:val="17"/>
          <w:szCs w:val="17"/>
        </w:rPr>
      </w:pPr>
      <w:bookmarkStart w:id="13" w:name="_page5_x-5.00_y750.89"/>
      <w:bookmarkEnd w:id="13"/>
      <w:hyperlink w:anchor="_page5_x-5.00_y435.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7</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 (EU) No 995/2010 of the European Parliament and of the Council of 20 October 2010 laying down the obligations of </w:t>
      </w:r>
      <w:r>
        <w:pict>
          <v:shape id="PathGroup" o:spid="_x0000_s1027" type="#_x0000_t75" style="width:55pt;height:4pt;margin-top:9.21pt;margin-left:66pt;mso-position-horizontal-relative:page;position:absolute;z-index:-251656192" o:allowincell="f">
            <v:imagedata r:id="rId16" o:title=""/>
            <w10:anchorlock/>
          </v:shape>
        </w:pict>
      </w:r>
    </w:p>
    <w:p>
      <w:pPr>
        <w:bidi w:val="0"/>
        <w:spacing w:before="0" w:after="0" w:line="187" w:lineRule="atLeast"/>
        <w:ind w:left="746" w:right="-200" w:firstLine="0"/>
        <w:jc w:val="both"/>
        <w:outlineLvl w:val="9"/>
        <w:rPr>
          <w:rFonts w:ascii="Times New Roman" w:eastAsia="Times New Roman" w:hAnsi="Times New Roman" w:cs="Times New Roman"/>
          <w:sz w:val="17"/>
          <w:szCs w:val="17"/>
        </w:rPr>
      </w:pPr>
      <w:bookmarkStart w:id="14" w:name="_page5_x-5.00_y768.89"/>
      <w:bookmarkEnd w:id="14"/>
      <w:r>
        <w:rPr>
          <w:rFonts w:ascii="Times New Roman" w:eastAsia="Times New Roman" w:hAnsi="Times New Roman" w:cs="Times New Roman"/>
          <w:b w:val="0"/>
          <w:bCs w:val="0"/>
          <w:i w:val="0"/>
          <w:iCs w:val="0"/>
          <w:strike w:val="0"/>
          <w:color w:val="2E3238"/>
          <w:spacing w:val="0"/>
          <w:sz w:val="17"/>
          <w:szCs w:val="17"/>
          <w:u w:val="none"/>
          <w:rtl w:val="0"/>
        </w:rPr>
        <w:t xml:space="preserve">operators  who  place  timber  and  timber  products  on  the  market  (OJ  L 295,  12.11.2010,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 23). </w:t>
      </w:r>
    </w:p>
    <w:p>
      <w:pPr>
        <w:bidi w:val="0"/>
        <w:spacing w:before="0" w:after="0" w:line="187" w:lineRule="atLeast"/>
        <w:ind w:left="513" w:right="-200" w:firstLine="0"/>
        <w:jc w:val="both"/>
        <w:outlineLvl w:val="9"/>
        <w:rPr>
          <w:rFonts w:ascii="Times New Roman" w:eastAsia="Times New Roman" w:hAnsi="Times New Roman" w:cs="Times New Roman"/>
          <w:sz w:val="17"/>
          <w:szCs w:val="17"/>
        </w:rPr>
      </w:pPr>
      <w:hyperlink w:anchor="_page5_x-5.00_y435.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8</w:t>
        </w:r>
        <w:r>
          <w:rPr>
            <w:rFonts w:ascii="Times New Roman" w:eastAsia="Times New Roman" w:hAnsi="Times New Roman" w:cs="Times New Roman"/>
            <w:b w:val="0"/>
            <w:bCs w:val="0"/>
            <w:i w:val="0"/>
            <w:iCs w:val="0"/>
            <w:strike w:val="0"/>
            <w:color w:val="2E3238"/>
            <w:spacing w:val="0"/>
            <w:sz w:val="17"/>
            <w:szCs w:val="17"/>
            <w:u w:val="none"/>
            <w:rtl w:val="0"/>
          </w:rPr>
          <w:t>)</w:t>
        </w:r>
      </w:hyperlink>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Regulation  (EC)  No 2173/2005  of 20 December  2005  on the establishment  of a FLEGT  licensing  scheme  for imports  of </w:t>
      </w:r>
    </w:p>
    <w:p>
      <w:pPr>
        <w:bidi w:val="0"/>
        <w:spacing w:before="0" w:after="0" w:line="187" w:lineRule="atLeast"/>
        <w:ind w:left="746"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timber  into  the  European  Community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(OJ  L 347,  30.12.2005,  p. 1).</w:t>
      </w:r>
    </w:p>
    <w:p>
      <w:pPr>
        <w:sectPr>
          <w:headerReference w:type="even" r:id="rId17"/>
          <w:headerReference w:type="default" r:id="rId18"/>
          <w:pgSz w:w="11906" w:h="16838"/>
          <w:pgMar w:top="1300" w:right="688" w:bottom="640" w:left="850" w:header="840" w:footer="708"/>
          <w:cols w:space="708"/>
          <w:titlePg w:val="0"/>
        </w:sectPr>
      </w:pPr>
    </w:p>
    <w:p>
      <w:pPr>
        <w:numPr>
          <w:ilvl w:val="0"/>
          <w:numId w:val="8"/>
        </w:numPr>
        <w:bidi w:val="0"/>
        <w:spacing w:before="272" w:after="0" w:line="213" w:lineRule="atLeast"/>
        <w:ind w:right="3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purposes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agricultural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defined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purpose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agriculture. In this regard, the Commission should develop guidelines in order to clarify the interpretation of this definition, in particular in relation to the conversion of forest to land the purpose of which is not agricultural use.</w:t>
      </w:r>
    </w:p>
    <w:p>
      <w:pPr>
        <w:numPr>
          <w:ilvl w:val="0"/>
          <w:numId w:val="8"/>
        </w:numPr>
        <w:bidi w:val="0"/>
        <w:spacing w:before="560" w:after="0" w:line="213" w:lineRule="atLeast"/>
        <w:ind w:right="-2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line with FAO definitions, agroforestry systems, including where crops are grown under tree cover, as well as agrisilvicultural,  silvopastoral and agrosilvopastoral  systems, should not be considered forests, but as constituting agricultural  use.</w:t>
      </w:r>
    </w:p>
    <w:p>
      <w:pPr>
        <w:numPr>
          <w:ilvl w:val="0"/>
          <w:numId w:val="8"/>
        </w:numPr>
        <w:bidi w:val="0"/>
        <w:spacing w:before="559" w:after="0" w:line="213"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Union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consumption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which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the  most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terms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driving  global  deforestation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  which  a  Union  policy  intervention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could  bring  the highest  benefits  per  unit  value  of  trade.  An  extensive  review  of  relevant  scientific  literature,  namely  of  primary sources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estimating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impact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consumption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global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linking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environmental footprint  to  specific  commodities,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  carried  out  as a  part  of  the  study  supporting  the  impact  assessment  for this Regulation and cross-checked by means of extensive consultation with stakeholders. That process delivered a </w:t>
      </w:r>
      <w:bookmarkStart w:id="15" w:name="_page6_x-5.00_y272.89"/>
      <w:bookmarkEnd w:id="15"/>
      <w:r>
        <w:rPr>
          <w:rFonts w:ascii="Times New Roman" w:eastAsia="Times New Roman" w:hAnsi="Times New Roman" w:cs="Times New Roman"/>
          <w:b w:val="0"/>
          <w:bCs w:val="0"/>
          <w:i w:val="0"/>
          <w:iCs w:val="0"/>
          <w:strike w:val="0"/>
          <w:color w:val="2E3238"/>
          <w:spacing w:val="0"/>
          <w:sz w:val="19"/>
          <w:szCs w:val="19"/>
          <w:u w:val="none"/>
          <w:rtl w:val="0"/>
        </w:rPr>
        <w:t xml:space="preserve">first list of eight commodities.  Wood was directly included in the scope as it was already covered by Regulation (EU) No 995/2010.  According  to a recent research  </w:t>
      </w:r>
      <w:hyperlink w:anchor="_page6_x-5.00_y750.89" w:history="1">
        <w:r>
          <w:rPr>
            <w:rFonts w:ascii="Times New Roman" w:eastAsia="Times New Roman" w:hAnsi="Times New Roman" w:cs="Times New Roman"/>
            <w:b w:val="0"/>
            <w:bCs w:val="0"/>
            <w:i w:val="0"/>
            <w:iCs w:val="0"/>
            <w:strike w:val="0"/>
            <w:color w:val="2E3238"/>
            <w:spacing w:val="0"/>
            <w:sz w:val="19"/>
            <w:szCs w:val="19"/>
            <w:u w:val="none"/>
            <w:rtl w:val="0"/>
          </w:rPr>
          <w:t>paper (</w:t>
        </w:r>
        <w:r>
          <w:rPr>
            <w:rFonts w:ascii="Times New Roman" w:eastAsia="Times New Roman" w:hAnsi="Times New Roman" w:cs="Times New Roman"/>
            <w:b w:val="0"/>
            <w:bCs w:val="0"/>
            <w:i w:val="0"/>
            <w:iCs w:val="0"/>
            <w:strike w:val="0"/>
            <w:color w:val="2E3238"/>
            <w:spacing w:val="0"/>
            <w:sz w:val="12"/>
            <w:szCs w:val="12"/>
            <w:u w:val="none"/>
            <w:rtl w:val="0"/>
          </w:rPr>
          <w:t>9</w:t>
        </w:r>
        <w:r>
          <w:rPr>
            <w:rFonts w:ascii="Times New Roman" w:eastAsia="Times New Roman" w:hAnsi="Times New Roman" w:cs="Times New Roman"/>
            <w:b w:val="0"/>
            <w:bCs w:val="0"/>
            <w:i w:val="0"/>
            <w:iCs w:val="0"/>
            <w:strike w:val="0"/>
            <w:color w:val="2E3238"/>
            <w:spacing w:val="0"/>
            <w:sz w:val="19"/>
            <w:szCs w:val="19"/>
            <w:u w:val="none"/>
            <w:rtl w:val="0"/>
          </w:rPr>
          <w:t>) used for the efficiency  analysis,  seven commodities</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represent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largest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share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Union-driven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eight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analysed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research paper: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oil </w:t>
      </w:r>
      <w:r>
        <w:rPr>
          <w:rFonts w:ascii="Times New Roman" w:eastAsia="Times New Roman" w:hAnsi="Times New Roman" w:cs="Times New Roman"/>
          <w:b w:val="0"/>
          <w:bCs w:val="0"/>
          <w:i w:val="0"/>
          <w:iCs w:val="0"/>
          <w:strike w:val="0"/>
          <w:color w:val="2E3238"/>
          <w:spacing w:val="4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palm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(34,0 %),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soya </w:t>
      </w:r>
      <w:r>
        <w:rPr>
          <w:rFonts w:ascii="Times New Roman" w:eastAsia="Times New Roman" w:hAnsi="Times New Roman" w:cs="Times New Roman"/>
          <w:b w:val="0"/>
          <w:bCs w:val="0"/>
          <w:i w:val="0"/>
          <w:iCs w:val="0"/>
          <w:strike w:val="0"/>
          <w:color w:val="2E3238"/>
          <w:spacing w:val="4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(32,8 %),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4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(8,6 %),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cocoa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(7,5 %),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coffee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(7,0 %),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cattle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(5,0 %)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rubber  (3,4 %).</w:t>
      </w:r>
    </w:p>
    <w:p>
      <w:pPr>
        <w:numPr>
          <w:ilvl w:val="0"/>
          <w:numId w:val="8"/>
        </w:numPr>
        <w:bidi w:val="0"/>
        <w:spacing w:before="559" w:after="0" w:line="213" w:lineRule="atLeast"/>
        <w:ind w:right="-1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To ensure that this Regulation achieves its objectives, it is important to ensure that feed used for livestock falling within the scope of this Regulation does not lead to deforestation. Therefore, operators placing on the market or exporting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contain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made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cattle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which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that contain or have been made using other relevant commodities  or relevant products, should ensure, as  part  of  their  due  diligence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  feed  is  deforestation-free.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that  case,  geolocation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requirements under  this  Regulation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be  limited  to  referring  to  the  geographical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location  of  each  of  the  establishments where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cattle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were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raised,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geolocation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required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feed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itself.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If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competent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authority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obtains </w:t>
      </w:r>
      <w:r>
        <w:rPr>
          <w:rFonts w:ascii="Times New Roman" w:eastAsia="Times New Roman" w:hAnsi="Times New Roman" w:cs="Times New Roman"/>
          <w:b w:val="0"/>
          <w:bCs w:val="0"/>
          <w:i w:val="0"/>
          <w:iCs w:val="0"/>
          <w:strike w:val="0"/>
          <w:color w:val="2E3238"/>
          <w:spacing w:val="4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made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aware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4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based </w:t>
      </w:r>
      <w:r>
        <w:rPr>
          <w:rFonts w:ascii="Times New Roman" w:eastAsia="Times New Roman" w:hAnsi="Times New Roman" w:cs="Times New Roman"/>
          <w:b w:val="0"/>
          <w:bCs w:val="0"/>
          <w:i w:val="0"/>
          <w:iCs w:val="0"/>
          <w:strike w:val="0"/>
          <w:color w:val="2E3238"/>
          <w:spacing w:val="4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substantiated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submitted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parties,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being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compliance with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immediately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request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detailed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feed. If the feed has already been subject to due diligence in a previous step of the supply chain, operators should use as  evidence  the  relevant  invoices,  reference  numbers  of  relevant  due  diligence  statements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any  other  relevant documentation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indicating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  feed  is  deforestation-free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they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could  be  required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make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that  evidence available  to competent  authorities  upon request.  The evidence  should  cover the lifetime of the animals,  up to a maximum  of  five  years.</w:t>
      </w:r>
    </w:p>
    <w:p>
      <w:pPr>
        <w:numPr>
          <w:ilvl w:val="0"/>
          <w:numId w:val="8"/>
        </w:numPr>
        <w:bidi w:val="0"/>
        <w:spacing w:before="559" w:after="0" w:line="213" w:lineRule="atLeast"/>
        <w:ind w:right="7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Bearing in mind that the use of recycled relevant commodities and relevant products should be encouraged, and that  including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commodities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products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scope  of  this  Regulation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would  place  a  disproportionate burden on operators, used commodities and products that have completed their lifecycle, and would otherwise be </w:t>
      </w:r>
    </w:p>
    <w:p>
      <w:pPr>
        <w:bidi w:val="0"/>
        <w:spacing w:before="0" w:after="0" w:line="213" w:lineRule="atLeast"/>
        <w:ind w:left="1020" w:right="4" w:firstLine="0"/>
        <w:jc w:val="both"/>
        <w:outlineLvl w:val="9"/>
        <w:rPr>
          <w:rFonts w:ascii="Times New Roman" w:eastAsia="Times New Roman" w:hAnsi="Times New Roman" w:cs="Times New Roman"/>
          <w:sz w:val="19"/>
          <w:szCs w:val="19"/>
        </w:rPr>
      </w:pPr>
      <w:bookmarkStart w:id="16" w:name="_page6_x-5.00_y573.89"/>
      <w:bookmarkEnd w:id="16"/>
      <w:r>
        <w:rPr>
          <w:rFonts w:ascii="Times New Roman" w:eastAsia="Times New Roman" w:hAnsi="Times New Roman" w:cs="Times New Roman"/>
          <w:b w:val="0"/>
          <w:bCs w:val="0"/>
          <w:i w:val="0"/>
          <w:iCs w:val="0"/>
          <w:strike w:val="0"/>
          <w:color w:val="2E3238"/>
          <w:spacing w:val="0"/>
          <w:sz w:val="19"/>
          <w:szCs w:val="19"/>
          <w:u w:val="none"/>
          <w:rtl w:val="0"/>
        </w:rPr>
        <w:t xml:space="preserve">disposed of as waste, as defined in Article 3, point (1), of Directive 2008/98/EC  of the European Parliament and 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Council</w:t>
      </w:r>
      <w:hyperlink w:anchor="_page6_x-5.00_y768.89" w:history="1">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2"/>
            <w:szCs w:val="12"/>
            <w:u w:val="none"/>
            <w:rtl w:val="0"/>
          </w:rPr>
          <w:t>10</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excluded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scope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However,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apply</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p>
    <w:p>
      <w:pPr>
        <w:bidi w:val="0"/>
        <w:spacing w:before="3" w:after="0" w:line="210" w:lineRule="atLeast"/>
        <w:ind w:left="1020"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certain  by-products  of  the  manufacturing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process.</w:t>
      </w:r>
    </w:p>
    <w:p>
      <w:pPr>
        <w:numPr>
          <w:ilvl w:val="0"/>
          <w:numId w:val="9"/>
        </w:numPr>
        <w:bidi w:val="0"/>
        <w:spacing w:before="542" w:after="0" w:line="213" w:lineRule="atLeast"/>
        <w:ind w:right="10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should lay down obligations concerning relevant commodities and relevant products in order to effectively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combat  deforestation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to  promote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deforestation-free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supply  chains,  while taking into account the protection of human rights and the rights of indigenous peoples and local communities, both  in  the  Union  and  in  third  countries.</w:t>
      </w:r>
    </w:p>
    <w:p>
      <w:pPr>
        <w:numPr>
          <w:ilvl w:val="0"/>
          <w:numId w:val="9"/>
        </w:numPr>
        <w:bidi w:val="0"/>
        <w:spacing w:before="559" w:after="0" w:line="213" w:lineRule="atLeast"/>
        <w:ind w:right="9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When assessing the risk of non-compliance of relevant commodities and relevant products intended to be placed 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exported,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violations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human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rights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associated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degra­ dation, including rights of indigenous peoples, local communities and customary tenure rights holders, should be taken  into  account.</w:t>
      </w:r>
    </w:p>
    <w:p>
      <w:pPr>
        <w:bidi w:val="0"/>
        <w:spacing w:before="254" w:after="0" w:line="187" w:lineRule="atLeast"/>
        <w:ind w:left="569" w:right="-200" w:firstLine="0"/>
        <w:jc w:val="both"/>
        <w:outlineLvl w:val="9"/>
        <w:rPr>
          <w:rFonts w:ascii="Times New Roman" w:eastAsia="Times New Roman" w:hAnsi="Times New Roman" w:cs="Times New Roman"/>
          <w:sz w:val="17"/>
          <w:szCs w:val="17"/>
        </w:rPr>
      </w:pPr>
      <w:bookmarkStart w:id="17" w:name="_page6_x-5.00_y750.89"/>
      <w:bookmarkEnd w:id="17"/>
      <w:hyperlink w:anchor="_page6_x-5.00_y272.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9</w:t>
        </w:r>
        <w:r>
          <w:rPr>
            <w:rFonts w:ascii="Times New Roman" w:eastAsia="Times New Roman" w:hAnsi="Times New Roman" w:cs="Times New Roman"/>
            <w:b w:val="0"/>
            <w:bCs w:val="0"/>
            <w:i w:val="0"/>
            <w:iCs w:val="0"/>
            <w:strike w:val="0"/>
            <w:color w:val="2E3238"/>
            <w:spacing w:val="0"/>
            <w:sz w:val="17"/>
            <w:szCs w:val="17"/>
            <w:u w:val="none"/>
            <w:rtl w:val="0"/>
          </w:rPr>
          <w:t xml:space="preserve">) </w:t>
        </w:r>
      </w:hyperlink>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Pendrill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Persson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U.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M.,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Kastner,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2020.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Deforestation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risk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embodied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in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production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consumption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agricultural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pict>
          <v:shape id="PathGroup" o:spid="_x0000_s1028" type="#_x0000_t75" style="width:55pt;height:4pt;margin-top:9.21pt;margin-left:66pt;mso-position-horizontal-relative:page;position:absolute;z-index:-251655168" o:allowincell="f">
            <v:imagedata r:id="rId16"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bookmarkStart w:id="18" w:name="_page6_x-5.00_y768.89"/>
      <w:bookmarkEnd w:id="18"/>
      <w:r>
        <w:rPr>
          <w:rFonts w:ascii="Times New Roman" w:eastAsia="Times New Roman" w:hAnsi="Times New Roman" w:cs="Times New Roman"/>
          <w:b w:val="0"/>
          <w:bCs w:val="0"/>
          <w:i w:val="0"/>
          <w:iCs w:val="0"/>
          <w:strike w:val="0"/>
          <w:color w:val="2E3238"/>
          <w:spacing w:val="0"/>
          <w:sz w:val="17"/>
          <w:szCs w:val="17"/>
          <w:u w:val="none"/>
          <w:rtl w:val="0"/>
        </w:rPr>
        <w:t xml:space="preserve">forestry  commodities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2005-2017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(Version  1.0).  Zenodo. </w:t>
      </w:r>
    </w:p>
    <w:p>
      <w:pPr>
        <w:bidi w:val="0"/>
        <w:spacing w:before="0" w:after="0" w:line="187" w:lineRule="atLeast"/>
        <w:ind w:left="510" w:right="-200" w:firstLine="0"/>
        <w:jc w:val="both"/>
        <w:outlineLvl w:val="9"/>
        <w:rPr>
          <w:rFonts w:ascii="Times New Roman" w:eastAsia="Times New Roman" w:hAnsi="Times New Roman" w:cs="Times New Roman"/>
          <w:sz w:val="17"/>
          <w:szCs w:val="17"/>
        </w:rPr>
      </w:pPr>
      <w:hyperlink w:anchor="_page6_x-5.00_y573.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10</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2008/98/EC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19 November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2008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waste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repealing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certain </w: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Directives  (OJ  L 312,  22.11.2008,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3).</w:t>
      </w:r>
    </w:p>
    <w:p>
      <w:pPr>
        <w:sectPr>
          <w:headerReference w:type="even" r:id="rId19"/>
          <w:headerReference w:type="default" r:id="rId20"/>
          <w:pgSz w:w="11906" w:h="16838"/>
          <w:pgMar w:top="1300" w:right="665" w:bottom="640" w:left="850" w:header="840" w:footer="708"/>
          <w:cols w:space="708"/>
          <w:titlePg w:val="0"/>
        </w:sectPr>
      </w:pPr>
    </w:p>
    <w:p>
      <w:pPr>
        <w:numPr>
          <w:ilvl w:val="0"/>
          <w:numId w:val="10"/>
        </w:numPr>
        <w:bidi w:val="0"/>
        <w:spacing w:before="272" w:after="0" w:line="213" w:lineRule="atLeast"/>
        <w:ind w:right="-2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Many international  organisations  and bodies,  such as the FAO, the IPCC, the UN Environment  Programme,  and the International  Union for the Conservation  of Nature, have been active, and international  agreements,  such as the Paris Agreement and the CBD, have been concluded in the field of deforestation  and forest degradation, and the  definitions  in  this  Regulation  build  on  that  work.</w:t>
      </w:r>
    </w:p>
    <w:p>
      <w:pPr>
        <w:numPr>
          <w:ilvl w:val="0"/>
          <w:numId w:val="10"/>
        </w:numPr>
        <w:bidi w:val="0"/>
        <w:spacing w:before="616" w:after="0" w:line="214" w:lineRule="atLeast"/>
        <w:ind w:right="-2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It is essential that this Regulation also address the issue of forest degradation. The definition of forest degradation should  be  based  on  internationally  agreed  concepts  and  ensure  that  the  associated  obligations  can  be  easily fulfilled  by  operators  and  competent  authorities.  Those  obligations  should  be  operationally  measurable  and verifiable,  as  well  as  clear  and  unambiguous,  to  provide  legal  certainty.  In  that  context,  this  Regulation  should focus on key elements of forest degradation  that are measurable and verifiable, and that are particularly relevant to avoid environmental impacts, based on the most up-to-date scientific data. For that purpose, the definition of forest degradation should build on internationally agreed concepts that are defined by the FAO. The definition of forest  degradation  should  be  reviewed,  in  accordance  with  this  Regulation,  to  assess  whether  it  should  be extended  to  cover  a  broader  scope  of  forest  degradation  drivers  and  of  forest  ecosystems  worldwide  to  further support  the  environmental  objectives  of  this  Regulation,  taking  into  account  progress  made  in  international discussions  on  the  matter,  as  well  as  the  diversity  of  forest  ecosystems  and  practices  around  the  world.  The review  should  be conducted  on the basis  of an in-depth  analysis,  in close cooperation  with  the Member  States, and  in  consultation  with  relevant  stakeholders,  international  organisations  and  bodies  and  the  scientific community.</w:t>
      </w:r>
    </w:p>
    <w:p>
      <w:pPr>
        <w:numPr>
          <w:ilvl w:val="0"/>
          <w:numId w:val="10"/>
        </w:numPr>
        <w:bidi w:val="0"/>
        <w:spacing w:before="616" w:after="0" w:line="214" w:lineRule="atLeast"/>
        <w:ind w:right="4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  Regulation  should  ensure  a  proper  balance  between  the  protection  of  the  legitimate  expectations  of operators  and  traders  placing  relevant  commodities  and  relevant  products  on  the  market  or  exporting  them, while  minimising  sudden  disruption  to  supply  chains,  and  the  fundamental  right  to  protection  of  the environment  as  established  in  Article 37  of  the  Charter  of  Fundamental  Rights  of  the  European  Union.  To that  end,  a  cut-off  date  should  be  set  to  provide  a  basis  for  the  evaluation  of  whether  land  concerned  has been subject to deforestation or forest degradation, so that no commodities and products falling within the scope of this Regulation  can be placed  on the market  or exported,  if they  were produced  on land  subject  to defores­ tation  or  forest  degradation  after  that  date.</w:t>
      </w:r>
    </w:p>
    <w:p>
      <w:pPr>
        <w:numPr>
          <w:ilvl w:val="0"/>
          <w:numId w:val="10"/>
        </w:numPr>
        <w:bidi w:val="0"/>
        <w:spacing w:before="617" w:after="0" w:line="213" w:lineRule="atLeast"/>
        <w:ind w:right="-7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cut-off date should correspond to existing international commitments set out in the SDGs and the New York Declaration  on  Forests,  which  pursue  the  ambitions  of  halting  deforestation,  restoring  degraded  forests  and substantially increasing afforestation and reforestation globally by 2020, and thus should be set on 31 December 2020. That date is also consistent with the Commission’s announcement of its intention to combat deforestation in the communication on Stepping up EU Action to Protect and Restore the World’s Forests, the European Green Deal, the EU Biodiversity Strategy for 2030 as well as in the Farm to Fork strategy. In line with the precautionary principle,  the  cut-off  date  indicated  in  the  Commission  proposal  for  this  Regulation  precedes  the  date  of  entry into  force  of  this  Regulation.  The  cut-off  date  was  chosen  in  order  to  prevent  an  anticipated  acceleration  of activities leading to deforestation and forest degradation between the announcement in the Commission proposal and  the  date  of  entry  into  force  of  this  Regulation.  This  Regulation  should  acknowledge  the  environmental objective  pursued  and  confirm  the  proposed  cut-off  date  to  ensure  that  the  producers  and  operators  which have  caused  deforestation  and  forest  degradation  during  the  period  of  negotiation  of  this  Regulation  are  not allowed  to  place  the  relevant  commodities  and  relevant  products  concerned  on  the  market  or  to  export  them.</w:t>
      </w:r>
    </w:p>
    <w:p>
      <w:pPr>
        <w:numPr>
          <w:ilvl w:val="0"/>
          <w:numId w:val="10"/>
        </w:numPr>
        <w:bidi w:val="0"/>
        <w:spacing w:before="617" w:after="0" w:line="213" w:lineRule="atLeast"/>
        <w:ind w:right="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limitations  on  the  exercise  of  the  fundamental  rights  and  the  protection  of  the  legitimate  expectations  of operators  and  traders  resulting  from  the  choice  of  the  cut-off  date  should  be  proportionate  to,  and  strictly necessary for, pursuing the general interest objective of environmental protection. To contribute to that objective, this  Regulation  should  not  apply  to  relevant  commodities  and  relevant  products  produced  before  the  date  of entry into force of this Regulation. The deferred application of provisions of this Regulation governing obligations for operators  and traders  who intend  to place relevant  commodities  and relevant  products  on the market  or to export them also provides them a reasonable period of time to adapt to the new requirements of this Regulation.</w:t>
      </w:r>
    </w:p>
    <w:p>
      <w:pPr>
        <w:numPr>
          <w:ilvl w:val="0"/>
          <w:numId w:val="10"/>
        </w:numPr>
        <w:bidi w:val="0"/>
        <w:spacing w:before="618" w:after="0" w:line="213" w:lineRule="atLeast"/>
        <w:ind w:right="4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To  strengthen  the  Union’s  contribution  to  halting  deforestation  and  forest  degradation,  and  to  ensure  that relevant  products  from  supply  chains  related  to  deforestation  and  forest  degradation  are  not  placed  on  the market  or  exported,  relevant  products  should  not  be  placed  or  made  available  on  the  market  or  exported unless  they  are  deforestation-free  and  have  been  produced  in  accordance  with  the  relevant  legislation  of  the country  of production.  To confirm  that this is the case, they should  always be accompanied  by a due diligence statement.</w:t>
      </w:r>
    </w:p>
    <w:p>
      <w:pPr>
        <w:sectPr>
          <w:headerReference w:type="even" r:id="rId21"/>
          <w:headerReference w:type="default" r:id="rId22"/>
          <w:pgSz w:w="11906" w:h="16838"/>
          <w:pgMar w:top="1300" w:right="688" w:bottom="640" w:left="850" w:header="840" w:footer="708"/>
          <w:cols w:space="708"/>
          <w:titlePg w:val="0"/>
        </w:sectPr>
      </w:pPr>
    </w:p>
    <w:p>
      <w:pPr>
        <w:numPr>
          <w:ilvl w:val="0"/>
          <w:numId w:val="11"/>
        </w:numPr>
        <w:bidi w:val="0"/>
        <w:spacing w:before="272" w:after="0" w:line="213" w:lineRule="atLeast"/>
        <w:ind w:right="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On  the  basis  of  a  systemic  approach,  operators  should  take  the  appropriate  steps  in  order  to  ensure  that  the relevant  products  that  they  intend  to  place  on  the  market  comply  with  the  deforestation-free  and  legality requirements  of  this  Regulation.  To  that  end,  operators  should  establish  and  implement  due  diligence  systems. Those due diligence systems should include three elements, namely information requirements, risk assessment and risk mitigation  measures, complemented  by reporting obligations.  The due diligence systems should be designed to provide access to information about the sources and suppliers of the commodities and products being placed on the market, including information demonstrating that the absence of deforestation and forest degradation and legality  requirements  are  fulfilled,  inter  alia,  by  identifying  the  country  of  production  or  parts  thereof  and including  the  geolocation  coordinates  of  relevant  plots  of  land.  Those  geolocation  coordinates  that  rely  on timing,  positioning  and/or  Earth  observation  could  make  use  of  space  data  and  services  delivered  under  the Union’s Space programme  (EGNOS/Galileo  and Copernicus).  On the basis of that information,  operators  should carry out a risk assessment. Where a risk is identified, operators should mitigate that risk to achieve no or only a negligible risk. The operator should only be allowed to place relevant products on the market or export them if the operator  concludes,  after exercising  due diligence,  that there is no or only a negligible  risk that the relevant products  do  not  comply  with  this  Regulation.</w:t>
      </w:r>
    </w:p>
    <w:p>
      <w:pPr>
        <w:numPr>
          <w:ilvl w:val="0"/>
          <w:numId w:val="11"/>
        </w:numPr>
        <w:bidi w:val="0"/>
        <w:spacing w:before="413" w:after="0" w:line="213" w:lineRule="atLeast"/>
        <w:ind w:right="-2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When sourcing products, reasonable efforts should be undertaken to ensure that a fair price is paid to producers, in  particular  smallholders,  so  as  to  enable  a  living  income  and  effectively  address  poverty  as  a  root  cause  of deforestation.</w:t>
      </w:r>
    </w:p>
    <w:p>
      <w:pPr>
        <w:numPr>
          <w:ilvl w:val="0"/>
          <w:numId w:val="11"/>
        </w:numPr>
        <w:bidi w:val="0"/>
        <w:spacing w:before="412" w:after="0" w:line="213" w:lineRule="atLeast"/>
        <w:ind w:right="2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Operators  should  formally  take  responsibility  for  the  compliance  of  the  relevant  products  that  they  intend  to place  on  the  market  or  export  by  making  available  due  diligence  statements.  This  Regulation  should  provide  a template  for  such  statements.  Such  due  diligence  statements  are  expected  to  facilitate  enforcement  of  this Regulation  by  the  competent  authorities  and  courts  as  well  as  increase  compliance  by  operators.</w:t>
      </w:r>
    </w:p>
    <w:p>
      <w:pPr>
        <w:numPr>
          <w:ilvl w:val="0"/>
          <w:numId w:val="11"/>
        </w:numPr>
        <w:bidi w:val="0"/>
        <w:spacing w:before="412" w:after="0" w:line="213" w:lineRule="atLeast"/>
        <w:ind w:right="3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order to recognise  good practice,  certification  or other third-party  verified schemes  could be used in the risk assessment procedure. They should not, however, substitute the operator’s responsibility as regards due diligence.</w:t>
      </w:r>
    </w:p>
    <w:p>
      <w:pPr>
        <w:numPr>
          <w:ilvl w:val="0"/>
          <w:numId w:val="11"/>
        </w:numPr>
        <w:bidi w:val="0"/>
        <w:spacing w:before="413" w:after="0" w:line="213" w:lineRule="atLeast"/>
        <w:ind w:right="-2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Traders  should  be  responsible  for  collecting  and  keeping  information  to  ensure  the  transparency  of  the  supply chain of relevant products which they make available on the market. Non-SME traders have a significant influence on supply  chains  and play  an important  role in ensuring  that supply  chains  are deforestation-free.  They  should therefore have the same obligations as operators, take responsibility  for the compliance  of the relevant products with this Regulation  and ensure,  prior to making  the relevant  products  available  on the market,  that they have exercised  due  diligence  in  accordance  with  this  Regulation  and  have  concluded  that  there  is  no  or  only  a negligible  risk  that  the  relevant  products  do  not  comply  with  this  Regulation.</w:t>
      </w:r>
    </w:p>
    <w:p>
      <w:pPr>
        <w:numPr>
          <w:ilvl w:val="0"/>
          <w:numId w:val="11"/>
        </w:numPr>
        <w:bidi w:val="0"/>
        <w:spacing w:before="413" w:after="0" w:line="213" w:lineRule="atLeast"/>
        <w:ind w:right="6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order  to  foster  transparency  and  facilitate  enforcement,  operators  which  do  not  fall  under  the  categories  of SMEs,  including  microenterprises,  or  natural  persons  should,  on  an  annual  basis,  publicly  report  on  their  due diligence  system,  including  on  the  steps  taken  to  fulfil  their  obligations.</w:t>
      </w:r>
    </w:p>
    <w:p>
      <w:pPr>
        <w:numPr>
          <w:ilvl w:val="0"/>
          <w:numId w:val="11"/>
        </w:numPr>
        <w:bidi w:val="0"/>
        <w:spacing w:before="413" w:after="0" w:line="213" w:lineRule="atLeast"/>
        <w:ind w:right="6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Operators should be able to receive substantiated concerns from interested parties, including by electronic means, and  should  thoroughly  investigate  all substantiated  concerns  received.</w:t>
      </w:r>
    </w:p>
    <w:p>
      <w:pPr>
        <w:numPr>
          <w:ilvl w:val="0"/>
          <w:numId w:val="11"/>
        </w:numPr>
        <w:bidi w:val="0"/>
        <w:spacing w:before="413" w:after="0" w:line="213" w:lineRule="atLeast"/>
        <w:ind w:right="-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Other  Union  legal  acts  that  provide  for  due  diligence  requirements  in  the  value  chain  with  regard  to  adverse impacts on human rights or on the environment  should apply in so far as there are no specific provisions with the same objective, nature and effect in this Regulation which can be adapted in the light of future amendments to Union legal acts. The existence of this Regulation should not exclude the application of other Union legal acts that lay down requirements  regarding  value chain due diligence.  Where  such other Union legal acts provide  for more  specific  provisions  or  add  requirements  to  the  provisions  laid  down  in  this  Regulation,  such  provisions should be applied in conjunction with this Regulation. Furthermore, where this Regulation contains more specific provisions, they should not be interpreted in a way that undermines the effective application of other Union legal acts on due diligence or the achievement of their general aim. It should be possible for the Commission to issue clear and easy to understand guidelines for the compliance of operators and traders, in particular SMEs, with this Regulation.</w:t>
      </w:r>
    </w:p>
    <w:p>
      <w:pPr>
        <w:numPr>
          <w:ilvl w:val="0"/>
          <w:numId w:val="11"/>
        </w:numPr>
        <w:bidi w:val="0"/>
        <w:spacing w:before="413" w:after="0" w:line="213" w:lineRule="atLeast"/>
        <w:ind w:right="-3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Respecting the rights of indigenous peoples with regard to forests and the principle of FPIC, including as set out in the UN Declaration on the rights of indigenous peoples, contributes towards protecting biodiversity, mitigating climate  change  and  addressing  the  related  public  interest  concerns.  Indigenous  peoples  possess  traditional knowledge  of ecological  and medical  value, and very often offer a model  of sustainable  use of forest  resources.</w:t>
      </w:r>
    </w:p>
    <w:p>
      <w:pPr>
        <w:sectPr>
          <w:headerReference w:type="even" r:id="rId23"/>
          <w:headerReference w:type="default" r:id="rId24"/>
          <w:pgSz w:w="11906" w:h="16838"/>
          <w:pgMar w:top="1300" w:right="689" w:bottom="640" w:left="850" w:header="840" w:footer="708"/>
          <w:cols w:space="708"/>
          <w:titlePg w:val="0"/>
        </w:sectPr>
      </w:pPr>
    </w:p>
    <w:p>
      <w:pPr>
        <w:bidi w:val="0"/>
        <w:spacing w:before="272" w:after="0" w:line="213" w:lineRule="atLeast"/>
        <w:ind w:left="1020" w:right="61"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can contribute to in-situ conservation, in line with the CBD. Furthermore, studies suggest that forest-dwelling indigenous  peoples  play a dual role in combating  climate  change:  first, they normally  resist the occupation  and deforestation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lands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they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inhabited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generations;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second,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some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communities consider  it their  responsibility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to protect  the  forests  in  order  to  mitigate  climate  change.</w:t>
      </w:r>
    </w:p>
    <w:p>
      <w:pPr>
        <w:numPr>
          <w:ilvl w:val="0"/>
          <w:numId w:val="12"/>
        </w:numPr>
        <w:bidi w:val="0"/>
        <w:spacing w:before="404" w:after="0" w:line="213" w:lineRule="atLeast"/>
        <w:ind w:right="12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principles  set out in the 1992 Rio Declaration  on Environment  and Development  of the UN, in particular, Principle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10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concerning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importance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public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awareness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participation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environmental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issues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Principle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22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concerning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vital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role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environmental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management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development, are  important  in the  context  of  securing  sustainable  forest  management.</w:t>
      </w:r>
    </w:p>
    <w:p>
      <w:pPr>
        <w:numPr>
          <w:ilvl w:val="0"/>
          <w:numId w:val="12"/>
        </w:numPr>
        <w:bidi w:val="0"/>
        <w:spacing w:before="423" w:after="0" w:line="213" w:lineRule="atLeast"/>
        <w:ind w:right="2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concept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FPIC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developed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over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years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following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approval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International  Labour Organisation  Indigenous and Tribal Peoples Convention,  1989 (No 169), and it is reflected in the UN Declaration on the Protection of the Rights of Indigenous Peoples. It aims to be a safeguard to ensure that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potential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impacts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will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considered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decision-making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process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projects affecting  them.</w:t>
      </w:r>
    </w:p>
    <w:p>
      <w:pPr>
        <w:numPr>
          <w:ilvl w:val="0"/>
          <w:numId w:val="12"/>
        </w:numPr>
        <w:bidi w:val="0"/>
        <w:spacing w:before="423" w:after="0" w:line="213" w:lineRule="atLeast"/>
        <w:ind w:right="8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Operators falling within the scope of other Union legal acts that set out due diligence requirements  in the value chain with regard to adverse impacts on human rights or on the environment should be in a position to fulfil the reporting obligations under this Regulation by including the required information when reporting under the other Union  legal  acts.</w:t>
      </w:r>
    </w:p>
    <w:p>
      <w:pPr>
        <w:numPr>
          <w:ilvl w:val="0"/>
          <w:numId w:val="12"/>
        </w:numPr>
        <w:bidi w:val="0"/>
        <w:spacing w:before="424" w:after="0" w:line="213" w:lineRule="atLeast"/>
        <w:ind w:right="8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responsibility for enforcing this Regulation should lie with the Member States, and the competent authorities 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full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compliance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uniform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enforcement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as regards relevant products entering or leaving the market can only be achieved through systematic exchange </w:t>
      </w:r>
      <w:r>
        <w:rPr>
          <w:rFonts w:ascii="Times New Roman" w:eastAsia="Times New Roman" w:hAnsi="Times New Roman" w:cs="Times New Roman"/>
          <w:b w:val="0"/>
          <w:bCs w:val="0"/>
          <w:i w:val="0"/>
          <w:iCs w:val="0"/>
          <w:strike w:val="0"/>
          <w:color w:val="2E3238"/>
          <w:spacing w:val="6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6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cooperation </w:t>
      </w:r>
      <w:r>
        <w:rPr>
          <w:rFonts w:ascii="Times New Roman" w:eastAsia="Times New Roman" w:hAnsi="Times New Roman" w:cs="Times New Roman"/>
          <w:b w:val="0"/>
          <w:bCs w:val="0"/>
          <w:i w:val="0"/>
          <w:iCs w:val="0"/>
          <w:strike w:val="0"/>
          <w:color w:val="2E3238"/>
          <w:spacing w:val="6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amongst </w:t>
      </w:r>
      <w:r>
        <w:rPr>
          <w:rFonts w:ascii="Times New Roman" w:eastAsia="Times New Roman" w:hAnsi="Times New Roman" w:cs="Times New Roman"/>
          <w:b w:val="0"/>
          <w:bCs w:val="0"/>
          <w:i w:val="0"/>
          <w:iCs w:val="0"/>
          <w:strike w:val="0"/>
          <w:color w:val="2E3238"/>
          <w:spacing w:val="6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6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6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6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6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Commission.</w:t>
      </w:r>
    </w:p>
    <w:p>
      <w:pPr>
        <w:numPr>
          <w:ilvl w:val="0"/>
          <w:numId w:val="12"/>
        </w:numPr>
        <w:bidi w:val="0"/>
        <w:spacing w:before="423"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effective and efficient implementation and enforcement of this Regulation are essential to achieving its goals. To that end, the Commission should set up and manage an information system to support the operators and the competent authorities  in presenting and accessing the necessary information  on relevant products placed on the market.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4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statements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4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information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accessible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facilitate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fulfilment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obligations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facilitate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transfer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Member States, competent  authorities and customs authorities.  The non-commercially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sensitive data should also be accessible to a wider public, subject to the data being anonymised, apart from information concerning the list of final judgments against legal persons for infringements of this Regulation and the penalties imposed on them, </w:t>
      </w:r>
      <w:bookmarkStart w:id="19" w:name="_page9_x-5.00_y525.89"/>
      <w:bookmarkEnd w:id="19"/>
      <w:r>
        <w:rPr>
          <w:rFonts w:ascii="Times New Roman" w:eastAsia="Times New Roman" w:hAnsi="Times New Roman" w:cs="Times New Roman"/>
          <w:b w:val="0"/>
          <w:bCs w:val="0"/>
          <w:i w:val="0"/>
          <w:iCs w:val="0"/>
          <w:strike w:val="0"/>
          <w:color w:val="2E3238"/>
          <w:spacing w:val="0"/>
          <w:sz w:val="19"/>
          <w:szCs w:val="19"/>
          <w:u w:val="none"/>
          <w:rtl w:val="0"/>
        </w:rPr>
        <w:t xml:space="preserve">and should be provided in an open and machine-readable format in line with the Union’s Open Data Policy as set out  in  Directive  (EU)  2019/1024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European  Parliament  and  of  the  </w:t>
      </w:r>
      <w:hyperlink w:anchor="_page9_x-5.00_y741.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11</w:t>
        </w:r>
        <w:r>
          <w:rPr>
            <w:rFonts w:ascii="Times New Roman" w:eastAsia="Times New Roman" w:hAnsi="Times New Roman" w:cs="Times New Roman"/>
            <w:b w:val="0"/>
            <w:bCs w:val="0"/>
            <w:i w:val="0"/>
            <w:iCs w:val="0"/>
            <w:strike w:val="0"/>
            <w:color w:val="2E3238"/>
            <w:spacing w:val="0"/>
            <w:sz w:val="19"/>
            <w:szCs w:val="19"/>
            <w:u w:val="none"/>
            <w:rtl w:val="0"/>
          </w:rPr>
          <w:t>).</w:t>
        </w:r>
      </w:hyperlink>
    </w:p>
    <w:p>
      <w:pPr>
        <w:numPr>
          <w:ilvl w:val="0"/>
          <w:numId w:val="12"/>
        </w:numPr>
        <w:bidi w:val="0"/>
        <w:spacing w:before="423" w:after="0" w:line="213" w:lineRule="atLeast"/>
        <w:ind w:right="6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relevant  products  entering  or leaving  the market,  competent  authorities  should  be tasked with checking compliance of relevant products with this Regulation based, inter alia, on the due diligence statements submitted by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role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reference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statement is made available to them where applicable. In addition, as from the moment the electronic interface is 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exchange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should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examine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status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due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after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initial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analysis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has  been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by competent authorities in the information system. Customs authorities should take appropriate action, such as to suspend or refuse a relevant commodity or relevant product if requested to do so on the basis of the status of the </w:t>
      </w:r>
      <w:bookmarkStart w:id="20" w:name="_page9_x-5.00_y653.89"/>
      <w:bookmarkEnd w:id="20"/>
      <w:r>
        <w:rPr>
          <w:rFonts w:ascii="Times New Roman" w:eastAsia="Times New Roman" w:hAnsi="Times New Roman" w:cs="Times New Roman"/>
          <w:b w:val="0"/>
          <w:bCs w:val="0"/>
          <w:i w:val="0"/>
          <w:iCs w:val="0"/>
          <w:strike w:val="0"/>
          <w:color w:val="2E3238"/>
          <w:spacing w:val="0"/>
          <w:sz w:val="19"/>
          <w:szCs w:val="19"/>
          <w:u w:val="none"/>
          <w:rtl w:val="0"/>
        </w:rPr>
        <w:t xml:space="preserve">due diligence statement  in the information  system.  That specific organisation  of controls  renders Chapter VII of Regulation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2019/1020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hyperlink w:anchor="_page9_x-5.00_y759.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12</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inapplicable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application  and  enforcement  of  this  Regulation  is concerned.</w:t>
      </w:r>
    </w:p>
    <w:p>
      <w:pPr>
        <w:numPr>
          <w:ilvl w:val="0"/>
          <w:numId w:val="12"/>
        </w:numPr>
        <w:bidi w:val="0"/>
        <w:spacing w:before="424" w:after="0" w:line="213" w:lineRule="atLeast"/>
        <w:ind w:right="4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should  ensure  that  adequate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financial  resources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always  available  for  the  appropriate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staffing 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equipping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competent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high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level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resources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needed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order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carry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checks efficiently  and stable resources  should be provided at a level appropriate  to the enforcement  needs at any given</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21" w:name="_page9_x-5.00_y741.89"/>
      <w:bookmarkEnd w:id="21"/>
      <w:hyperlink w:anchor="_page9_x-5.00_y525.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11</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(EU) 2019/1024 of the European Parliament and of the Council of 20 June 2019 on open data and the re-use of public </w:t>
      </w:r>
      <w:r>
        <w:pict>
          <v:shape id="PathGroup" o:spid="_x0000_s1029" type="#_x0000_t75" style="width:55pt;height:4pt;margin-top:9.28pt;margin-left:66pt;mso-position-horizontal-relative:page;position:absolute;z-index:-251654144" o:allowincell="f">
            <v:imagedata r:id="rId25"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bookmarkStart w:id="22" w:name="_page9_x-5.00_y759.89"/>
      <w:bookmarkEnd w:id="22"/>
      <w:r>
        <w:rPr>
          <w:rFonts w:ascii="Times New Roman" w:eastAsia="Times New Roman" w:hAnsi="Times New Roman" w:cs="Times New Roman"/>
          <w:b w:val="0"/>
          <w:bCs w:val="0"/>
          <w:i w:val="0"/>
          <w:iCs w:val="0"/>
          <w:strike w:val="0"/>
          <w:color w:val="2E3238"/>
          <w:spacing w:val="0"/>
          <w:sz w:val="17"/>
          <w:szCs w:val="17"/>
          <w:u w:val="none"/>
          <w:rtl w:val="0"/>
        </w:rPr>
        <w:t xml:space="preserve">sector  information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L 172,  26.6.2019,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 56). </w:t>
      </w:r>
    </w:p>
    <w:p>
      <w:pPr>
        <w:bidi w:val="0"/>
        <w:spacing w:before="0" w:after="0" w:line="187" w:lineRule="atLeast"/>
        <w:ind w:left="510" w:right="-200" w:firstLine="0"/>
        <w:jc w:val="both"/>
        <w:outlineLvl w:val="9"/>
        <w:rPr>
          <w:rFonts w:ascii="Times New Roman" w:eastAsia="Times New Roman" w:hAnsi="Times New Roman" w:cs="Times New Roman"/>
          <w:sz w:val="17"/>
          <w:szCs w:val="17"/>
        </w:rPr>
      </w:pPr>
      <w:hyperlink w:anchor="_page9_x-5.00_y653.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12</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2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2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2019/1020 </w:t>
      </w:r>
      <w:r>
        <w:rPr>
          <w:rFonts w:ascii="Times New Roman" w:eastAsia="Times New Roman" w:hAnsi="Times New Roman" w:cs="Times New Roman"/>
          <w:b w:val="0"/>
          <w:bCs w:val="0"/>
          <w:i w:val="0"/>
          <w:iCs w:val="0"/>
          <w:strike w:val="0"/>
          <w:color w:val="2E3238"/>
          <w:spacing w:val="2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2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2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2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 June </w:t>
      </w:r>
      <w:r>
        <w:rPr>
          <w:rFonts w:ascii="Times New Roman" w:eastAsia="Times New Roman" w:hAnsi="Times New Roman" w:cs="Times New Roman"/>
          <w:b w:val="0"/>
          <w:bCs w:val="0"/>
          <w:i w:val="0"/>
          <w:iCs w:val="0"/>
          <w:strike w:val="0"/>
          <w:color w:val="2E3238"/>
          <w:spacing w:val="2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2019 </w:t>
      </w:r>
      <w:r>
        <w:rPr>
          <w:rFonts w:ascii="Times New Roman" w:eastAsia="Times New Roman" w:hAnsi="Times New Roman" w:cs="Times New Roman"/>
          <w:b w:val="0"/>
          <w:bCs w:val="0"/>
          <w:i w:val="0"/>
          <w:iCs w:val="0"/>
          <w:strike w:val="0"/>
          <w:color w:val="2E3238"/>
          <w:spacing w:val="2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w:t>
      </w:r>
      <w:r>
        <w:rPr>
          <w:rFonts w:ascii="Times New Roman" w:eastAsia="Times New Roman" w:hAnsi="Times New Roman" w:cs="Times New Roman"/>
          <w:b w:val="0"/>
          <w:bCs w:val="0"/>
          <w:i w:val="0"/>
          <w:iCs w:val="0"/>
          <w:strike w:val="0"/>
          <w:color w:val="2E3238"/>
          <w:spacing w:val="2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market </w:t>
      </w:r>
      <w:r>
        <w:rPr>
          <w:rFonts w:ascii="Times New Roman" w:eastAsia="Times New Roman" w:hAnsi="Times New Roman" w:cs="Times New Roman"/>
          <w:b w:val="0"/>
          <w:bCs w:val="0"/>
          <w:i w:val="0"/>
          <w:iCs w:val="0"/>
          <w:strike w:val="0"/>
          <w:color w:val="2E3238"/>
          <w:spacing w:val="2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surveillance </w:t>
      </w:r>
      <w:r>
        <w:rPr>
          <w:rFonts w:ascii="Times New Roman" w:eastAsia="Times New Roman" w:hAnsi="Times New Roman" w:cs="Times New Roman"/>
          <w:b w:val="0"/>
          <w:bCs w:val="0"/>
          <w:i w:val="0"/>
          <w:iCs w:val="0"/>
          <w:strike w:val="0"/>
          <w:color w:val="2E3238"/>
          <w:spacing w:val="2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p>
    <w:p>
      <w:pPr>
        <w:bidi w:val="0"/>
        <w:spacing w:before="0" w:after="0" w:line="178" w:lineRule="atLeast"/>
        <w:ind w:left="805" w:right="178" w:firstLine="0"/>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compliance </w:t>
      </w:r>
      <w:r>
        <w:rPr>
          <w:rFonts w:ascii="Times New Roman" w:eastAsia="Times New Roman" w:hAnsi="Times New Roman" w:cs="Times New Roman"/>
          <w:b w:val="0"/>
          <w:bCs w:val="0"/>
          <w:i w:val="0"/>
          <w:iCs w:val="0"/>
          <w:strike w:val="0"/>
          <w:color w:val="2E3238"/>
          <w:spacing w:val="3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2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products </w:t>
      </w:r>
      <w:r>
        <w:rPr>
          <w:rFonts w:ascii="Times New Roman" w:eastAsia="Times New Roman" w:hAnsi="Times New Roman" w:cs="Times New Roman"/>
          <w:b w:val="0"/>
          <w:bCs w:val="0"/>
          <w:i w:val="0"/>
          <w:iCs w:val="0"/>
          <w:strike w:val="0"/>
          <w:color w:val="2E3238"/>
          <w:spacing w:val="2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amending </w:t>
      </w:r>
      <w:r>
        <w:rPr>
          <w:rFonts w:ascii="Times New Roman" w:eastAsia="Times New Roman" w:hAnsi="Times New Roman" w:cs="Times New Roman"/>
          <w:b w:val="0"/>
          <w:bCs w:val="0"/>
          <w:i w:val="0"/>
          <w:iCs w:val="0"/>
          <w:strike w:val="0"/>
          <w:color w:val="2E3238"/>
          <w:spacing w:val="2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Directive </w:t>
      </w:r>
      <w:r>
        <w:rPr>
          <w:rFonts w:ascii="Times New Roman" w:eastAsia="Times New Roman" w:hAnsi="Times New Roman" w:cs="Times New Roman"/>
          <w:b w:val="0"/>
          <w:bCs w:val="0"/>
          <w:i w:val="0"/>
          <w:iCs w:val="0"/>
          <w:strike w:val="0"/>
          <w:color w:val="2E3238"/>
          <w:spacing w:val="3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2004/42/EC </w:t>
      </w:r>
      <w:r>
        <w:rPr>
          <w:rFonts w:ascii="Times New Roman" w:eastAsia="Times New Roman" w:hAnsi="Times New Roman" w:cs="Times New Roman"/>
          <w:b w:val="0"/>
          <w:bCs w:val="0"/>
          <w:i w:val="0"/>
          <w:iCs w:val="0"/>
          <w:strike w:val="0"/>
          <w:color w:val="2E3238"/>
          <w:spacing w:val="3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Regulations </w:t>
      </w:r>
      <w:r>
        <w:rPr>
          <w:rFonts w:ascii="Times New Roman" w:eastAsia="Times New Roman" w:hAnsi="Times New Roman" w:cs="Times New Roman"/>
          <w:b w:val="0"/>
          <w:bCs w:val="0"/>
          <w:i w:val="0"/>
          <w:iCs w:val="0"/>
          <w:strike w:val="0"/>
          <w:color w:val="2E3238"/>
          <w:spacing w:val="3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(EC)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2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765/2008 </w:t>
      </w:r>
      <w:r>
        <w:rPr>
          <w:rFonts w:ascii="Times New Roman" w:eastAsia="Times New Roman" w:hAnsi="Times New Roman" w:cs="Times New Roman"/>
          <w:b w:val="0"/>
          <w:bCs w:val="0"/>
          <w:i w:val="0"/>
          <w:iCs w:val="0"/>
          <w:strike w:val="0"/>
          <w:color w:val="2E3238"/>
          <w:spacing w:val="3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2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2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305/2011 (OJ  L 169,  25.6.2019,  p. 1).</w:t>
      </w:r>
    </w:p>
    <w:p>
      <w:pPr>
        <w:sectPr>
          <w:headerReference w:type="even" r:id="rId26"/>
          <w:headerReference w:type="default" r:id="rId27"/>
          <w:pgSz w:w="11906" w:h="16838"/>
          <w:pgMar w:top="1300" w:right="641" w:bottom="640" w:left="850" w:header="840" w:footer="708"/>
          <w:cols w:space="708"/>
          <w:titlePg w:val="0"/>
        </w:sectPr>
      </w:pPr>
    </w:p>
    <w:p>
      <w:pPr>
        <w:bidi w:val="0"/>
        <w:spacing w:before="272" w:after="0" w:line="213" w:lineRule="atLeast"/>
        <w:ind w:left="1020" w:right="87"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moment.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possibility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supplement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public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financing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recovering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relevant economic operators the costs incurred when carrying out checks in relation to relevant commodities and relevant  products  that  were  found  to  be  non-compliant.</w:t>
      </w:r>
    </w:p>
    <w:p>
      <w:pPr>
        <w:numPr>
          <w:ilvl w:val="0"/>
          <w:numId w:val="13"/>
        </w:numPr>
        <w:bidi w:val="0"/>
        <w:spacing w:before="645" w:after="0" w:line="213" w:lineRule="atLeast"/>
        <w:ind w:right="3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This</w:t>
      </w:r>
      <w:bookmarkStart w:id="23" w:name="_page10_x-5.00_y154.89"/>
      <w:bookmarkEnd w:id="23"/>
      <w:r>
        <w:rPr>
          <w:rFonts w:ascii="Times New Roman" w:eastAsia="Times New Roman" w:hAnsi="Times New Roman" w:cs="Times New Roman"/>
          <w:b w:val="0"/>
          <w:bCs w:val="0"/>
          <w:i w:val="0"/>
          <w:iCs w:val="0"/>
          <w:strike w:val="0"/>
          <w:color w:val="2E3238"/>
          <w:spacing w:val="0"/>
          <w:sz w:val="19"/>
          <w:szCs w:val="19"/>
          <w:u w:val="none"/>
          <w:rtl w:val="0"/>
        </w:rPr>
        <w:t xml:space="preserve">  Regulation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without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prejudice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other  Union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acts  on  goods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products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entering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leaving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market, in particular Regulation (EU) No 952/2013 of the European Parliament and of the </w:t>
      </w:r>
      <w:hyperlink w:anchor="_page10_x-5.00_y768.89" w:history="1">
        <w:r>
          <w:rPr>
            <w:rFonts w:ascii="Times New Roman" w:eastAsia="Times New Roman" w:hAnsi="Times New Roman" w:cs="Times New Roman"/>
            <w:b w:val="0"/>
            <w:bCs w:val="0"/>
            <w:i w:val="0"/>
            <w:iCs w:val="0"/>
            <w:strike w:val="0"/>
            <w:color w:val="2E3238"/>
            <w:spacing w:val="0"/>
            <w:sz w:val="19"/>
            <w:szCs w:val="19"/>
            <w:u w:val="none"/>
            <w:rtl w:val="0"/>
          </w:rPr>
          <w:t>Council</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w:t>
        </w:r>
        <w:r>
          <w:rPr>
            <w:rFonts w:ascii="Times New Roman" w:eastAsia="Times New Roman" w:hAnsi="Times New Roman" w:cs="Times New Roman"/>
            <w:b w:val="0"/>
            <w:bCs w:val="0"/>
            <w:i w:val="0"/>
            <w:iCs w:val="0"/>
            <w:strike w:val="0"/>
            <w:color w:val="2E3238"/>
            <w:spacing w:val="0"/>
            <w:sz w:val="12"/>
            <w:szCs w:val="12"/>
            <w:u w:val="none"/>
            <w:rtl w:val="0"/>
          </w:rPr>
          <w:t>13</w:t>
        </w:r>
        <w:r>
          <w:rPr>
            <w:rFonts w:ascii="Times New Roman" w:eastAsia="Times New Roman" w:hAnsi="Times New Roman" w:cs="Times New Roman"/>
            <w:b w:val="0"/>
            <w:bCs w:val="0"/>
            <w:i w:val="0"/>
            <w:iCs w:val="0"/>
            <w:strike w:val="0"/>
            <w:color w:val="2E3238"/>
            <w:spacing w:val="0"/>
            <w:sz w:val="19"/>
            <w:szCs w:val="19"/>
            <w:u w:val="none"/>
            <w:rtl w:val="0"/>
          </w:rPr>
          <w:t>) as regards</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the powers  of customs  authorities  and customs  controls.  Importers  should  be reminded  that Articles  220, 254, 256, 257 and 258 of that Regulation  provide  that products  entering  the market  that require  further  processing are to be placed under the appropriate customs procedure allowing such processing. Generally, the release for free circulation  or export  should  not be deemed  to be proof of compliance  with Union law, since such a release or export  does  not  necessarily  include  a  complete  control  of  compliance.</w:t>
      </w:r>
    </w:p>
    <w:p>
      <w:pPr>
        <w:numPr>
          <w:ilvl w:val="0"/>
          <w:numId w:val="13"/>
        </w:numPr>
        <w:bidi w:val="0"/>
        <w:spacing w:before="663" w:after="0" w:line="213" w:lineRule="atLeast"/>
        <w:ind w:right="1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order to optimise the control process, including by minimising the administrative burden, for relevant products entering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leaving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necessary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up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interoperable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electronic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interface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enables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automatic  transfer  of data between  customs  systems and the information  systems of competent  authorities.  The European Union Single Window Environment  for Customs is the natural candidate to enable such data transfer. The interface should be highly automated and easy-to-use, and should facilitate processes for customs authorities and  operators.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Moreover,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view  of  the  limited  differences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data  that  are  to  be  made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customs authorities and that are to be included in the due diligence statement, it is appropriate to propose also a ‘business-to-government ’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approach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whereby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traders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economic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make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statement of a relevant product through the national single window environment for customs and that statement is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automatically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transmitted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Customs  authorities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competent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contribute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determination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the  data  to  be  trans­ mitted  and  any  other  technical  requirement.</w:t>
      </w:r>
    </w:p>
    <w:p>
      <w:pPr>
        <w:numPr>
          <w:ilvl w:val="0"/>
          <w:numId w:val="13"/>
        </w:numPr>
        <w:bidi w:val="0"/>
        <w:spacing w:before="663" w:after="0" w:line="213" w:lineRule="atLeast"/>
        <w:ind w:right="6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risk of non-compliant products being placed on the market or exported varies depending on the commodity and product as well as on its country of origin and production or parts thereof. Operators sourcing commodities and products from countries or parts thereof that present a low risk of growing, harvesting or producing relevant commodities in violation of this Regulation should be subject to fewer obligations, thereby reducing compliance costs and administrative  burden, unless the operator knows or has reason to believe that there is a risk of non- compliance  with  this  Regulation.  Where  a competent  authority  becomes  aware  of a risk that  this  Regulation  is being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circumvented,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example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commodity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high-risk country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subsequently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processed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  low  risk  country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parts  thereof  from  where  it  is  placed  on  or  enters or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leaves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declaration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indicates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commodity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relevant  product  was  produced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  low-risk  country,  the  competent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authority  should  verify  by means of further checks whether there is any non-compliance  and, if necessary, take appropriate action, such as the seizure of the relevant commodity or relevant product and the suspension of the placing on the market or of the  export  of  the  relevant  commodity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relevant  product,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well  as  carry  out  further  checks.  The  competent authorities  should  be  required  to  apply  enhanced  scrutiny  to  relevant  commodities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relevant  products  from high-risk  countries  or parts  thereof.</w:t>
      </w:r>
    </w:p>
    <w:p>
      <w:pPr>
        <w:numPr>
          <w:ilvl w:val="0"/>
          <w:numId w:val="13"/>
        </w:numPr>
        <w:bidi w:val="0"/>
        <w:spacing w:before="663" w:after="0" w:line="213" w:lineRule="atLeast"/>
        <w:ind w:right="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Furthermore, the Commission should assess the deforestation and forest degradation risk at the level of a country or parts thereof based on a range of criteria that reflect quantitative, objective and internationally recognised data, 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indications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actively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engaged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fighting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benchmarking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make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  easier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operators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Union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exercise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diligence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competent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monitor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enforce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compliance,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while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providing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incentive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producer countries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increase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sustainability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agricultural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reduce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impact.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help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make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supply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chains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more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transparent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sustainable.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benchmarking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should  be  based  on  a  three-tier  system  for  classification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countries  as  low,  standard  or high  risk.  In  order  to ensure appropriate transparency and clarity, the Commission should in particular make publicly available the data being used for benchmarking,  the reasons for the proposed change of classification and the reply of the country concerned. For relevant products from low-risk countries or parts thereof operators should be allowed to exercise simplified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high-risk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authorities should  be required  to apply  enhanced  scrutiny.  The Commission  should  be empowered  to adopt  implementing acts  to  establish  the  list  of  countries  or  parts  thereof  that  present  a  low  or  high  risk.</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24" w:name="_page10_x-5.00_y768.89"/>
      <w:bookmarkEnd w:id="24"/>
      <w:hyperlink w:anchor="_page10_x-5.00_y154.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13</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(EU) No 952/2013 of the European Parliament and of the Council of 9 October 2013 laying down the Union Customs </w:t>
      </w:r>
      <w:r>
        <w:pict>
          <v:shape id="PathGroup" o:spid="_x0000_s1030" type="#_x0000_t75" style="width:55pt;height:4pt;margin-top:9.12pt;margin-left:66pt;mso-position-horizontal-relative:page;position:absolute;z-index:-251653120" o:allowincell="f">
            <v:imagedata r:id="rId28"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Code  (OJ  L 269, 10.10.2013,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1).</w:t>
      </w:r>
    </w:p>
    <w:p>
      <w:pPr>
        <w:sectPr>
          <w:headerReference w:type="even" r:id="rId29"/>
          <w:headerReference w:type="default" r:id="rId30"/>
          <w:pgSz w:w="11906" w:h="16838"/>
          <w:pgMar w:top="1300" w:right="689" w:bottom="640" w:left="850" w:header="840" w:footer="708"/>
          <w:cols w:space="708"/>
          <w:titlePg w:val="0"/>
        </w:sectPr>
      </w:pPr>
    </w:p>
    <w:p>
      <w:pPr>
        <w:numPr>
          <w:ilvl w:val="0"/>
          <w:numId w:val="14"/>
        </w:numPr>
        <w:bidi w:val="0"/>
        <w:spacing w:before="272" w:after="0" w:line="213" w:lineRule="atLeast"/>
        <w:ind w:right="-1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Commission should cooperate with countries which are classified or could be classified as high risk, and with relevant  stakeholders  in  those  countries,  in  order  to  work  towards  reducing  the  level  of  risk.</w:t>
      </w:r>
    </w:p>
    <w:p>
      <w:pPr>
        <w:numPr>
          <w:ilvl w:val="0"/>
          <w:numId w:val="14"/>
        </w:numPr>
        <w:bidi w:val="0"/>
        <w:spacing w:before="550" w:after="0" w:line="213" w:lineRule="atLeast"/>
        <w:ind w:right="1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Competent  authorities  should  carry  out  checks  at  regular  intervals  on  operators  and  traders  to  verify  that  they effectively  fulfil  the  obligations  laid  down  in this  Regulation.  Moreover,  competent  authorities  should  carry  out checks  on  the  basis  of  relevant  information  in  their  possession,  including  substantiated  concerns  submitted  by third parties. Competent authorities should use a risk-based approach to identify the checks to be carried out. In respect  of relevant  products  from  countries  or parts  thereof  classified  as high  risk, the respective  operators  and traders  and the volumes  of their share  of relevant  commodities  and relevant  products,  a twofold  approach  that provides  comprehensive  coverage  should  apply.  Competent  authorities  should  thus  be  required  to  check  on  a certain  percentage  of  operators  and  traders,  whilst  also  covering  a  specific  percentage  of  relevant  products.  In respect  of  relevant  products  from  countries  or  parts  thereof  classified  as  low  or  standard  risk,  competent authorities  should  be  required  to  check  at  least  a  certain  percentage  of  operators  and  traders.  The  level  of checks  should  be  higher  for  relevant  products  from  high-risk  countries  or  parts  thereof  whereas  it  could  be lower for standard or low-risk countries or parts thereof. In its review of this Regulation, the Commission should evaluate and identify quantified objectives  for the annual checks to be carried out by competent  authorities  that are  appropriate  to  ensure  the  enforcement  of  this  Regulation  and  a  harmonised  approach  across  the  Union.</w:t>
      </w:r>
    </w:p>
    <w:p>
      <w:pPr>
        <w:numPr>
          <w:ilvl w:val="0"/>
          <w:numId w:val="14"/>
        </w:numPr>
        <w:bidi w:val="0"/>
        <w:spacing w:before="550" w:after="0" w:line="213" w:lineRule="atLeast"/>
        <w:ind w:right="4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checks carried out on operators and traders by competent authorities should cover the due diligence systems and  the  compliance  of  the  relevant  products  with  this  Regulation.  The  checks  should  be  based  on  a  risk-based plan which contains risk criteria to enable competent authorities to carry out a risk analysis of the due diligence statements submitted by operators and traders. The risk criteria should take into account the risk of deforestation associated to relevant commodities in the country of production, the history of non-compliance of operators and traders with the obligations of this Regulation and any other relevant information available to competent author­ ities.  The  risk  analysis  of  due  diligence  statements  should  enable  the  competent  authorities  to  identify  those operators,  traders and relevant  products  that need to be checked.  That risk analysis  should be carried out using electronic  data processing  techniques  in the information  system through  which the due diligence statements  are submitted.  Where  necessary  and  technically  possible,  competent  authorities,  after  consultation  and  in  close cooperation  with  authorities  of  third  countries,  should  also  be  able  to  carry  out  checks  in  situ.</w:t>
      </w:r>
    </w:p>
    <w:p>
      <w:pPr>
        <w:numPr>
          <w:ilvl w:val="0"/>
          <w:numId w:val="14"/>
        </w:numPr>
        <w:bidi w:val="0"/>
        <w:spacing w:before="550" w:after="0" w:line="213" w:lineRule="atLeast"/>
        <w:ind w:right="-6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cases where the risk analysis of the due diligence statements reveals a high risk of non-compliance  of specific relevant  products,  the competent  authorities  should  be able to take  immediate  interim  measures  to prevent  the placing or making available on the market or the export of those products. In cases where such relevant products were entering  or leaving  the market, the competent  authorities  should  request from the customs  authorities  the suspension  of  the  release  for  free  circulation  or  of  export,  to  enable  competent  authorities  to  carry  out  the necessary  checks.  Such  requests  should  be  communicated  by  means  of  the  interface  system  between  customs authorities  and competent  authorities.  The suspension  of the placing  or making  available  on the market,  of the release  for  free  circulation  or  of  export  should  be  limited  to  three  working  days,  or  72  hours  in  the  case  of perishable  relevant  products,  except  where  the  competent  authorities  require  additional  time  to  assess  the compliance  of  the  relevant  commodities  and  relevant  products  with  this  Regulation.  In  such  cases,  the competent  authorities  should  take  additional  interim  measures  to  extend  the  suspension  period  or,  in  the  case of  relevant  products  entering  or leaving  the  market,  request  an  extension  from  the  customs  authorities.</w:t>
      </w:r>
    </w:p>
    <w:p>
      <w:pPr>
        <w:numPr>
          <w:ilvl w:val="0"/>
          <w:numId w:val="14"/>
        </w:numPr>
        <w:bidi w:val="0"/>
        <w:spacing w:before="550" w:after="0" w:line="213" w:lineRule="atLeast"/>
        <w:ind w:right="7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competent  authorities  should  regularly  update  their  plans  of  checks  on  the  basis  of  the  results  of  imple­ menting those checks. Those operators showing a consistent track record of compliance could be subject to less frequent  checks.</w:t>
      </w:r>
    </w:p>
    <w:p>
      <w:pPr>
        <w:numPr>
          <w:ilvl w:val="0"/>
          <w:numId w:val="14"/>
        </w:numPr>
        <w:bidi w:val="0"/>
        <w:spacing w:before="550" w:after="0" w:line="213" w:lineRule="atLeast"/>
        <w:ind w:right="3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order to ensure implementation  and effective enforcement  of this Regulation, Member States should have the power to withdraw and recall non-compliant  products and take appropriate corrective actions. They should also ensure that infringements  of this Regulation  by operators and traders are subject to effective, proportionate  and dissuasive  penalties.</w:t>
      </w:r>
    </w:p>
    <w:p>
      <w:pPr>
        <w:numPr>
          <w:ilvl w:val="0"/>
          <w:numId w:val="14"/>
        </w:numPr>
        <w:bidi w:val="0"/>
        <w:spacing w:before="550" w:after="0" w:line="213" w:lineRule="atLeast"/>
        <w:ind w:right="3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order to increase the accountability of operators and traders, the Commission should publish on its website the list  of  final  judgments  against  legal  persons  for  infringements  of  this  Regulation  and  the  penalties  imposed  on them.  That  information  could  help  competent  authorities,  other  operators  and  traders  carry  out  their  risk assessments  and  increase  the  awareness  of  consumers  and  civil  society  as  regards  operators  and  traders  who infringe  this  Regulation.</w:t>
      </w:r>
    </w:p>
    <w:p>
      <w:pPr>
        <w:sectPr>
          <w:headerReference w:type="even" r:id="rId31"/>
          <w:headerReference w:type="default" r:id="rId32"/>
          <w:pgSz w:w="11906" w:h="16838"/>
          <w:pgMar w:top="1300" w:right="688" w:bottom="640" w:left="850" w:header="840" w:footer="708"/>
          <w:cols w:space="708"/>
          <w:titlePg w:val="0"/>
        </w:sectPr>
      </w:pPr>
    </w:p>
    <w:p>
      <w:pPr>
        <w:numPr>
          <w:ilvl w:val="0"/>
          <w:numId w:val="15"/>
        </w:numPr>
        <w:bidi w:val="0"/>
        <w:spacing w:before="272" w:after="0" w:line="213" w:lineRule="atLeast"/>
        <w:ind w:right="2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implementation  of this Regulation  will require sufficient resources and capacity. In that context, in addition to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resources,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much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possible,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opportunities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possibilities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support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level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means,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cohesion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funds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capacity-building </w:t>
      </w:r>
      <w:bookmarkStart w:id="25" w:name="_page12_x-5.00_y120.89"/>
      <w:bookmarkEnd w:id="25"/>
      <w:r>
        <w:rPr>
          <w:rFonts w:ascii="Times New Roman" w:eastAsia="Times New Roman" w:hAnsi="Times New Roman" w:cs="Times New Roman"/>
          <w:b w:val="0"/>
          <w:bCs w:val="0"/>
          <w:i w:val="0"/>
          <w:iCs w:val="0"/>
          <w:strike w:val="0"/>
          <w:color w:val="2E3238"/>
          <w:spacing w:val="0"/>
          <w:sz w:val="19"/>
          <w:szCs w:val="19"/>
          <w:u w:val="none"/>
          <w:rtl w:val="0"/>
        </w:rPr>
        <w:t xml:space="preserve">instruments,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particular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context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Technical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Support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Instrument,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established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2021/240  of  the  European  Parliament  and  of  the  </w:t>
      </w:r>
      <w:hyperlink w:anchor="_page12_x-5.00_y723.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14</w:t>
        </w:r>
        <w:r>
          <w:rPr>
            <w:rFonts w:ascii="Times New Roman" w:eastAsia="Times New Roman" w:hAnsi="Times New Roman" w:cs="Times New Roman"/>
            <w:b w:val="0"/>
            <w:bCs w:val="0"/>
            <w:i w:val="0"/>
            <w:iCs w:val="0"/>
            <w:strike w:val="0"/>
            <w:color w:val="2E3238"/>
            <w:spacing w:val="0"/>
            <w:sz w:val="19"/>
            <w:szCs w:val="19"/>
            <w:u w:val="none"/>
            <w:rtl w:val="0"/>
          </w:rPr>
          <w:t>).</w:t>
        </w:r>
      </w:hyperlink>
    </w:p>
    <w:p>
      <w:pPr>
        <w:numPr>
          <w:ilvl w:val="0"/>
          <w:numId w:val="15"/>
        </w:numPr>
        <w:bidi w:val="0"/>
        <w:spacing w:before="649" w:after="0" w:line="213" w:lineRule="atLeast"/>
        <w:ind w:right="10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Taking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into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account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international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character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related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competent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cooperate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each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administrative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cooperate with the competent authorities for the supervision and enforcement  of other Union legal acts that set out  due  diligence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requirements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value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chain  with  regard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adverse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impacts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human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rights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or  on  the environment.</w:t>
      </w:r>
    </w:p>
    <w:p>
      <w:pPr>
        <w:numPr>
          <w:ilvl w:val="0"/>
          <w:numId w:val="15"/>
        </w:numPr>
        <w:bidi w:val="0"/>
        <w:spacing w:before="648" w:after="0" w:line="213" w:lineRule="atLeast"/>
        <w:ind w:right="-4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According  to settled case law of the Court of Justice of the European Union, it is for the courts of the Member States to ensure judicial protection of a person’s rights under Union law. Furthermore, Article 19(1) of the Treaty 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(TEU)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remedies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sufficient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effective judicial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fields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law.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respect,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public,  including  natural  or legal persons  submitting  substantiated  concerns  in accordance  with this Regulation, has access to justice in line with the obligations that Member States have agreed to as parties to the UN Economic Commission  for Europe (UNECE) Convention  on Access to Information,  Public Participation  in Decision-making and  Access  to  Justice  in  Environmental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Matters  of  25 June  1998  (the  ‘Aarhus  Convention’).</w:t>
      </w:r>
    </w:p>
    <w:p>
      <w:pPr>
        <w:numPr>
          <w:ilvl w:val="0"/>
          <w:numId w:val="15"/>
        </w:numPr>
        <w:bidi w:val="0"/>
        <w:spacing w:before="648" w:after="0" w:line="213" w:lineRule="atLeast"/>
        <w:ind w:right="-3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order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remain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line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scientific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technological developments,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power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290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TFEU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delegated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Commission in respect of the list of CN codes of relevant products set out in Annex I to this Regulation. It is of  particular  importance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  Commission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carry  out  appropriate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consultations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during  its  preparatory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work, </w:t>
      </w:r>
      <w:bookmarkStart w:id="26" w:name="_page12_x-5.00_y431.89"/>
      <w:bookmarkEnd w:id="26"/>
      <w:r>
        <w:rPr>
          <w:rFonts w:ascii="Times New Roman" w:eastAsia="Times New Roman" w:hAnsi="Times New Roman" w:cs="Times New Roman"/>
          <w:b w:val="0"/>
          <w:bCs w:val="0"/>
          <w:i w:val="0"/>
          <w:iCs w:val="0"/>
          <w:strike w:val="0"/>
          <w:color w:val="2E3238"/>
          <w:spacing w:val="0"/>
          <w:sz w:val="19"/>
          <w:szCs w:val="19"/>
          <w:u w:val="none"/>
          <w:rtl w:val="0"/>
        </w:rPr>
        <w:t xml:space="preserve">including at expert level, and that those consultations  be conducted in accordance with the principles laid down 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Interinstitutional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Agreement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13 April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2016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Better </w:t>
      </w:r>
      <w:r>
        <w:rPr>
          <w:rFonts w:ascii="Times New Roman" w:eastAsia="Times New Roman" w:hAnsi="Times New Roman" w:cs="Times New Roman"/>
          <w:b w:val="0"/>
          <w:bCs w:val="0"/>
          <w:i w:val="0"/>
          <w:iCs w:val="0"/>
          <w:strike w:val="0"/>
          <w:color w:val="2E3238"/>
          <w:spacing w:val="4"/>
          <w:sz w:val="19"/>
          <w:szCs w:val="19"/>
          <w:u w:val="none"/>
          <w:rtl w:val="0"/>
        </w:rPr>
        <w:t xml:space="preserve"> </w:t>
      </w:r>
      <w:hyperlink w:anchor="_page12_x-5.00_y741.89" w:history="1">
        <w:r>
          <w:rPr>
            <w:rFonts w:ascii="Times New Roman" w:eastAsia="Times New Roman" w:hAnsi="Times New Roman" w:cs="Times New Roman"/>
            <w:b w:val="0"/>
            <w:bCs w:val="0"/>
            <w:i w:val="0"/>
            <w:iCs w:val="0"/>
            <w:strike w:val="0"/>
            <w:color w:val="2E3238"/>
            <w:spacing w:val="0"/>
            <w:sz w:val="19"/>
            <w:szCs w:val="19"/>
            <w:u w:val="none"/>
            <w:rtl w:val="0"/>
          </w:rPr>
          <w:t>Law-Making (</w:t>
        </w:r>
        <w:r>
          <w:rPr>
            <w:rFonts w:ascii="Times New Roman" w:eastAsia="Times New Roman" w:hAnsi="Times New Roman" w:cs="Times New Roman"/>
            <w:b w:val="0"/>
            <w:bCs w:val="0"/>
            <w:i w:val="0"/>
            <w:iCs w:val="0"/>
            <w:strike w:val="0"/>
            <w:color w:val="2E3238"/>
            <w:spacing w:val="0"/>
            <w:sz w:val="12"/>
            <w:szCs w:val="12"/>
            <w:u w:val="none"/>
            <w:rtl w:val="0"/>
          </w:rPr>
          <w:t>15</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particular,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equal</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participation in the preparation of delegated acts, the European Parliament and the Council receive all documents at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same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experts,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experts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systematically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access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meetings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Commission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expert  groups  dealing  with  the  preparation  of  delegated  acts.</w:t>
      </w:r>
    </w:p>
    <w:p>
      <w:pPr>
        <w:numPr>
          <w:ilvl w:val="0"/>
          <w:numId w:val="15"/>
        </w:numPr>
        <w:bidi w:val="0"/>
        <w:spacing w:before="648" w:after="0" w:line="213" w:lineRule="atLeast"/>
        <w:ind w:right="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995/2010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prohibits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illegally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harvested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Union market. It lays down obligations for operators placing timber on the market for the first time to exercise due diligence and for traders to keep a traceable record of their suppliers and customers. This Regulation should maintain the obligation to ensure the legality of relevant products, including wood and wood products, placed on </w:t>
      </w:r>
      <w:bookmarkStart w:id="27" w:name="_page12_x-5.00_y559.89"/>
      <w:bookmarkEnd w:id="27"/>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complement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obligation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requirement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sustainability.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No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995/2010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related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Implementing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32"/>
          <w:sz w:val="19"/>
          <w:szCs w:val="19"/>
          <w:u w:val="none"/>
          <w:rtl w:val="0"/>
        </w:rPr>
        <w:t xml:space="preserve"> </w:t>
      </w:r>
      <w:hyperlink w:anchor="_page12_x-5.00_y750.89" w:history="1">
        <w:r>
          <w:rPr>
            <w:rFonts w:ascii="Times New Roman" w:eastAsia="Times New Roman" w:hAnsi="Times New Roman" w:cs="Times New Roman"/>
            <w:b w:val="0"/>
            <w:bCs w:val="0"/>
            <w:i w:val="0"/>
            <w:iCs w:val="0"/>
            <w:strike w:val="0"/>
            <w:color w:val="2E3238"/>
            <w:spacing w:val="0"/>
            <w:sz w:val="19"/>
            <w:szCs w:val="19"/>
            <w:u w:val="none"/>
            <w:rtl w:val="0"/>
          </w:rPr>
          <w:t>607/2012 (</w:t>
        </w:r>
        <w:r>
          <w:rPr>
            <w:rFonts w:ascii="Times New Roman" w:eastAsia="Times New Roman" w:hAnsi="Times New Roman" w:cs="Times New Roman"/>
            <w:b w:val="0"/>
            <w:bCs w:val="0"/>
            <w:i w:val="0"/>
            <w:iCs w:val="0"/>
            <w:strike w:val="0"/>
            <w:color w:val="2E3238"/>
            <w:spacing w:val="0"/>
            <w:sz w:val="12"/>
            <w:szCs w:val="12"/>
            <w:u w:val="none"/>
            <w:rtl w:val="0"/>
          </w:rPr>
          <w:t>16</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therefore</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rendered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redundant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repealed.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defined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Article 2,  point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of  Regulation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995/2010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the  equivalent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wood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wood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are listed  in  Annex  I to  this  Regulation  and  that  contain  or have  been  made  using  wood.</w:t>
      </w:r>
    </w:p>
    <w:p>
      <w:pPr>
        <w:numPr>
          <w:ilvl w:val="0"/>
          <w:numId w:val="15"/>
        </w:numPr>
        <w:bidi w:val="0"/>
        <w:spacing w:before="649" w:after="0" w:line="213" w:lineRule="atLeast"/>
        <w:ind w:right="-13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Regulation  (EC)  No  2173/2005  establishes  a Forest  Law  Enforcement,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Governance  and  Trade  (FLEGT)  licensing scheme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imports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into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licensing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scheme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implemented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voluntary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 nership agreements (VPAs) with timber producing countries, intended to halt illegal logging and to enhance forest governance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build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upon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positive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results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achieved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FLEGT, especially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terms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enhanced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stakeholders’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participation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improved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governance.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specific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cases, VPAs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could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complement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regard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legality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timber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respect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ongoing bilateral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commitments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preserve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progress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achieved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partner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operating</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28" w:name="_page12_x-5.00_y723.89"/>
      <w:bookmarkEnd w:id="28"/>
      <w:hyperlink w:anchor="_page12_x-5.00_y120.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14</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(EU) 2021/240  of the European  Parliament  and of the Council of 10 February  2021 establishing  a Technical  Support </w:t>
      </w:r>
      <w:r>
        <w:pict>
          <v:shape id="PathGroup" o:spid="_x0000_s1031" type="#_x0000_t75" style="width:55pt;height:4pt;margin-top:9.42pt;margin-left:66pt;mso-position-horizontal-relative:page;position:absolute;z-index:-251652096" o:allowincell="f">
            <v:imagedata r:id="rId33"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bookmarkStart w:id="29" w:name="_page12_x-5.00_y741.89"/>
      <w:bookmarkEnd w:id="29"/>
      <w:r>
        <w:rPr>
          <w:rFonts w:ascii="Times New Roman" w:eastAsia="Times New Roman" w:hAnsi="Times New Roman" w:cs="Times New Roman"/>
          <w:b w:val="0"/>
          <w:bCs w:val="0"/>
          <w:i w:val="0"/>
          <w:iCs w:val="0"/>
          <w:strike w:val="0"/>
          <w:color w:val="2E3238"/>
          <w:spacing w:val="0"/>
          <w:sz w:val="17"/>
          <w:szCs w:val="17"/>
          <w:u w:val="none"/>
          <w:rtl w:val="0"/>
        </w:rPr>
        <w:t xml:space="preserve">Instrument  (OJ  L 57,  18.2.2021,  p. 1). </w:t>
      </w:r>
    </w:p>
    <w:p>
      <w:pPr>
        <w:bidi w:val="0"/>
        <w:spacing w:before="0" w:after="0" w:line="187" w:lineRule="atLeast"/>
        <w:ind w:left="510" w:right="-200" w:firstLine="0"/>
        <w:jc w:val="both"/>
        <w:outlineLvl w:val="9"/>
        <w:rPr>
          <w:rFonts w:ascii="Times New Roman" w:eastAsia="Times New Roman" w:hAnsi="Times New Roman" w:cs="Times New Roman"/>
          <w:sz w:val="17"/>
          <w:szCs w:val="17"/>
        </w:rPr>
      </w:pPr>
      <w:bookmarkStart w:id="30" w:name="_page12_x-5.00_y750.89"/>
      <w:bookmarkEnd w:id="30"/>
      <w:hyperlink w:anchor="_page12_x-5.00_y431.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15</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OJ  L 123,  12.5.2016,  p. 1. </w:t>
      </w:r>
    </w:p>
    <w:p>
      <w:pPr>
        <w:bidi w:val="0"/>
        <w:spacing w:before="0" w:after="0" w:line="187" w:lineRule="atLeast"/>
        <w:ind w:left="510" w:right="-200" w:firstLine="0"/>
        <w:jc w:val="both"/>
        <w:outlineLvl w:val="9"/>
        <w:rPr>
          <w:rFonts w:ascii="Times New Roman" w:eastAsia="Times New Roman" w:hAnsi="Times New Roman" w:cs="Times New Roman"/>
          <w:sz w:val="17"/>
          <w:szCs w:val="17"/>
        </w:rPr>
      </w:pPr>
      <w:hyperlink w:anchor="_page12_x-5.00_y559.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16</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Commission Implementing Regulation (EU) No 607/2012 of 6 July 2012 on the detailed rules concerning the due diligence system </w:t>
      </w:r>
    </w:p>
    <w:p>
      <w:pPr>
        <w:bidi w:val="0"/>
        <w:spacing w:before="0" w:after="0" w:line="179" w:lineRule="atLeast"/>
        <w:ind w:left="805" w:right="89"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and the frequency and nature of the checks on monitoring organisations  as provided for in Regulation (EU) No 995/2010 of the European  Parliament  and of the Council laying down the obligations  of operators  who place timber and timber products  on the market  (OJ  L 177,  7.7.2012,  p. 16).</w:t>
      </w:r>
    </w:p>
    <w:p>
      <w:pPr>
        <w:sectPr>
          <w:headerReference w:type="even" r:id="rId34"/>
          <w:headerReference w:type="default" r:id="rId35"/>
          <w:pgSz w:w="11906" w:h="16838"/>
          <w:pgMar w:top="1300" w:right="689" w:bottom="640" w:left="850" w:header="840" w:footer="708"/>
          <w:cols w:space="708"/>
          <w:titlePg w:val="0"/>
        </w:sectPr>
      </w:pPr>
    </w:p>
    <w:p>
      <w:pPr>
        <w:bidi w:val="0"/>
        <w:spacing w:before="272" w:after="0" w:line="213" w:lineRule="atLeast"/>
        <w:ind w:left="1020" w:right="-151"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system in place (FLEGT licensing stage) and work, where relevant and agreed, with current VPA partners towards them reaching that stage, this Regulation should include a provision declaring that wood and wood products that are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valid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FLEGT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license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deemed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legality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requirement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(EC) No  2173/2005.</w:t>
      </w:r>
    </w:p>
    <w:p>
      <w:pPr>
        <w:numPr>
          <w:ilvl w:val="0"/>
          <w:numId w:val="16"/>
        </w:numPr>
        <w:bidi w:val="0"/>
        <w:spacing w:before="226" w:after="0" w:line="213" w:lineRule="atLeast"/>
        <w:ind w:right="-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While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addresses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envisaged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communication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Stepping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up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Restore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World’s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lead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conversion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natural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managed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ecosystems,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wetlands,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savannahs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peatlands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highly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significant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global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efforts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combat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climate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change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biodiversity crisis, as well as other SDGs and their conversion or degradation require particular urgent action and need to be prevented. In light of the </w:t>
      </w:r>
      <w:r>
        <w:rPr>
          <w:rFonts w:ascii="Times New Roman" w:eastAsia="Times New Roman" w:hAnsi="Times New Roman" w:cs="Times New Roman"/>
          <w:b w:val="0"/>
          <w:bCs w:val="0"/>
          <w:i w:val="0"/>
          <w:iCs w:val="0"/>
          <w:strike w:val="0"/>
          <w:color w:val="2E3238"/>
          <w:spacing w:val="1"/>
          <w:sz w:val="19"/>
          <w:szCs w:val="19"/>
          <w:u w:val="none"/>
          <w:rtl w:val="0"/>
        </w:rPr>
        <w:t>Union’s</w:t>
      </w:r>
      <w:r>
        <w:rPr>
          <w:rFonts w:ascii="Times New Roman" w:eastAsia="Times New Roman" w:hAnsi="Times New Roman" w:cs="Times New Roman"/>
          <w:b w:val="0"/>
          <w:bCs w:val="0"/>
          <w:i w:val="0"/>
          <w:iCs w:val="0"/>
          <w:strike w:val="0"/>
          <w:color w:val="2E3238"/>
          <w:spacing w:val="0"/>
          <w:sz w:val="19"/>
          <w:szCs w:val="19"/>
          <w:u w:val="none"/>
          <w:rtl w:val="0"/>
        </w:rPr>
        <w:t xml:space="preserve"> footprint on non-forest natural ecosystems, the Commission should evaluate and, where appropriate, present a legislative proposal on extending the scope of this Regulation to other wooded land at the latest one year after the date of entry into force of this Regulation.  Moreover, no later than two years after that date of entry into force, the Commission  should evaluate and, where appropriate,  present a legislative proposal on, extending the scope of this Regulation  to other natural ecosystems,  including other land with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carbon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stocks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biodiversity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value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grasslands,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peatlands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wetlands. Ecosystems are also increasingly under pressure from conversion and degradation due to commodity production for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also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assess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feasibility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extending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scope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to further commodities at the latest two years after the date of entry into force of this Regulation. At the same time, the Commission should also undertake a review of the list of CN codes of relevant products set out in Annex I to this  Regulation.</w:t>
      </w:r>
    </w:p>
    <w:p>
      <w:pPr>
        <w:numPr>
          <w:ilvl w:val="0"/>
          <w:numId w:val="16"/>
        </w:numPr>
        <w:bidi w:val="0"/>
        <w:spacing w:before="245"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Taking  into  account  the  request  made  by the  European  Parliament  in its resolution  ‘An  EU legal  framework  to halt and reverse  EU-driven  global deforestation’ of 22 October  2020 and that made by the vast majority  of the almost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1,2 million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participants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public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consultation,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3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should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focus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 evaluation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future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legislative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proposal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extension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scope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non-forest ecosystems  and  their  conversion  and  degradation.</w:t>
      </w:r>
    </w:p>
    <w:p>
      <w:pPr>
        <w:numPr>
          <w:ilvl w:val="0"/>
          <w:numId w:val="16"/>
        </w:numPr>
        <w:bidi w:val="0"/>
        <w:spacing w:before="245" w:after="0" w:line="213" w:lineRule="atLeast"/>
        <w:ind w:right="2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for the purposes of this Regulation, it is necessary to process personal data, those data are to be handled </w:t>
      </w:r>
      <w:bookmarkStart w:id="31" w:name="_page13_x-5.00_y402.89"/>
      <w:bookmarkEnd w:id="31"/>
      <w:r>
        <w:rPr>
          <w:rFonts w:ascii="Times New Roman" w:eastAsia="Times New Roman" w:hAnsi="Times New Roman" w:cs="Times New Roman"/>
          <w:b w:val="0"/>
          <w:bCs w:val="0"/>
          <w:i w:val="0"/>
          <w:iCs w:val="0"/>
          <w:strike w:val="0"/>
          <w:color w:val="2E3238"/>
          <w:spacing w:val="0"/>
          <w:sz w:val="19"/>
          <w:szCs w:val="19"/>
          <w:u w:val="none"/>
          <w:rtl w:val="0"/>
        </w:rPr>
        <w:t xml:space="preserve">in  accordance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Union  law  on  the  protection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personal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Any  processing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personal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under  this </w:t>
      </w:r>
      <w:bookmarkStart w:id="32" w:name="_page13_x-5.00_y413.89"/>
      <w:bookmarkEnd w:id="32"/>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subject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2016/679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6"/>
          <w:sz w:val="19"/>
          <w:szCs w:val="19"/>
          <w:u w:val="none"/>
          <w:rtl w:val="0"/>
        </w:rPr>
        <w:t xml:space="preserve"> </w:t>
      </w:r>
      <w:hyperlink w:anchor="_page13_x-5.00_y723.89" w:history="1">
        <w:r>
          <w:rPr>
            <w:rFonts w:ascii="Times New Roman" w:eastAsia="Times New Roman" w:hAnsi="Times New Roman" w:cs="Times New Roman"/>
            <w:b w:val="0"/>
            <w:bCs w:val="0"/>
            <w:i w:val="0"/>
            <w:iCs w:val="0"/>
            <w:strike w:val="0"/>
            <w:color w:val="2E3238"/>
            <w:spacing w:val="0"/>
            <w:sz w:val="19"/>
            <w:szCs w:val="19"/>
            <w:u w:val="none"/>
            <w:rtl w:val="0"/>
          </w:rPr>
          <w:t xml:space="preserve">Council ()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0" w:after="0" w:line="183" w:lineRule="atLeast"/>
        <w:ind w:left="513" w:right="0" w:firstLine="0"/>
        <w:jc w:val="center"/>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Regulation  (EU)  2018/1725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European  Parliament  and  of  the  </w:t>
      </w:r>
      <w:hyperlink w:anchor="_page13_x-5.00_y750.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18</w:t>
        </w:r>
        <w:r>
          <w:rPr>
            <w:rFonts w:ascii="Times New Roman" w:eastAsia="Times New Roman" w:hAnsi="Times New Roman" w:cs="Times New Roman"/>
            <w:b w:val="0"/>
            <w:bCs w:val="0"/>
            <w:i w:val="0"/>
            <w:iCs w:val="0"/>
            <w:strike w:val="0"/>
            <w:color w:val="2E3238"/>
            <w:spacing w:val="0"/>
            <w:sz w:val="19"/>
            <w:szCs w:val="19"/>
            <w:u w:val="none"/>
            <w:rtl w:val="0"/>
          </w:rPr>
          <w:t>), as applicable.</w:t>
        </w:r>
      </w:hyperlink>
      <w:hyperlink w:anchor="_page13_x-5.00_y723.89" w:history="1">
        <w:r>
          <w:rPr>
            <w:rFonts w:ascii="Times New Roman" w:eastAsia="Times New Roman" w:hAnsi="Times New Roman" w:cs="Times New Roman"/>
            <w:b w:val="0"/>
            <w:bCs w:val="0"/>
            <w:i w:val="0"/>
            <w:iCs w:val="0"/>
            <w:strike w:val="0"/>
            <w:color w:val="2E3238"/>
            <w:spacing w:val="688"/>
            <w:sz w:val="12"/>
            <w:szCs w:val="12"/>
            <w:u w:val="none"/>
            <w:rtl w:val="0"/>
          </w:rPr>
          <w:t xml:space="preserve"> </w:t>
        </w:r>
        <w:r>
          <w:rPr>
            <w:rFonts w:ascii="Times New Roman" w:eastAsia="Times New Roman" w:hAnsi="Times New Roman" w:cs="Times New Roman"/>
            <w:b w:val="0"/>
            <w:bCs w:val="0"/>
            <w:i w:val="0"/>
            <w:iCs w:val="0"/>
            <w:strike w:val="0"/>
            <w:color w:val="2E3238"/>
            <w:spacing w:val="0"/>
            <w:sz w:val="12"/>
            <w:szCs w:val="12"/>
            <w:u w:val="none"/>
            <w:rtl w:val="0"/>
          </w:rPr>
          <w:t xml:space="preserve">17 </w:t>
        </w:r>
      </w:hyperlink>
      <w:r>
        <w:rPr>
          <w:rFonts w:ascii="Times New Roman" w:eastAsia="Times New Roman" w:hAnsi="Times New Roman" w:cs="Times New Roman"/>
          <w:b w:val="0"/>
          <w:bCs w:val="0"/>
          <w:i w:val="0"/>
          <w:iCs w:val="0"/>
          <w:strike w:val="0"/>
          <w:color w:val="2E3238"/>
          <w:spacing w:val="0"/>
          <w:sz w:val="17"/>
          <w:szCs w:val="17"/>
          <w:u w:val="none"/>
          <w:rtl w:val="0"/>
        </w:rPr>
        <w:t>(85)</w:t>
      </w:r>
      <w:r>
        <w:rPr>
          <w:rFonts w:ascii="Times New Roman" w:eastAsia="Times New Roman" w:hAnsi="Times New Roman" w:cs="Times New Roman"/>
          <w:b w:val="0"/>
          <w:bCs w:val="0"/>
          <w:i w:val="0"/>
          <w:iCs w:val="0"/>
          <w:strike w:val="0"/>
          <w:color w:val="2E3238"/>
          <w:spacing w:val="18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Since  the objective  of this  Regulation,  namely  fighting  against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by  reducing 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contribution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consumption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cannot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sufficiently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achieved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Member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can rather,  by  reason  of  its  scale,  be  better  achieved  at  Union  level,  the  Union  may  adopt  measures,  in accordance with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principle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subsidiarity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5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TEU.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principle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proportionality,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does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beyond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what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necessary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order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to achieve  that  objective.</w:t>
      </w:r>
    </w:p>
    <w:p>
      <w:pPr>
        <w:bidi w:val="0"/>
        <w:spacing w:before="227" w:after="0" w:line="213" w:lineRule="atLeast"/>
        <w:ind w:left="513" w:right="119"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7"/>
          <w:szCs w:val="17"/>
          <w:u w:val="none"/>
          <w:rtl w:val="0"/>
        </w:rPr>
        <w:t>(86)</w:t>
      </w:r>
      <w:r>
        <w:rPr>
          <w:rFonts w:ascii="Times New Roman" w:eastAsia="Times New Roman" w:hAnsi="Times New Roman" w:cs="Times New Roman"/>
          <w:b w:val="0"/>
          <w:bCs w:val="0"/>
          <w:i w:val="0"/>
          <w:iCs w:val="0"/>
          <w:strike w:val="0"/>
          <w:color w:val="2E3238"/>
          <w:spacing w:val="18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traders and competent authorities should be given a reasonable period in order to prepare themselves to  meet  the  requirements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this  Regulation,</w:t>
      </w:r>
    </w:p>
    <w:p>
      <w:pPr>
        <w:bidi w:val="0"/>
        <w:spacing w:before="248" w:after="0" w:line="187" w:lineRule="atLeast"/>
        <w:ind w:left="513"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HAVE  ADOPTED  THIS  REGULATION: </w:t>
      </w:r>
    </w:p>
    <w:p>
      <w:pPr>
        <w:bidi w:val="0"/>
        <w:spacing w:before="100" w:after="0" w:line="341" w:lineRule="atLeast"/>
        <w:ind w:left="4207" w:right="3990" w:firstLine="502"/>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1</w:t>
      </w:r>
      <w:r>
        <w:rPr>
          <w:rFonts w:ascii="Times New Roman" w:eastAsia="Times New Roman" w:hAnsi="Times New Roman" w:cs="Times New Roman"/>
          <w:b/>
          <w:bCs/>
          <w:i w:val="0"/>
          <w:iCs w:val="0"/>
          <w:strike w:val="0"/>
          <w:color w:val="2E3238"/>
          <w:spacing w:val="0"/>
          <w:sz w:val="17"/>
          <w:szCs w:val="17"/>
          <w:u w:val="none"/>
          <w:rtl w:val="0"/>
        </w:rPr>
        <w:t xml:space="preserve">             GENERAL  PROVISIONS</w:t>
      </w:r>
    </w:p>
    <w:p>
      <w:pPr>
        <w:bidi w:val="0"/>
        <w:spacing w:before="247" w:after="0" w:line="210" w:lineRule="atLeast"/>
        <w:ind w:left="4816"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405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Subject  matter  and  scope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7"/>
        </w:numPr>
        <w:bidi w:val="0"/>
        <w:spacing w:before="110" w:after="0" w:line="213" w:lineRule="atLeast"/>
        <w:ind w:right="-2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lays down  rules regarding  the placing  and making  available  on the Union market  as well as the export from the Union of relevant products, as listed in Annex I, that contain, have been fed with or have been made using  relevant  commodities,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namely  cattle,  cocoa,  coffee,  oil  palm,  rubber,  soya  and  wood,  with  a  view  to: </w:t>
      </w:r>
    </w:p>
    <w:p>
      <w:pPr>
        <w:numPr>
          <w:ilvl w:val="0"/>
          <w:numId w:val="18"/>
        </w:numPr>
        <w:bidi w:val="0"/>
        <w:spacing w:before="226" w:after="0" w:line="213" w:lineRule="atLeast"/>
        <w:ind w:right="8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minimising the Union’s contribution to deforestation and forest degradation worldwide, and thereby contributing to a  reduction  in  global  deforestation;</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33" w:name="_page13_x-5.00_y723.89"/>
      <w:bookmarkEnd w:id="33"/>
      <w:hyperlink w:anchor="_page13_x-5.00_y402.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17</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(EU) 2016/679 of the European Parliament and of the Council of 27 April 2016 on the protection of natural persons </w:t>
      </w:r>
      <w:r>
        <w:pict>
          <v:shape id="PathGroup" o:spid="_x0000_s1032" type="#_x0000_t75" style="width:55pt;height:4pt;margin-top:9.42pt;margin-left:66pt;mso-position-horizontal-relative:page;position:absolute;z-index:-251651072" o:allowincell="f">
            <v:imagedata r:id="rId33" o:title=""/>
            <w10:anchorlock/>
          </v:shape>
        </w:pict>
      </w:r>
    </w:p>
    <w:p>
      <w:pPr>
        <w:bidi w:val="0"/>
        <w:spacing w:before="0" w:after="0" w:line="178" w:lineRule="atLeast"/>
        <w:ind w:left="805" w:right="45" w:firstLine="0"/>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with regard to the processing of personal data and on the free movement of such data, and repealing Directive 95/46/EC (General </w:t>
      </w:r>
      <w:bookmarkStart w:id="34" w:name="_page13_x-5.00_y750.89"/>
      <w:bookmarkEnd w:id="34"/>
      <w:r>
        <w:rPr>
          <w:rFonts w:ascii="Times New Roman" w:eastAsia="Times New Roman" w:hAnsi="Times New Roman" w:cs="Times New Roman"/>
          <w:b w:val="0"/>
          <w:bCs w:val="0"/>
          <w:i w:val="0"/>
          <w:iCs w:val="0"/>
          <w:strike w:val="0"/>
          <w:color w:val="2E3238"/>
          <w:spacing w:val="0"/>
          <w:sz w:val="17"/>
          <w:szCs w:val="17"/>
          <w:u w:val="none"/>
          <w:rtl w:val="0"/>
        </w:rPr>
        <w:t xml:space="preserve">Data  Protection  Regulation)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L 119,  4.5.2016,  p. 1). </w:t>
      </w:r>
    </w:p>
    <w:p>
      <w:pPr>
        <w:bidi w:val="0"/>
        <w:spacing w:before="1" w:after="0" w:line="187" w:lineRule="atLeast"/>
        <w:ind w:left="510" w:right="-200" w:firstLine="0"/>
        <w:jc w:val="both"/>
        <w:outlineLvl w:val="9"/>
        <w:rPr>
          <w:rFonts w:ascii="Times New Roman" w:eastAsia="Times New Roman" w:hAnsi="Times New Roman" w:cs="Times New Roman"/>
          <w:sz w:val="17"/>
          <w:szCs w:val="17"/>
        </w:rPr>
      </w:pPr>
      <w:hyperlink w:anchor="_page13_x-5.00_y413.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18</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2018/1725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23 October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2018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protection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natural </w:t>
      </w:r>
    </w:p>
    <w:p>
      <w:pPr>
        <w:bidi w:val="0"/>
        <w:spacing w:before="0" w:after="0" w:line="179" w:lineRule="atLeast"/>
        <w:ind w:left="805" w:right="54"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persons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with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regard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to  the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processing </w:t>
      </w:r>
      <w:r>
        <w:rPr>
          <w:rFonts w:ascii="Times New Roman" w:eastAsia="Times New Roman" w:hAnsi="Times New Roman" w:cs="Times New Roman"/>
          <w:b w:val="0"/>
          <w:bCs w:val="0"/>
          <w:i w:val="0"/>
          <w:iCs w:val="0"/>
          <w:strike w:val="0"/>
          <w:color w:val="2E3238"/>
          <w:spacing w:val="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personal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data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by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Union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institutions,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bodies,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offices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agencies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the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free movement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such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data,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repealing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(EC)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45/2001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Decision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1247/2002/EC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L 295,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21.11.2018, p. 39).</w:t>
      </w:r>
    </w:p>
    <w:p>
      <w:pPr>
        <w:sectPr>
          <w:headerReference w:type="even" r:id="rId36"/>
          <w:headerReference w:type="default" r:id="rId37"/>
          <w:pgSz w:w="11906" w:h="16838"/>
          <w:pgMar w:top="1300" w:right="688" w:bottom="640" w:left="850" w:header="840" w:footer="708"/>
          <w:cols w:space="708"/>
          <w:titlePg w:val="0"/>
        </w:sectPr>
      </w:pPr>
    </w:p>
    <w:p>
      <w:pPr>
        <w:numPr>
          <w:ilvl w:val="0"/>
          <w:numId w:val="19"/>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reducing  the  Union’s  contribution </w:t>
      </w:r>
      <w:r>
        <w:rPr>
          <w:rFonts w:ascii="Times New Roman" w:eastAsia="Times New Roman" w:hAnsi="Times New Roman" w:cs="Times New Roman"/>
          <w:b w:val="0"/>
          <w:bCs w:val="0"/>
          <w:i w:val="0"/>
          <w:iCs w:val="0"/>
          <w:strike w:val="0"/>
          <w:color w:val="2E3238"/>
          <w:spacing w:val="1"/>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to greenhouse </w:t>
      </w:r>
      <w:r>
        <w:rPr>
          <w:rFonts w:ascii="Times New Roman" w:eastAsia="Times New Roman" w:hAnsi="Times New Roman" w:cs="Times New Roman"/>
          <w:b w:val="0"/>
          <w:bCs w:val="0"/>
          <w:i w:val="0"/>
          <w:iCs w:val="0"/>
          <w:strike w:val="0"/>
          <w:color w:val="2E3238"/>
          <w:spacing w:val="1"/>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gas  emissions  and  global  biodiversity  loss. </w:t>
      </w:r>
    </w:p>
    <w:p>
      <w:pPr>
        <w:numPr>
          <w:ilvl w:val="0"/>
          <w:numId w:val="20"/>
        </w:numPr>
        <w:bidi w:val="0"/>
        <w:spacing w:before="277" w:after="0" w:line="213" w:lineRule="atLeast"/>
        <w:ind w:right="-1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Except  as  provided  for  in  Article 37(3),  this  Regulation  does  not  apply  to  relevant  products  listed  in  Annex  I produced  before  the  date  indicated  in  Article 38(1). </w:t>
      </w:r>
    </w:p>
    <w:p>
      <w:pPr>
        <w:bidi w:val="0"/>
        <w:spacing w:before="148" w:after="0" w:line="341" w:lineRule="atLeast"/>
        <w:ind w:left="4660" w:right="4572" w:firstLine="155"/>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w:t>
      </w:r>
      <w:r>
        <w:rPr>
          <w:rFonts w:ascii="Times New Roman" w:eastAsia="Times New Roman" w:hAnsi="Times New Roman" w:cs="Times New Roman"/>
          <w:b/>
          <w:bCs/>
          <w:i w:val="0"/>
          <w:iCs w:val="0"/>
          <w:strike w:val="0"/>
          <w:color w:val="2E3238"/>
          <w:spacing w:val="0"/>
          <w:sz w:val="19"/>
          <w:szCs w:val="19"/>
          <w:u w:val="none"/>
          <w:rtl w:val="0"/>
        </w:rPr>
        <w:t xml:space="preserve"> Definitions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112" w:after="0" w:line="210" w:lineRule="atLeast"/>
        <w:ind w:left="51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purposes  of  this  Regulation,  the  following  definitions  apply: </w:t>
      </w:r>
    </w:p>
    <w:p>
      <w:pPr>
        <w:numPr>
          <w:ilvl w:val="0"/>
          <w:numId w:val="21"/>
        </w:numPr>
        <w:bidi w:val="0"/>
        <w:spacing w:before="27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commodities’ means  cattle,  cocoa,  coffee,  oil  palm,  rubber,  soya  and  wood; </w:t>
      </w:r>
    </w:p>
    <w:p>
      <w:pPr>
        <w:numPr>
          <w:ilvl w:val="0"/>
          <w:numId w:val="21"/>
        </w:numPr>
        <w:bidi w:val="0"/>
        <w:spacing w:before="295" w:after="0" w:line="213" w:lineRule="atLeast"/>
        <w:ind w:right="-2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means  products  listed  in  Annex  I  that  contain,  have  been  fed  with  or  have  been  made  using relevant  commodities; </w:t>
      </w:r>
    </w:p>
    <w:p>
      <w:pPr>
        <w:numPr>
          <w:ilvl w:val="0"/>
          <w:numId w:val="21"/>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‘deforestation’ means  the  conversion  of  forest  to  agricultural  use,  whether  human-induced  or not; </w:t>
      </w:r>
    </w:p>
    <w:p>
      <w:pPr>
        <w:numPr>
          <w:ilvl w:val="0"/>
          <w:numId w:val="21"/>
        </w:numPr>
        <w:bidi w:val="0"/>
        <w:spacing w:before="295" w:after="0" w:line="213" w:lineRule="atLeast"/>
        <w:ind w:right="3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 means land spanning more than 0,5 hectares with trees higher than 5 metres and a canopy cover of more than 10 %, or trees able to reach those thresholds in situ, excluding land that is predominantly  under agricultural or urban  land  use; </w:t>
      </w:r>
    </w:p>
    <w:p>
      <w:pPr>
        <w:numPr>
          <w:ilvl w:val="0"/>
          <w:numId w:val="21"/>
        </w:numPr>
        <w:bidi w:val="0"/>
        <w:spacing w:before="294" w:after="0" w:line="214" w:lineRule="atLeast"/>
        <w:ind w:right="-4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‘agricultural use’ means the use of land for the purpose of agriculture, including for agricultural plantations and set- aside  agricultural  areas,  and  for  rearing  livestock; </w:t>
      </w:r>
    </w:p>
    <w:p>
      <w:pPr>
        <w:numPr>
          <w:ilvl w:val="0"/>
          <w:numId w:val="21"/>
        </w:numPr>
        <w:bidi w:val="0"/>
        <w:spacing w:before="295" w:after="0" w:line="213" w:lineRule="atLeast"/>
        <w:ind w:right="6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‘agricultural  plantation’  means  land  with  tree  stands  in  agricultural  production  systems,  such  as  fruit  tree  plan­ tations, oil palm plantations,  olive orchards  and agroforestry  systems  where crops are grown under tree cover; it includes  all  plantations  of  relevant  commodities  other  than  wood;  agricultural  plantations  are  excluded  from  the definition  of  ‘forest’; </w:t>
      </w:r>
    </w:p>
    <w:p>
      <w:pPr>
        <w:numPr>
          <w:ilvl w:val="0"/>
          <w:numId w:val="21"/>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  degradation’ means  structural  changes  to forest  cover,  taking  the  form  of  the  conversion  of: </w:t>
      </w:r>
    </w:p>
    <w:p>
      <w:pPr>
        <w:numPr>
          <w:ilvl w:val="1"/>
          <w:numId w:val="21"/>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primary  forests  or naturally  regenerating  forests  into  plantation  forests  or  into  other  wooded  land;  or </w:t>
      </w:r>
    </w:p>
    <w:p>
      <w:pPr>
        <w:numPr>
          <w:ilvl w:val="1"/>
          <w:numId w:val="21"/>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primary  forests  into  planted  forests; </w:t>
      </w:r>
    </w:p>
    <w:p>
      <w:pPr>
        <w:numPr>
          <w:ilvl w:val="0"/>
          <w:numId w:val="21"/>
        </w:numPr>
        <w:bidi w:val="0"/>
        <w:spacing w:before="295" w:after="0" w:line="213" w:lineRule="atLeast"/>
        <w:ind w:right="-8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‘primary  forest’  means  naturally  regenerated  forest  of  native  tree  species,  where  there  are  no  clearly  visible indications  of  human  activities  and  the  ecological  processes  are  not  significantly  disturbed; </w:t>
      </w:r>
    </w:p>
    <w:p>
      <w:pPr>
        <w:numPr>
          <w:ilvl w:val="0"/>
          <w:numId w:val="21"/>
        </w:numPr>
        <w:bidi w:val="0"/>
        <w:spacing w:before="295" w:after="0" w:line="213" w:lineRule="atLeast"/>
        <w:ind w:right="13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‘naturally  regenerating  forest’ means forest predominantly  composed  of trees established  through  natural regener­ ation;  it includes  any  of  the  following: </w:t>
      </w:r>
    </w:p>
    <w:p>
      <w:pPr>
        <w:numPr>
          <w:ilvl w:val="0"/>
          <w:numId w:val="22"/>
        </w:numPr>
        <w:bidi w:val="0"/>
        <w:spacing w:before="27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forests  for  which  it is not  possible  to distinguish  whether  planted  or naturally  regenerated; </w:t>
      </w:r>
    </w:p>
    <w:p>
      <w:pPr>
        <w:numPr>
          <w:ilvl w:val="0"/>
          <w:numId w:val="22"/>
        </w:numPr>
        <w:bidi w:val="0"/>
        <w:spacing w:before="295" w:after="0" w:line="213" w:lineRule="atLeast"/>
        <w:ind w:right="-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forests  with  a  mix  of  naturally  regenerated  native  tree  species  and  planted  or  seeded  trees,  and  where  the naturally  regenerated  trees  are  expected  to  constitute  the  major  part  of  the  growing  stock  at  stand  maturity; </w:t>
      </w:r>
    </w:p>
    <w:p>
      <w:pPr>
        <w:numPr>
          <w:ilvl w:val="0"/>
          <w:numId w:val="22"/>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coppice  from  trees  originally  established  through  natural  regeneration; </w:t>
      </w:r>
    </w:p>
    <w:p>
      <w:pPr>
        <w:numPr>
          <w:ilvl w:val="0"/>
          <w:numId w:val="22"/>
        </w:numPr>
        <w:bidi w:val="0"/>
        <w:spacing w:before="29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naturally  regenerated  trees  of  introduced  species; </w:t>
      </w:r>
    </w:p>
    <w:p>
      <w:pPr>
        <w:numPr>
          <w:ilvl w:val="0"/>
          <w:numId w:val="23"/>
        </w:numPr>
        <w:bidi w:val="0"/>
        <w:spacing w:before="278" w:after="0" w:line="213" w:lineRule="atLeast"/>
        <w:ind w:right="6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‘planted  forest’  means  forest  predominantly  composed  of  trees  established  through  planting  and/or  deliberate seeding,  provided  that  the  planted  or  seeded  trees  are  expected  to  constitute  more  than  50 %  of  the  growing stock  at maturity;  it includes  coppice  from  trees  that  were  originally  planted  or seeded; </w:t>
      </w:r>
    </w:p>
    <w:p>
      <w:pPr>
        <w:numPr>
          <w:ilvl w:val="0"/>
          <w:numId w:val="23"/>
        </w:numPr>
        <w:bidi w:val="0"/>
        <w:spacing w:before="295"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‘plantation forest’ means a planted forest that is intensively managed and meets, at planting and stand maturity, all the following criteria: one or two species, even age class, and regular spacing; it includes short rotation plantations for wood, fibre and energy, and excludes forests planted for protection or ecosystem restoration, as well as forests established  through planting or seeding, which at stand maturity resemble or will resemble naturally regenerating forests;</w:t>
      </w:r>
    </w:p>
    <w:p>
      <w:pPr>
        <w:sectPr>
          <w:headerReference w:type="even" r:id="rId38"/>
          <w:headerReference w:type="default" r:id="rId39"/>
          <w:pgSz w:w="11906" w:h="16838"/>
          <w:pgMar w:top="1300" w:right="689" w:bottom="640" w:left="850" w:header="840" w:footer="708"/>
          <w:cols w:space="708"/>
          <w:titlePg w:val="0"/>
        </w:sectPr>
      </w:pPr>
    </w:p>
    <w:p>
      <w:pPr>
        <w:numPr>
          <w:ilvl w:val="0"/>
          <w:numId w:val="24"/>
        </w:numPr>
        <w:bidi w:val="0"/>
        <w:spacing w:before="272"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‘other wooded land’ means land not classified as ‘forest’ spanning more than 0,5 hectares, with trees higher than 5 metres and a canopy cover of 5 to 10 %, or trees able to reach those thresholds in situ, or with a combined cover of shrubs, bushes and trees above 10 %, excluding land that is predominantly under agricultural or urban land use; </w:t>
      </w:r>
    </w:p>
    <w:p>
      <w:pPr>
        <w:numPr>
          <w:ilvl w:val="0"/>
          <w:numId w:val="24"/>
        </w:numPr>
        <w:bidi w:val="0"/>
        <w:spacing w:before="20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‘deforestation-free ’ means: </w:t>
      </w:r>
    </w:p>
    <w:p>
      <w:pPr>
        <w:numPr>
          <w:ilvl w:val="0"/>
          <w:numId w:val="25"/>
        </w:numPr>
        <w:bidi w:val="0"/>
        <w:spacing w:before="179" w:after="0" w:line="213" w:lineRule="atLeast"/>
        <w:ind w:right="11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that  the  relevant  products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contain,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been  fed  with  or  have  been  made  using,  relevant  commodities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were  produced  on  land  that  has  not  been  subject  to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after  31 December,  2020;  and </w:t>
      </w:r>
    </w:p>
    <w:p>
      <w:pPr>
        <w:numPr>
          <w:ilvl w:val="0"/>
          <w:numId w:val="25"/>
        </w:numPr>
        <w:bidi w:val="0"/>
        <w:spacing w:before="196" w:after="0" w:line="214" w:lineRule="atLeast"/>
        <w:ind w:right="11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the case of relevant products that contain or have been made using wood, that the wood has been harvested from  the  forest  without  inducing  forest  degradation  after  31 December,  2020; </w:t>
      </w:r>
    </w:p>
    <w:p>
      <w:pPr>
        <w:numPr>
          <w:ilvl w:val="0"/>
          <w:numId w:val="26"/>
        </w:numPr>
        <w:bidi w:val="0"/>
        <w:spacing w:before="179" w:after="0" w:line="213" w:lineRule="atLeast"/>
        <w:ind w:right="4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‘produced’  means  grown,  harvested,  obtained  from  or  raised  on  relevant  plots  of  land  or,  as  regards  cattle,  on establishments; </w:t>
      </w:r>
    </w:p>
    <w:p>
      <w:pPr>
        <w:numPr>
          <w:ilvl w:val="0"/>
          <w:numId w:val="26"/>
        </w:numPr>
        <w:bidi w:val="0"/>
        <w:spacing w:before="197" w:after="0" w:line="213" w:lineRule="atLeast"/>
        <w:ind w:right="2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 means any natural or legal person who, in the course of a commercial activity, places relevant products on  the  market  or  exports  them; </w:t>
      </w:r>
    </w:p>
    <w:p>
      <w:pPr>
        <w:numPr>
          <w:ilvl w:val="0"/>
          <w:numId w:val="26"/>
        </w:numPr>
        <w:bidi w:val="0"/>
        <w:spacing w:before="199" w:after="0" w:line="213" w:lineRule="atLeast"/>
        <w:ind w:right="4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‘placing on the market’ means the first making available of a relevant commodity or relevant product on the Union market; </w:t>
      </w:r>
    </w:p>
    <w:p>
      <w:pPr>
        <w:numPr>
          <w:ilvl w:val="0"/>
          <w:numId w:val="26"/>
        </w:numPr>
        <w:bidi w:val="0"/>
        <w:spacing w:before="197" w:after="0" w:line="213" w:lineRule="atLeast"/>
        <w:ind w:right="7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‘trader’ means any person in the supply chain other than the operator who, in the course of a commercial activity, makes  relevant  products  available  on  the  market; </w:t>
      </w:r>
    </w:p>
    <w:p>
      <w:pPr>
        <w:numPr>
          <w:ilvl w:val="0"/>
          <w:numId w:val="26"/>
        </w:numPr>
        <w:bidi w:val="0"/>
        <w:spacing w:before="199" w:after="0" w:line="213" w:lineRule="atLeast"/>
        <w:ind w:right="8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‘making available on the market’ means any supply of a relevant product for distribution, consumption or use on the  Union  market  in  the  course  of  a  commercial  activity,  whether  in  return  for  payment  or  free  of  charge; </w:t>
      </w:r>
    </w:p>
    <w:p>
      <w:pPr>
        <w:numPr>
          <w:ilvl w:val="0"/>
          <w:numId w:val="26"/>
        </w:numPr>
        <w:bidi w:val="0"/>
        <w:spacing w:before="197" w:after="0" w:line="213" w:lineRule="atLeast"/>
        <w:ind w:right="4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the  course  of  a  commercial  activity’  means  for  the  purpose  of  processing,  for  distribution  to  commercial  or non-commercial  consumers,  or for  use  in  the  business  of  the  operator  or  trader  itself; </w:t>
      </w:r>
    </w:p>
    <w:p>
      <w:pPr>
        <w:numPr>
          <w:ilvl w:val="0"/>
          <w:numId w:val="26"/>
        </w:numPr>
        <w:bidi w:val="0"/>
        <w:spacing w:before="199" w:after="0" w:line="213" w:lineRule="atLeast"/>
        <w:ind w:right="4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‘person’  means  a  natural  person,  a  legal  person  or  any  association  of  persons  which  is  not  a  legal  person,  but which  is recognised  under  Union  or national  law  as having  the  capacity  to perform  legal  acts; </w:t>
      </w:r>
    </w:p>
    <w:p>
      <w:pPr>
        <w:numPr>
          <w:ilvl w:val="0"/>
          <w:numId w:val="26"/>
        </w:numPr>
        <w:bidi w:val="0"/>
        <w:spacing w:before="20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‘person  established  in the  Union’ means: </w:t>
      </w:r>
    </w:p>
    <w:p>
      <w:pPr>
        <w:numPr>
          <w:ilvl w:val="0"/>
          <w:numId w:val="27"/>
        </w:numPr>
        <w:bidi w:val="0"/>
        <w:spacing w:before="183"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the  case  of  a  natural  person,  any  person  whose  place  of  residence  is  in  the  Union; </w:t>
      </w:r>
    </w:p>
    <w:p>
      <w:pPr>
        <w:numPr>
          <w:ilvl w:val="0"/>
          <w:numId w:val="27"/>
        </w:numPr>
        <w:bidi w:val="0"/>
        <w:spacing w:before="198" w:after="0" w:line="213" w:lineRule="atLeast"/>
        <w:ind w:right="13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the  case  of  a  legal  person  or  an  association  of  persons,  any  person  whose  registered  office,  central  head­ quarters  or  a permanent  business  establishment  is in  the  Union; </w:t>
      </w:r>
    </w:p>
    <w:p>
      <w:pPr>
        <w:numPr>
          <w:ilvl w:val="0"/>
          <w:numId w:val="28"/>
        </w:numPr>
        <w:bidi w:val="0"/>
        <w:spacing w:before="179" w:after="0" w:line="213" w:lineRule="atLeast"/>
        <w:ind w:right="5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‘authorised  representative’  means  any  natural  or  legal  person  established  in  the  Union  who,  in  accordance  with Article 6,  has  received  a  written  mandate  from  an  operator  or  from  a  trader  to  act  on  its  behalf  in  relation  to specified  tasks  with  regard  to the  operator’s or  the  trader’s obligations  under  this  Regulation; </w:t>
      </w:r>
    </w:p>
    <w:p>
      <w:pPr>
        <w:numPr>
          <w:ilvl w:val="0"/>
          <w:numId w:val="28"/>
        </w:numPr>
        <w:bidi w:val="0"/>
        <w:spacing w:before="20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‘country  of  origin’  means  a  country  or  territory  as  referred  to  in  Article 60  of  Regulation  (EU)  No  952/2013; </w:t>
      </w:r>
    </w:p>
    <w:p>
      <w:pPr>
        <w:numPr>
          <w:ilvl w:val="0"/>
          <w:numId w:val="28"/>
        </w:numPr>
        <w:bidi w:val="0"/>
        <w:spacing w:before="198" w:after="0" w:line="213" w:lineRule="atLeast"/>
        <w:ind w:right="15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‘country of production’ means the country or territory where the relevant commodity  or the relevant commodity used  in  the  production  of,  or contained  in,  a  relevant  product  was  produced; </w:t>
      </w:r>
    </w:p>
    <w:p>
      <w:pPr>
        <w:numPr>
          <w:ilvl w:val="0"/>
          <w:numId w:val="28"/>
        </w:numPr>
        <w:bidi w:val="0"/>
        <w:spacing w:before="20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‘non-compliant  products’ means  relevant  products  that  do  not  comply  with  Article 3; </w:t>
      </w:r>
    </w:p>
    <w:p>
      <w:pPr>
        <w:numPr>
          <w:ilvl w:val="0"/>
          <w:numId w:val="28"/>
        </w:numPr>
        <w:bidi w:val="0"/>
        <w:spacing w:before="198"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‘negligible  risk’ means the level of risk that applies to relevant commodities  and relevant products,  where, on the basis of a full assessment of product-specific  and general information,  and, where necessary, of the application  of the appropriate  mitigation  measures,  those  commodities  or products  show  no cause  for concern  as being  not in compliance  with  Article 3,  point  (a)  or (b); </w:t>
      </w:r>
    </w:p>
    <w:p>
      <w:pPr>
        <w:numPr>
          <w:ilvl w:val="0"/>
          <w:numId w:val="28"/>
        </w:numPr>
        <w:bidi w:val="0"/>
        <w:spacing w:before="199" w:after="0" w:line="213" w:lineRule="atLeast"/>
        <w:ind w:right="1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‘plot  of  land’  means  land  within  a  single  real-estate  property,  as  recognised  by  the  law  of  the  country  of production,  which  enjoys  sufficiently  homogeneous  conditions  to  allow  an  evaluation  of  the  aggregate  level  of risk  of  deforestation  and  forest  degradation  associated  with  relevant  commodities  produced  on  that  land; </w:t>
      </w:r>
    </w:p>
    <w:p>
      <w:pPr>
        <w:numPr>
          <w:ilvl w:val="0"/>
          <w:numId w:val="28"/>
        </w:numPr>
        <w:bidi w:val="0"/>
        <w:spacing w:before="197" w:after="0" w:line="213" w:lineRule="atLeast"/>
        <w:ind w:right="3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‘geolocation’  means  the  geographical  location  of  a  plot  of  land  described  by  means  of  latitude  and  longitude coordinates corresponding to at least one latitude and one longitude point and using at least six decimal digits; for plots of land of more than four hectares used for the production of the relevant commodities other than cattle, this shall  be  provided  using  polygons  with  sufficient  latitude  and  longitude  points  to  describe  the  perimeter  of  each plot  of  land; </w:t>
      </w:r>
    </w:p>
    <w:p>
      <w:pPr>
        <w:numPr>
          <w:ilvl w:val="0"/>
          <w:numId w:val="28"/>
        </w:numPr>
        <w:bidi w:val="0"/>
        <w:spacing w:before="197" w:after="0" w:line="213" w:lineRule="atLeast"/>
        <w:ind w:right="2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‘establishment’ means any premises, structure, or, in the case of open-air farming, any environment or place, where livestock  are  kept,  on  a temporary  or permanent  basis;</w:t>
      </w:r>
    </w:p>
    <w:p>
      <w:pPr>
        <w:sectPr>
          <w:headerReference w:type="even" r:id="rId40"/>
          <w:headerReference w:type="default" r:id="rId41"/>
          <w:pgSz w:w="11906" w:h="16838"/>
          <w:pgMar w:top="1300" w:right="641" w:bottom="640" w:left="850" w:header="840" w:footer="708"/>
          <w:cols w:space="708"/>
          <w:titlePg w:val="0"/>
        </w:sectPr>
      </w:pPr>
    </w:p>
    <w:p>
      <w:pPr>
        <w:numPr>
          <w:ilvl w:val="0"/>
          <w:numId w:val="29"/>
        </w:numPr>
        <w:bidi w:val="0"/>
        <w:spacing w:before="273" w:after="0" w:line="213" w:lineRule="atLeast"/>
        <w:ind w:right="-11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‘micro,</w:t>
      </w:r>
      <w:bookmarkStart w:id="35" w:name="_page16_x-5.00_y88.89"/>
      <w:bookmarkEnd w:id="35"/>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small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medium-sized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enterprises’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‘SMEs’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means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micro,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small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medium-sized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undertakings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defined  in  Article 3  of  Directive  2013/34/EU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European  Parliament  and  of  the  </w:t>
      </w:r>
      <w:hyperlink w:anchor="_page16_x-5.00_y750.89" w:history="1">
        <w:r>
          <w:rPr>
            <w:rFonts w:ascii="Times New Roman" w:eastAsia="Times New Roman" w:hAnsi="Times New Roman" w:cs="Times New Roman"/>
            <w:b w:val="0"/>
            <w:bCs w:val="0"/>
            <w:i w:val="0"/>
            <w:iCs w:val="0"/>
            <w:strike w:val="0"/>
            <w:color w:val="2E3238"/>
            <w:spacing w:val="0"/>
            <w:sz w:val="19"/>
            <w:szCs w:val="19"/>
            <w:u w:val="none"/>
            <w:rtl w:val="0"/>
          </w:rPr>
          <w:t xml:space="preserve">Council </w:t>
        </w:r>
      </w:hyperlink>
      <w:r>
        <w:rPr>
          <w:rFonts w:ascii="Times New Roman" w:eastAsia="Times New Roman" w:hAnsi="Times New Roman" w:cs="Times New Roman"/>
          <w:b w:val="0"/>
          <w:bCs w:val="0"/>
          <w:i w:val="0"/>
          <w:iCs w:val="0"/>
          <w:strike w:val="0"/>
          <w:color w:val="2E3238"/>
          <w:spacing w:val="0"/>
          <w:sz w:val="19"/>
          <w:szCs w:val="19"/>
          <w:u w:val="none"/>
          <w:rtl w:val="0"/>
        </w:rPr>
        <w:t>(</w:t>
      </w:r>
      <w:hyperlink w:anchor="_page16_x-5.00_y750.89" w:history="1">
        <w:r>
          <w:rPr>
            <w:rFonts w:ascii="Times New Roman" w:eastAsia="Times New Roman" w:hAnsi="Times New Roman" w:cs="Times New Roman"/>
            <w:b w:val="0"/>
            <w:bCs w:val="0"/>
            <w:i w:val="0"/>
            <w:iCs w:val="0"/>
            <w:strike w:val="0"/>
            <w:color w:val="2E3238"/>
            <w:spacing w:val="0"/>
            <w:sz w:val="12"/>
            <w:szCs w:val="12"/>
            <w:u w:val="none"/>
            <w:rtl w:val="0"/>
          </w:rPr>
          <w:t>19</w:t>
        </w:r>
        <w:r>
          <w:rPr>
            <w:rFonts w:ascii="Times New Roman" w:eastAsia="Times New Roman" w:hAnsi="Times New Roman" w:cs="Times New Roman"/>
            <w:b w:val="0"/>
            <w:bCs w:val="0"/>
            <w:i w:val="0"/>
            <w:iCs w:val="0"/>
            <w:strike w:val="0"/>
            <w:color w:val="2E3238"/>
            <w:spacing w:val="0"/>
            <w:sz w:val="19"/>
            <w:szCs w:val="19"/>
            <w:u w:val="none"/>
            <w:rtl w:val="0"/>
          </w:rPr>
          <w: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29"/>
        </w:numPr>
        <w:bidi w:val="0"/>
        <w:spacing w:before="172" w:after="0" w:line="213" w:lineRule="atLeast"/>
        <w:ind w:right="-1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‘substantiated  concern’ means a duly reasoned claim based on objective and verifiable information regarding non- compliance  with  this  Regulation  and  which  could  require  the  intervention  of  competent  authorities; </w:t>
      </w:r>
    </w:p>
    <w:p>
      <w:pPr>
        <w:numPr>
          <w:ilvl w:val="0"/>
          <w:numId w:val="29"/>
        </w:numPr>
        <w:bidi w:val="0"/>
        <w:spacing w:before="174"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means  the  authorities  designated  under  Article 14(1); </w:t>
      </w:r>
    </w:p>
    <w:p>
      <w:pPr>
        <w:numPr>
          <w:ilvl w:val="0"/>
          <w:numId w:val="29"/>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‘customs authorities’ means customs authorities as defined in Article 5, point (1), of Regulation (EU) No 952/2013; </w:t>
      </w:r>
    </w:p>
    <w:p>
      <w:pPr>
        <w:numPr>
          <w:ilvl w:val="0"/>
          <w:numId w:val="29"/>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‘customs  territory’ means  territory  as defined  in Article 4 of  Regulation  (EU)  No  952/2013; </w:t>
      </w:r>
    </w:p>
    <w:p>
      <w:pPr>
        <w:numPr>
          <w:ilvl w:val="0"/>
          <w:numId w:val="29"/>
        </w:numPr>
        <w:bidi w:val="0"/>
        <w:spacing w:before="174"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‘third  country’  means  a  country  or territory  outside  the  customs  territory  of  the  Union; </w:t>
      </w:r>
    </w:p>
    <w:p>
      <w:pPr>
        <w:numPr>
          <w:ilvl w:val="0"/>
          <w:numId w:val="29"/>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‘release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free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circulation’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means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procedure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laid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down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201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952/2013; </w:t>
      </w:r>
    </w:p>
    <w:p>
      <w:pPr>
        <w:numPr>
          <w:ilvl w:val="0"/>
          <w:numId w:val="29"/>
        </w:numPr>
        <w:bidi w:val="0"/>
        <w:spacing w:before="1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‘export’ means  the  procedure  laid  down  in Article 269  of  Regulation  (EU)  No  952/2013; </w:t>
      </w:r>
    </w:p>
    <w:p>
      <w:pPr>
        <w:numPr>
          <w:ilvl w:val="0"/>
          <w:numId w:val="29"/>
        </w:numPr>
        <w:bidi w:val="0"/>
        <w:spacing w:before="172" w:after="0" w:line="213" w:lineRule="atLeast"/>
        <w:ind w:right="2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entering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means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procedure ‘release for free circulation’ that are intended to be placed on the Union market and are not intended for private  use  or  consumption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within  the  customs  territory  of  the  Union; </w:t>
      </w:r>
    </w:p>
    <w:p>
      <w:pPr>
        <w:numPr>
          <w:ilvl w:val="0"/>
          <w:numId w:val="29"/>
        </w:numPr>
        <w:bidi w:val="0"/>
        <w:spacing w:before="1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leaving  the  market’ means  relevant  products  placed  under  the  customs  procedure  ‘export’; </w:t>
      </w:r>
    </w:p>
    <w:p>
      <w:pPr>
        <w:numPr>
          <w:ilvl w:val="0"/>
          <w:numId w:val="29"/>
        </w:numPr>
        <w:bidi w:val="0"/>
        <w:spacing w:before="173" w:after="0" w:line="213" w:lineRule="atLeast"/>
        <w:ind w:right="4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legislation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country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means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laws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applicable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country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concerning  the  legal  status  of  the  area  of  production  in  terms  of: </w:t>
      </w:r>
    </w:p>
    <w:p>
      <w:pPr>
        <w:numPr>
          <w:ilvl w:val="0"/>
          <w:numId w:val="30"/>
        </w:numPr>
        <w:bidi w:val="0"/>
        <w:spacing w:before="15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land  use  rights; </w:t>
      </w:r>
    </w:p>
    <w:p>
      <w:pPr>
        <w:numPr>
          <w:ilvl w:val="0"/>
          <w:numId w:val="30"/>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environmental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protection; </w:t>
      </w:r>
    </w:p>
    <w:p>
      <w:pPr>
        <w:numPr>
          <w:ilvl w:val="0"/>
          <w:numId w:val="30"/>
        </w:numPr>
        <w:bidi w:val="0"/>
        <w:spacing w:before="173" w:after="0" w:line="213" w:lineRule="atLeast"/>
        <w:ind w:right="2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forest-related rules, including forest management and biodiversity conservation, where directly related to wood harvesting; </w:t>
      </w:r>
    </w:p>
    <w:p>
      <w:pPr>
        <w:numPr>
          <w:ilvl w:val="0"/>
          <w:numId w:val="30"/>
        </w:numPr>
        <w:bidi w:val="0"/>
        <w:spacing w:before="174"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third  parties’ rights; </w:t>
      </w:r>
    </w:p>
    <w:p>
      <w:pPr>
        <w:numPr>
          <w:ilvl w:val="0"/>
          <w:numId w:val="30"/>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labour  rights; </w:t>
      </w:r>
    </w:p>
    <w:p>
      <w:pPr>
        <w:numPr>
          <w:ilvl w:val="0"/>
          <w:numId w:val="30"/>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human  rights  protected  under  international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law; </w:t>
      </w:r>
    </w:p>
    <w:p>
      <w:pPr>
        <w:numPr>
          <w:ilvl w:val="0"/>
          <w:numId w:val="30"/>
        </w:numPr>
        <w:bidi w:val="0"/>
        <w:spacing w:before="172" w:after="0" w:line="213" w:lineRule="atLeast"/>
        <w:ind w:right="-5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principle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free,  prior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consent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(FPIC),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set  out  in  the  UN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Declaration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the Rights  of  Indigenous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p>
    <w:p>
      <w:pPr>
        <w:numPr>
          <w:ilvl w:val="0"/>
          <w:numId w:val="30"/>
        </w:numPr>
        <w:bidi w:val="0"/>
        <w:spacing w:before="0" w:after="0" w:line="385" w:lineRule="atLeast"/>
        <w:ind w:right="453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tax,  anti-corruption,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trade  and  customs  regulations. Article 3</w:t>
      </w:r>
      <w:r>
        <w:rPr>
          <w:rFonts w:ascii="Times New Roman" w:eastAsia="Times New Roman" w:hAnsi="Times New Roman" w:cs="Times New Roman"/>
          <w:b/>
          <w:bCs/>
          <w:i w:val="0"/>
          <w:iCs w:val="0"/>
          <w:strike w:val="0"/>
          <w:color w:val="2E3238"/>
          <w:spacing w:val="0"/>
          <w:sz w:val="19"/>
          <w:szCs w:val="19"/>
          <w:u w:val="none"/>
          <w:rtl w:val="0"/>
        </w:rPr>
        <w:t xml:space="preserve"> Prohibition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109" w:after="0" w:line="213" w:lineRule="atLeast"/>
        <w:ind w:left="510" w:right="27" w:firstLine="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commodities and relevant products shall not be placed or made available on the market or exported, unless all the  following  conditions  are  fulfilled: </w:t>
      </w:r>
    </w:p>
    <w:p>
      <w:pPr>
        <w:numPr>
          <w:ilvl w:val="0"/>
          <w:numId w:val="31"/>
        </w:numPr>
        <w:bidi w:val="0"/>
        <w:spacing w:before="15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they  are  deforestation-free; </w:t>
      </w:r>
    </w:p>
    <w:p>
      <w:pPr>
        <w:numPr>
          <w:ilvl w:val="0"/>
          <w:numId w:val="31"/>
        </w:numPr>
        <w:bidi w:val="0"/>
        <w:spacing w:before="176"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they  have  been  produced  in  accordance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the  relevant  legislation  of  the  country  of  production;  and </w:t>
      </w:r>
    </w:p>
    <w:p>
      <w:pPr>
        <w:numPr>
          <w:ilvl w:val="0"/>
          <w:numId w:val="31"/>
        </w:numPr>
        <w:bidi w:val="0"/>
        <w:spacing w:before="174"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they  are  covered  by  a  due  diligence  statement.</w:t>
      </w:r>
    </w:p>
    <w:p>
      <w:pPr>
        <w:bidi w:val="0"/>
        <w:spacing w:before="176" w:after="0" w:line="187" w:lineRule="atLeast"/>
        <w:ind w:left="4709"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2</w:t>
      </w:r>
      <w:r>
        <w:rPr>
          <w:rFonts w:ascii="Times New Roman" w:eastAsia="Times New Roman" w:hAnsi="Times New Roman" w:cs="Times New Roman"/>
          <w:b/>
          <w:bCs/>
          <w:i w:val="0"/>
          <w:iCs w:val="0"/>
          <w:strike w:val="0"/>
          <w:color w:val="2E3238"/>
          <w:spacing w:val="0"/>
          <w:sz w:val="17"/>
          <w:szCs w:val="17"/>
          <w:u w:val="none"/>
          <w:rtl w:val="0"/>
        </w:rPr>
        <w:t xml:space="preserve"> </w:t>
      </w:r>
    </w:p>
    <w:p>
      <w:pPr>
        <w:bidi w:val="0"/>
        <w:spacing w:before="138" w:after="0" w:line="187" w:lineRule="atLeast"/>
        <w:ind w:left="3243"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bCs/>
          <w:i w:val="0"/>
          <w:iCs w:val="0"/>
          <w:strike w:val="0"/>
          <w:color w:val="2E3238"/>
          <w:spacing w:val="0"/>
          <w:sz w:val="17"/>
          <w:szCs w:val="17"/>
          <w:u w:val="none"/>
          <w:rtl w:val="0"/>
        </w:rPr>
        <w:t xml:space="preserve">OBLIGATIONS </w:t>
      </w:r>
      <w:r>
        <w:rPr>
          <w:rFonts w:ascii="Times New Roman" w:eastAsia="Times New Roman" w:hAnsi="Times New Roman" w:cs="Times New Roman"/>
          <w:b/>
          <w:bCs/>
          <w:i w:val="0"/>
          <w:iCs w:val="0"/>
          <w:strike w:val="0"/>
          <w:color w:val="2E3238"/>
          <w:spacing w:val="3"/>
          <w:sz w:val="17"/>
          <w:szCs w:val="17"/>
          <w:u w:val="none"/>
          <w:rtl w:val="0"/>
        </w:rPr>
        <w:t xml:space="preserve"> </w:t>
      </w:r>
      <w:r>
        <w:rPr>
          <w:rFonts w:ascii="Times New Roman" w:eastAsia="Times New Roman" w:hAnsi="Times New Roman" w:cs="Times New Roman"/>
          <w:b/>
          <w:bCs/>
          <w:i w:val="0"/>
          <w:iCs w:val="0"/>
          <w:strike w:val="0"/>
          <w:color w:val="2E3238"/>
          <w:spacing w:val="0"/>
          <w:sz w:val="17"/>
          <w:szCs w:val="17"/>
          <w:u w:val="none"/>
          <w:rtl w:val="0"/>
        </w:rPr>
        <w:t xml:space="preserve">OF  OPERATORS </w:t>
      </w:r>
      <w:r>
        <w:rPr>
          <w:rFonts w:ascii="Times New Roman" w:eastAsia="Times New Roman" w:hAnsi="Times New Roman" w:cs="Times New Roman"/>
          <w:b/>
          <w:bCs/>
          <w:i w:val="0"/>
          <w:iCs w:val="0"/>
          <w:strike w:val="0"/>
          <w:color w:val="2E3238"/>
          <w:spacing w:val="2"/>
          <w:sz w:val="17"/>
          <w:szCs w:val="17"/>
          <w:u w:val="none"/>
          <w:rtl w:val="0"/>
        </w:rPr>
        <w:t xml:space="preserve"> </w:t>
      </w:r>
      <w:r>
        <w:rPr>
          <w:rFonts w:ascii="Times New Roman" w:eastAsia="Times New Roman" w:hAnsi="Times New Roman" w:cs="Times New Roman"/>
          <w:b/>
          <w:bCs/>
          <w:i w:val="0"/>
          <w:iCs w:val="0"/>
          <w:strike w:val="0"/>
          <w:color w:val="2E3238"/>
          <w:spacing w:val="0"/>
          <w:sz w:val="17"/>
          <w:szCs w:val="17"/>
          <w:u w:val="none"/>
          <w:rtl w:val="0"/>
        </w:rPr>
        <w:t>AND  TRADERS</w:t>
      </w:r>
    </w:p>
    <w:p>
      <w:pPr>
        <w:bidi w:val="0"/>
        <w:spacing w:before="116" w:after="0" w:line="341" w:lineRule="atLeast"/>
        <w:ind w:left="4093" w:right="3963" w:firstLine="72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4</w:t>
      </w:r>
      <w:r>
        <w:rPr>
          <w:rFonts w:ascii="Times New Roman" w:eastAsia="Times New Roman" w:hAnsi="Times New Roman" w:cs="Times New Roman"/>
          <w:b/>
          <w:bCs/>
          <w:i w:val="0"/>
          <w:iCs w:val="0"/>
          <w:strike w:val="0"/>
          <w:color w:val="2E3238"/>
          <w:spacing w:val="0"/>
          <w:sz w:val="19"/>
          <w:szCs w:val="19"/>
          <w:u w:val="none"/>
          <w:rtl w:val="0"/>
        </w:rPr>
        <w:t xml:space="preserve">               Obligations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of operators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32"/>
        </w:numPr>
        <w:bidi w:val="0"/>
        <w:spacing w:before="107" w:after="0" w:line="214" w:lineRule="atLeast"/>
        <w:ind w:right="4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exercise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8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market  or  exporting  them  in  order  to  prove  that  the  relevant  products  comply  with  Article 3.</w:t>
      </w:r>
    </w:p>
    <w:p>
      <w:pPr>
        <w:bidi w:val="0"/>
        <w:spacing w:before="254" w:after="0" w:line="187" w:lineRule="atLeast"/>
        <w:ind w:left="510" w:right="-200" w:firstLine="0"/>
        <w:jc w:val="both"/>
        <w:outlineLvl w:val="9"/>
        <w:rPr>
          <w:rFonts w:ascii="Times New Roman" w:eastAsia="Times New Roman" w:hAnsi="Times New Roman" w:cs="Times New Roman"/>
          <w:sz w:val="17"/>
          <w:szCs w:val="17"/>
        </w:rPr>
      </w:pPr>
      <w:bookmarkStart w:id="36" w:name="_page16_x-5.00_y750.89"/>
      <w:bookmarkEnd w:id="36"/>
      <w:hyperlink w:anchor="_page16_x-5.00_y88.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19</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w:t>
      </w:r>
      <w:r>
        <w:rPr>
          <w:rFonts w:ascii="Times New Roman" w:eastAsia="Times New Roman" w:hAnsi="Times New Roman" w:cs="Times New Roman"/>
          <w:b w:val="0"/>
          <w:bCs w:val="0"/>
          <w:i w:val="0"/>
          <w:iCs w:val="0"/>
          <w:strike w:val="0"/>
          <w:color w:val="2E3238"/>
          <w:spacing w:val="2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2013/34/EU </w:t>
      </w:r>
      <w:r>
        <w:rPr>
          <w:rFonts w:ascii="Times New Roman" w:eastAsia="Times New Roman" w:hAnsi="Times New Roman" w:cs="Times New Roman"/>
          <w:b w:val="0"/>
          <w:bCs w:val="0"/>
          <w:i w:val="0"/>
          <w:iCs w:val="0"/>
          <w:strike w:val="0"/>
          <w:color w:val="2E3238"/>
          <w:spacing w:val="2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2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26 June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2013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annual </w:t>
      </w:r>
      <w:r>
        <w:rPr>
          <w:rFonts w:ascii="Times New Roman" w:eastAsia="Times New Roman" w:hAnsi="Times New Roman" w:cs="Times New Roman"/>
          <w:b w:val="0"/>
          <w:bCs w:val="0"/>
          <w:i w:val="0"/>
          <w:iCs w:val="0"/>
          <w:strike w:val="0"/>
          <w:color w:val="2E3238"/>
          <w:spacing w:val="1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financial </w:t>
      </w:r>
      <w:r>
        <w:rPr>
          <w:rFonts w:ascii="Times New Roman" w:eastAsia="Times New Roman" w:hAnsi="Times New Roman" w:cs="Times New Roman"/>
          <w:b w:val="0"/>
          <w:bCs w:val="0"/>
          <w:i w:val="0"/>
          <w:iCs w:val="0"/>
          <w:strike w:val="0"/>
          <w:color w:val="2E3238"/>
          <w:spacing w:val="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statements, </w:t>
      </w:r>
      <w:r>
        <w:pict>
          <v:shape id="PathGroup" o:spid="_x0000_s1033" type="#_x0000_t75" style="width:55pt;height:4pt;margin-top:9.21pt;margin-left:66pt;mso-position-horizontal-relative:page;position:absolute;z-index:-251650048" o:allowincell="f">
            <v:imagedata r:id="rId16" o:title=""/>
            <w10:anchorlock/>
          </v:shape>
        </w:pict>
      </w:r>
    </w:p>
    <w:p>
      <w:pPr>
        <w:bidi w:val="0"/>
        <w:spacing w:before="0" w:after="0" w:line="179" w:lineRule="atLeast"/>
        <w:ind w:left="805" w:right="41"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consolidated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financial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statements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related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reports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certain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types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undertakings,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amending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Directive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2006/43/EC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European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repealing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Directives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78/660/EEC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83/349/EEC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L 182,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29.6.2013, p. 19).</w:t>
      </w:r>
    </w:p>
    <w:p>
      <w:pPr>
        <w:sectPr>
          <w:headerReference w:type="even" r:id="rId42"/>
          <w:headerReference w:type="default" r:id="rId43"/>
          <w:pgSz w:w="11906" w:h="16838"/>
          <w:pgMar w:top="1300" w:right="689" w:bottom="640" w:left="850" w:header="840" w:footer="708"/>
          <w:cols w:space="708"/>
          <w:titlePg w:val="0"/>
        </w:sectPr>
      </w:pPr>
    </w:p>
    <w:p>
      <w:pPr>
        <w:numPr>
          <w:ilvl w:val="0"/>
          <w:numId w:val="33"/>
        </w:numPr>
        <w:bidi w:val="0"/>
        <w:spacing w:before="272"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not  place  relevant  products  on  the  market  or  export  them  without  prior  submission  of  a  due diligence  statement.  Operators  who, on the basis of the due diligence  exercised  in accordance  with Article 8, conclude that the relevant products comply with Article 3 shall, before placing the relevant products on the market or exporting them, make available a due diligence statement to the competent authorities through the information system referred to in  Article 33.  Such  electronically  available  and  transmittable  due  diligence  statement  shall  contain  the  information  set out in Annex II for the relevant products and a declaration by the operator that the operator exercised due diligence and that  no  or  only  a  negligible  risk  was  found. </w:t>
      </w:r>
    </w:p>
    <w:p>
      <w:pPr>
        <w:numPr>
          <w:ilvl w:val="0"/>
          <w:numId w:val="33"/>
        </w:numPr>
        <w:bidi w:val="0"/>
        <w:spacing w:before="307" w:after="0" w:line="213" w:lineRule="atLeast"/>
        <w:ind w:right="3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making available the due diligence statement to competent authorities, the operator shall assume responsibility for the compliance of the relevant product with Article 3. Operators shall keep a record of the due diligence statements for  five  years  from  the  date  the  statement  is  submitted  through  the  information  system  referred  to  in  Article 33. </w:t>
      </w:r>
    </w:p>
    <w:p>
      <w:pPr>
        <w:numPr>
          <w:ilvl w:val="0"/>
          <w:numId w:val="33"/>
        </w:numPr>
        <w:bidi w:val="0"/>
        <w:spacing w:before="307" w:after="0" w:line="213" w:lineRule="atLeast"/>
        <w:ind w:right="14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not  place  relevant  products  on  the  market  or export  them  where  one  or  more  of  the  following cases  apply: </w:t>
      </w:r>
    </w:p>
    <w:p>
      <w:pPr>
        <w:numPr>
          <w:ilvl w:val="0"/>
          <w:numId w:val="34"/>
        </w:numPr>
        <w:bidi w:val="0"/>
        <w:spacing w:before="29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relevant  products  are  non-compliant; </w:t>
      </w:r>
    </w:p>
    <w:p>
      <w:pPr>
        <w:numPr>
          <w:ilvl w:val="0"/>
          <w:numId w:val="34"/>
        </w:numPr>
        <w:bidi w:val="0"/>
        <w:spacing w:before="30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exercise  of  due  diligence  has  revealed  a  non-negligible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that  the  relevant  products  are  non-compliant; </w:t>
      </w:r>
    </w:p>
    <w:p>
      <w:pPr>
        <w:numPr>
          <w:ilvl w:val="0"/>
          <w:numId w:val="34"/>
        </w:numPr>
        <w:bidi w:val="0"/>
        <w:spacing w:before="31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operator  was  unable  to fulfil  the  obligations  referred  to in  paragraphs  1 and 2. </w:t>
      </w:r>
    </w:p>
    <w:p>
      <w:pPr>
        <w:numPr>
          <w:ilvl w:val="0"/>
          <w:numId w:val="35"/>
        </w:numPr>
        <w:bidi w:val="0"/>
        <w:spacing w:before="289" w:after="0" w:line="213" w:lineRule="atLeast"/>
        <w:ind w:right="4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that obtain or are made aware of relevant new information, including substantiated concerns, indicating that  a  relevant  product  that  they  have  placed  on  the  market  is  at  risk  of  not  complying  with  this  Regulation  shall immediately  inform  the competent  authorities  of the Member States in which they placed the relevant product  on the market, as well as traders to whom they supplied the relevant product. In the case of exports, the operators shall inform the  competent  authority  of  the  Member  State  which  is the  country  of  production. </w:t>
      </w:r>
    </w:p>
    <w:p>
      <w:pPr>
        <w:numPr>
          <w:ilvl w:val="0"/>
          <w:numId w:val="35"/>
        </w:numPr>
        <w:bidi w:val="0"/>
        <w:spacing w:before="307" w:after="0" w:line="213" w:lineRule="atLeast"/>
        <w:ind w:right="4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offer  all  necessary  assistance  to  the  competent  authorities  to  facilitate  the  carrying  out  of  the checks  under  Article 18,  including  access  to premises  and  the  making  available  of  documentation  and  records. </w:t>
      </w:r>
    </w:p>
    <w:p>
      <w:pPr>
        <w:numPr>
          <w:ilvl w:val="0"/>
          <w:numId w:val="35"/>
        </w:numPr>
        <w:bidi w:val="0"/>
        <w:spacing w:before="306" w:after="0" w:line="213" w:lineRule="atLeast"/>
        <w:ind w:right="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communicate  to operators and to traders further down the supply chain of the relevant products they  placed  on the market  or exported  all  information  necessary  to demonstrate  that  due diligence  was  exercised  and that no or only a negligible risk was found, including the reference numbers of the due diligence statements associated to  those  products. </w:t>
      </w:r>
    </w:p>
    <w:p>
      <w:pPr>
        <w:numPr>
          <w:ilvl w:val="0"/>
          <w:numId w:val="35"/>
        </w:numPr>
        <w:bidi w:val="0"/>
        <w:spacing w:before="306" w:after="0" w:line="213" w:lineRule="atLeast"/>
        <w:ind w:right="-13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way  of  derogation  from  paragraph  1  of  this  Article,  operators  that  are  SMEs  (‘SME  operators’)  shall  not  be required to exercise due diligence for relevant products contained in or made from relevant products that have already been subject to due diligence in accordance with paragraph 1 of this Article and for which a due diligence statement has already  been  submitted  in  accordance  with  Article 33.  In  such  cases,  SME  operators  shall  provide  the  competent authorities  with  the  reference  number  of  the  due  diligence  statement  upon  request.  For  parts  of  relevant  products that  have  not  been  subject  to  due  diligence,  the  SME  operators  shall  exercise  due  diligence  in  accordance  with paragraph  1 of  this  Article. </w:t>
      </w:r>
    </w:p>
    <w:p>
      <w:pPr>
        <w:numPr>
          <w:ilvl w:val="0"/>
          <w:numId w:val="35"/>
        </w:numPr>
        <w:bidi w:val="0"/>
        <w:spacing w:before="306" w:after="0" w:line="213" w:lineRule="atLeast"/>
        <w:ind w:right="-8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that are not SMEs (‘non-SME  operators’) may refer to due diligence  statements  that have already  been submitted  in  accordance  with  Article 33  only  after  having  ascertained  that  the  due  diligence  relating  to  the  relevant products contained in or made from the relevant products was exercised in accordance with paragraph 1 of this Article. They  shall  include  the  reference  numbers  of  such  due  diligence  statements  that  have  already  been  submitted  in accordance  with  Article 33  in  the  due  diligence  statements  that  they  submit  under  paragraph  2  of  this  Article.  For parts of relevant products that have not been subject to due diligence, non-SME operators shall exercise due diligence in accordance  with  paragraph  1 of  this  Article. </w:t>
      </w:r>
    </w:p>
    <w:p>
      <w:pPr>
        <w:numPr>
          <w:ilvl w:val="0"/>
          <w:numId w:val="35"/>
        </w:numPr>
        <w:bidi w:val="0"/>
        <w:spacing w:before="306" w:after="0" w:line="213" w:lineRule="atLeast"/>
        <w:ind w:right="5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Any  operator  referring  to  a  due  diligence  statement  that  has  already  been  submitted  in  accordance  with Article 33  shall  retain  responsibility  for  the  compliance  of  the  relevant  products  with  Article 3,  including  that  no  or only  a negligible  risk  was  found,  prior  to  placing  such  relevant  products  on  the  market  or  exporting  them. </w:t>
      </w:r>
    </w:p>
    <w:p>
      <w:pPr>
        <w:bidi w:val="0"/>
        <w:spacing w:before="161" w:after="0" w:line="341" w:lineRule="atLeast"/>
        <w:ind w:left="4200" w:right="4046" w:firstLine="616"/>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5</w:t>
      </w:r>
      <w:r>
        <w:rPr>
          <w:rFonts w:ascii="Times New Roman" w:eastAsia="Times New Roman" w:hAnsi="Times New Roman" w:cs="Times New Roman"/>
          <w:b/>
          <w:bCs/>
          <w:i w:val="0"/>
          <w:iCs w:val="0"/>
          <w:strike w:val="0"/>
          <w:color w:val="2E3238"/>
          <w:spacing w:val="0"/>
          <w:sz w:val="19"/>
          <w:szCs w:val="19"/>
          <w:u w:val="none"/>
          <w:rtl w:val="0"/>
        </w:rPr>
        <w:t xml:space="preserve">             Obligations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of  traders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36"/>
        </w:numPr>
        <w:bidi w:val="0"/>
        <w:spacing w:before="110" w:after="0" w:line="213" w:lineRule="atLeast"/>
        <w:ind w:right="-16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Traders  that  are  not  SMEs  (‘non-SME  traders’)  shall  be  considered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non-SME  operators  and  shall  be  subject  to obligations and provisions in Articles 3, 4 and 6, Articles 8 to 13, Article 16(8) to (11) and Article 18 with regard to the relevant  commodities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relevant  products  that  they  make  available  on  the  market.</w:t>
      </w:r>
    </w:p>
    <w:p>
      <w:pPr>
        <w:sectPr>
          <w:headerReference w:type="even" r:id="rId44"/>
          <w:headerReference w:type="default" r:id="rId45"/>
          <w:pgSz w:w="11906" w:h="16838"/>
          <w:pgMar w:top="1300" w:right="688" w:bottom="640" w:left="850" w:header="840" w:footer="708"/>
          <w:cols w:space="708"/>
          <w:titlePg w:val="0"/>
        </w:sectPr>
      </w:pPr>
    </w:p>
    <w:p>
      <w:pPr>
        <w:numPr>
          <w:ilvl w:val="0"/>
          <w:numId w:val="37"/>
        </w:numPr>
        <w:bidi w:val="0"/>
        <w:spacing w:before="273" w:after="0" w:line="213" w:lineRule="atLeast"/>
        <w:ind w:right="-12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Traders  that  are  SMEs  (‘SME  traders’)  shall  make  available  relevant  products  on  the  market  only  if  they  are  in possession  of  the  information  required  under  paragraph  3. </w:t>
      </w:r>
    </w:p>
    <w:p>
      <w:pPr>
        <w:numPr>
          <w:ilvl w:val="0"/>
          <w:numId w:val="37"/>
        </w:numPr>
        <w:bidi w:val="0"/>
        <w:spacing w:before="272" w:after="0" w:line="213" w:lineRule="atLeast"/>
        <w:ind w:right="6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SME traders shall collect and keep the following information relating to the relevant products they intend to make available  on  the  market: </w:t>
      </w:r>
    </w:p>
    <w:p>
      <w:pPr>
        <w:numPr>
          <w:ilvl w:val="0"/>
          <w:numId w:val="38"/>
        </w:numPr>
        <w:bidi w:val="0"/>
        <w:spacing w:before="254"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name,  registered  trade name  or registered  trade  mark,  the postal  address,  the email  address  and,  if available,  a web  address  of  the  operators  or  the  traders  who  have  supplied  the  relevant  products  to  them,  as  well  as  the reference  numbers  of  the  due  diligence  statements  associated  to  those  products; </w:t>
      </w:r>
    </w:p>
    <w:p>
      <w:pPr>
        <w:numPr>
          <w:ilvl w:val="0"/>
          <w:numId w:val="38"/>
        </w:numPr>
        <w:bidi w:val="0"/>
        <w:spacing w:before="273" w:after="0" w:line="213" w:lineRule="atLeast"/>
        <w:ind w:right="-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name,  registered  trade name  or registered  trade  mark,  the postal  address,  the email  address  and,  if available,  a web  address  of  the  operators  or the  traders  to  whom  they  have  supplied  the  relevant  products. </w:t>
      </w:r>
    </w:p>
    <w:p>
      <w:pPr>
        <w:numPr>
          <w:ilvl w:val="0"/>
          <w:numId w:val="39"/>
        </w:numPr>
        <w:bidi w:val="0"/>
        <w:spacing w:before="254" w:after="0" w:line="213" w:lineRule="atLeast"/>
        <w:ind w:right="3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SME  traders  shall  keep  the  information  referred  to  in  paragraph  3  for  at  least  five  years  from  the  date  of  the making  available  on  the  market  and  shall  provide  that  information  to  the  competent  authorities  upon  request. </w:t>
      </w:r>
    </w:p>
    <w:p>
      <w:pPr>
        <w:numPr>
          <w:ilvl w:val="0"/>
          <w:numId w:val="39"/>
        </w:numPr>
        <w:bidi w:val="0"/>
        <w:spacing w:before="272" w:after="0" w:line="213" w:lineRule="atLeast"/>
        <w:ind w:right="9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SME  traders  that  obtain  or  are  made  aware  of  relevant  new  information,  including  substantiated  concerns, indicating  that  a  relevant  product  that  they  have  made  available  on  the  market  is  at  risk  of  not  complying  with  this Regulation  shall immediately  inform  the competent  authorities  of the Member  States  in which  they made the relevant product  available  on  the  market  as  well  as  traders  to  whom  they  supplied  the  relevant  product. </w:t>
      </w:r>
    </w:p>
    <w:p>
      <w:pPr>
        <w:numPr>
          <w:ilvl w:val="0"/>
          <w:numId w:val="39"/>
        </w:numPr>
        <w:bidi w:val="0"/>
        <w:spacing w:before="272"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Traders, whether or not they are SMEs, shall offer all necessary assistance to the competent authorities to facilitate the  carrying  out  of  the  checks  under  Articles  18  and  19,  including  access  to  premises  and  the  making  available  of documentation  and  records. </w:t>
      </w:r>
    </w:p>
    <w:p>
      <w:pPr>
        <w:bidi w:val="0"/>
        <w:spacing w:before="125" w:after="0" w:line="341" w:lineRule="atLeast"/>
        <w:ind w:left="3997" w:right="3931" w:firstLine="819"/>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6</w:t>
      </w:r>
      <w:r>
        <w:rPr>
          <w:rFonts w:ascii="Times New Roman" w:eastAsia="Times New Roman" w:hAnsi="Times New Roman" w:cs="Times New Roman"/>
          <w:b/>
          <w:bCs/>
          <w:i w:val="0"/>
          <w:iCs w:val="0"/>
          <w:strike w:val="0"/>
          <w:color w:val="2E3238"/>
          <w:spacing w:val="0"/>
          <w:sz w:val="19"/>
          <w:szCs w:val="19"/>
          <w:u w:val="none"/>
          <w:rtl w:val="0"/>
        </w:rPr>
        <w:t xml:space="preserve">                Authorised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representatives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40"/>
        </w:numPr>
        <w:bidi w:val="0"/>
        <w:spacing w:before="110" w:after="0" w:line="213" w:lineRule="atLeast"/>
        <w:ind w:right="6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or traders may mandate an authorised representative to submit the due diligence statement pursuant to Article 4(2)  on  their  behalf.  In  such  cases,  the  operator  or  trader  shall  retain  responsibility  for  the  compliance  of  the relevant  product  with  Article 3. </w:t>
      </w:r>
    </w:p>
    <w:p>
      <w:pPr>
        <w:numPr>
          <w:ilvl w:val="0"/>
          <w:numId w:val="40"/>
        </w:numPr>
        <w:bidi w:val="0"/>
        <w:spacing w:before="272" w:after="0" w:line="213" w:lineRule="atLeast"/>
        <w:ind w:right="5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authorised  representative  shall,  upon  request,  provide  a  copy  of  the  mandate  in  an  official  language  of  the Union to the competent authorities and a copy in an official language of the Member State in which the due diligence statement  is  handled  or,  where  that  is  not  possible,  in  English. </w:t>
      </w:r>
    </w:p>
    <w:p>
      <w:pPr>
        <w:numPr>
          <w:ilvl w:val="0"/>
          <w:numId w:val="40"/>
        </w:numPr>
        <w:bidi w:val="0"/>
        <w:spacing w:before="271" w:after="0" w:line="214" w:lineRule="atLeast"/>
        <w:ind w:right="6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 operator that is a natural person or a microenterprise  may mandate the next operator or trader further down the  supply  chain  that  is  not  a  natural  person  or  a  microenterprise  to  act  as  an  authorised  representative.  Such  next operator or trader further down the supply chain shall not place or make available relevant products on the market or export them without submitting the due diligence statement pursuant to Article 4(2) on behalf of that operator. In such cases, the operator that is a natural person or a microenterprise shall retain responsibility for compliance of the relevant product  with  Article 3,  and  shall  communicate  to  that  next  operator  or  trader  further  down  the  supply  chain  all information  necessary  to  confirm  that  due  diligence  was  exercised  and  that  no  or  only  a  negligible  risk  was  found. </w:t>
      </w:r>
    </w:p>
    <w:p>
      <w:pPr>
        <w:bidi w:val="0"/>
        <w:spacing w:before="256" w:after="0" w:line="210" w:lineRule="atLeast"/>
        <w:ind w:left="4815"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7</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2348"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Placing  on  the  market  by  operators  established </w:t>
      </w:r>
      <w:r>
        <w:rPr>
          <w:rFonts w:ascii="Times New Roman" w:eastAsia="Times New Roman" w:hAnsi="Times New Roman" w:cs="Times New Roman"/>
          <w:b/>
          <w:bCs/>
          <w:i w:val="0"/>
          <w:iCs w:val="0"/>
          <w:strike w:val="0"/>
          <w:color w:val="2E3238"/>
          <w:spacing w:val="0"/>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in third  countries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110" w:after="0" w:line="213" w:lineRule="atLeast"/>
        <w:ind w:left="510" w:right="77"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a natural or legal person established outside the Union places relevant products on the market, the first natural or legal person established in the Union who makes such relevant products available on the market shall be deemed to be  an  operator  within  the  meaning  of  this  Regulation. </w:t>
      </w:r>
    </w:p>
    <w:p>
      <w:pPr>
        <w:bidi w:val="0"/>
        <w:spacing w:before="125" w:after="0" w:line="341" w:lineRule="atLeast"/>
        <w:ind w:left="4548" w:right="4483" w:firstLine="268"/>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8</w:t>
      </w:r>
      <w:r>
        <w:rPr>
          <w:rFonts w:ascii="Times New Roman" w:eastAsia="Times New Roman" w:hAnsi="Times New Roman" w:cs="Times New Roman"/>
          <w:b/>
          <w:bCs/>
          <w:i w:val="0"/>
          <w:iCs w:val="0"/>
          <w:strike w:val="0"/>
          <w:color w:val="2E3238"/>
          <w:spacing w:val="0"/>
          <w:sz w:val="19"/>
          <w:szCs w:val="19"/>
          <w:u w:val="none"/>
          <w:rtl w:val="0"/>
        </w:rPr>
        <w:t xml:space="preserve"> Due  diligence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41"/>
        </w:numPr>
        <w:bidi w:val="0"/>
        <w:spacing w:before="110" w:after="0" w:line="213" w:lineRule="atLeast"/>
        <w:ind w:right="11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Prior  to  placing  relevant  products  on  the  market  or  exporting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them,  operators  shall  exercise  due  diligence  with regard  to all  relevant  products  supplied  by  each  particular  supplier. </w:t>
      </w:r>
    </w:p>
    <w:p>
      <w:pPr>
        <w:numPr>
          <w:ilvl w:val="0"/>
          <w:numId w:val="41"/>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due  diligence  shall  include: </w:t>
      </w:r>
    </w:p>
    <w:p>
      <w:pPr>
        <w:numPr>
          <w:ilvl w:val="0"/>
          <w:numId w:val="42"/>
        </w:numPr>
        <w:bidi w:val="0"/>
        <w:spacing w:before="25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collection  of  information,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and  documents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needed  to  fulfil  the  requirements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out  in Article 9; </w:t>
      </w:r>
    </w:p>
    <w:p>
      <w:pPr>
        <w:numPr>
          <w:ilvl w:val="0"/>
          <w:numId w:val="42"/>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risk  assessment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measures  as referred  to  in Article 10;</w:t>
      </w:r>
    </w:p>
    <w:p>
      <w:pPr>
        <w:sectPr>
          <w:headerReference w:type="even" r:id="rId46"/>
          <w:headerReference w:type="default" r:id="rId47"/>
          <w:pgSz w:w="11906" w:h="16838"/>
          <w:pgMar w:top="1300" w:right="642" w:bottom="640" w:left="850" w:header="840" w:footer="708"/>
          <w:cols w:space="708"/>
          <w:titlePg w:val="0"/>
        </w:sectPr>
      </w:pPr>
    </w:p>
    <w:p>
      <w:pPr>
        <w:numPr>
          <w:ilvl w:val="0"/>
          <w:numId w:val="43"/>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risk  mitigation  measures  as referred  to  in Article 11. </w:t>
      </w:r>
    </w:p>
    <w:p>
      <w:pPr>
        <w:bidi w:val="0"/>
        <w:spacing w:before="205" w:after="0" w:line="340" w:lineRule="atLeast"/>
        <w:ind w:left="4040" w:right="3904" w:firstLine="776"/>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9</w:t>
      </w:r>
      <w:r>
        <w:rPr>
          <w:rFonts w:ascii="Times New Roman" w:eastAsia="Times New Roman" w:hAnsi="Times New Roman" w:cs="Times New Roman"/>
          <w:b/>
          <w:bCs/>
          <w:i w:val="0"/>
          <w:iCs w:val="0"/>
          <w:strike w:val="0"/>
          <w:color w:val="2E3238"/>
          <w:spacing w:val="0"/>
          <w:sz w:val="19"/>
          <w:szCs w:val="19"/>
          <w:u w:val="none"/>
          <w:rtl w:val="0"/>
        </w:rPr>
        <w:t xml:space="preserve">                Information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requirements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44"/>
        </w:numPr>
        <w:bidi w:val="0"/>
        <w:spacing w:before="110" w:after="0" w:line="213" w:lineRule="atLeast"/>
        <w:ind w:right="-3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collect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documents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which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demonstrate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comply with Article 3. For this purpose, the operator shall collect, organise and keep for five years from the date of the placing on the market or of the export of the relevant products the following information, accompanied by evidence, relating to each  relevant  product: </w:t>
      </w:r>
    </w:p>
    <w:p>
      <w:pPr>
        <w:numPr>
          <w:ilvl w:val="0"/>
          <w:numId w:val="45"/>
        </w:numPr>
        <w:bidi w:val="0"/>
        <w:spacing w:before="332" w:after="0" w:line="213" w:lineRule="atLeast"/>
        <w:ind w:right="-1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 description, including the trade name and type of the relevant products as well as, in the case of relevant products that  contain  or  have  been  made  using  wood,  the  common  name  of  the  species  and  their  full  scientific  name;  the product description shall include the list of relevant commodities or relevant products contained therein or used to make  those  products; </w:t>
      </w:r>
    </w:p>
    <w:p>
      <w:pPr>
        <w:numPr>
          <w:ilvl w:val="0"/>
          <w:numId w:val="45"/>
        </w:numPr>
        <w:bidi w:val="0"/>
        <w:spacing w:before="350"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quantity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relevant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relevant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entering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leaving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market,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quantity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to  be </w:t>
      </w:r>
      <w:bookmarkStart w:id="37" w:name="_page19_x-5.00_y282.89"/>
      <w:bookmarkEnd w:id="37"/>
      <w:r>
        <w:rPr>
          <w:rFonts w:ascii="Times New Roman" w:eastAsia="Times New Roman" w:hAnsi="Times New Roman" w:cs="Times New Roman"/>
          <w:b w:val="0"/>
          <w:bCs w:val="0"/>
          <w:i w:val="0"/>
          <w:iCs w:val="0"/>
          <w:strike w:val="0"/>
          <w:color w:val="2E3238"/>
          <w:spacing w:val="0"/>
          <w:sz w:val="19"/>
          <w:szCs w:val="19"/>
          <w:u w:val="none"/>
          <w:rtl w:val="0"/>
        </w:rPr>
        <w:t xml:space="preserve">expressed in kilograms of net mass and, where applicable, in the supplementary  unit set out in Annex I to Council Regulation (EEC) No </w:t>
      </w:r>
      <w:hyperlink w:anchor="_page19_x-5.00_y768.89" w:history="1">
        <w:r>
          <w:rPr>
            <w:rFonts w:ascii="Times New Roman" w:eastAsia="Times New Roman" w:hAnsi="Times New Roman" w:cs="Times New Roman"/>
            <w:b w:val="0"/>
            <w:bCs w:val="0"/>
            <w:i w:val="0"/>
            <w:iCs w:val="0"/>
            <w:strike w:val="0"/>
            <w:color w:val="2E3238"/>
            <w:spacing w:val="0"/>
            <w:sz w:val="19"/>
            <w:szCs w:val="19"/>
            <w:u w:val="none"/>
            <w:rtl w:val="0"/>
          </w:rPr>
          <w:t>2658/87 (</w:t>
        </w:r>
        <w:r>
          <w:rPr>
            <w:rFonts w:ascii="Times New Roman" w:eastAsia="Times New Roman" w:hAnsi="Times New Roman" w:cs="Times New Roman"/>
            <w:b w:val="0"/>
            <w:bCs w:val="0"/>
            <w:i w:val="0"/>
            <w:iCs w:val="0"/>
            <w:strike w:val="0"/>
            <w:color w:val="2E3238"/>
            <w:spacing w:val="0"/>
            <w:sz w:val="12"/>
            <w:szCs w:val="12"/>
            <w:u w:val="none"/>
            <w:rtl w:val="0"/>
          </w:rPr>
          <w:t>20</w:t>
        </w:r>
        <w:r>
          <w:rPr>
            <w:rFonts w:ascii="Times New Roman" w:eastAsia="Times New Roman" w:hAnsi="Times New Roman" w:cs="Times New Roman"/>
            <w:b w:val="0"/>
            <w:bCs w:val="0"/>
            <w:i w:val="0"/>
            <w:iCs w:val="0"/>
            <w:strike w:val="0"/>
            <w:color w:val="2E3238"/>
            <w:spacing w:val="0"/>
            <w:sz w:val="19"/>
            <w:szCs w:val="19"/>
            <w:u w:val="none"/>
            <w:rtl w:val="0"/>
          </w:rPr>
          <w:t>) against the indicated Harmonised System code, or, in all other cases, the quantity</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is to be expressed in net mass or, where applicable, volume or number of items; a supplementary unit is applicable where  it is defined  consistently  for all possible  subheadings  under  the Harmonised  System  code  referred  to in the due  diligence  statement; </w:t>
      </w:r>
    </w:p>
    <w:p>
      <w:pPr>
        <w:numPr>
          <w:ilvl w:val="0"/>
          <w:numId w:val="45"/>
        </w:numPr>
        <w:bidi w:val="0"/>
        <w:spacing w:before="352"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country  of  production  and,  where  relevant,  parts  thereof; </w:t>
      </w:r>
    </w:p>
    <w:p>
      <w:pPr>
        <w:numPr>
          <w:ilvl w:val="0"/>
          <w:numId w:val="45"/>
        </w:numPr>
        <w:bidi w:val="0"/>
        <w:spacing w:before="351" w:after="0" w:line="213" w:lineRule="atLeast"/>
        <w:ind w:right="-1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geolocation of all plots of land where the relevant commodities that the relevant product contains, or has been made using, were produced,  as well as the date or time range of production;  where a relevant product contains or has been made with relevant commodities produced on different plots of land, the geolocation of all different plots of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deforestation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forest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degradation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given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plots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automatically disqualify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those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plots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being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made available on the market or exported; for relevant products that contain or have been made using cattle, and for such relevant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fed  with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geolocation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all  the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establishments where the cattle were kept; for all other relevant products of Annex I, the geolocation shall refer to the plots of land; </w:t>
      </w:r>
    </w:p>
    <w:p>
      <w:pPr>
        <w:numPr>
          <w:ilvl w:val="0"/>
          <w:numId w:val="45"/>
        </w:numPr>
        <w:bidi w:val="0"/>
        <w:spacing w:before="350" w:after="0" w:line="213" w:lineRule="atLeast"/>
        <w:ind w:right="1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name, postal address and email address of any business or person from whom they have been supplied with the relevant  products; </w:t>
      </w:r>
    </w:p>
    <w:p>
      <w:pPr>
        <w:numPr>
          <w:ilvl w:val="0"/>
          <w:numId w:val="45"/>
        </w:numPr>
        <w:bidi w:val="0"/>
        <w:spacing w:before="349" w:after="0" w:line="213" w:lineRule="atLeast"/>
        <w:ind w:right="4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name, postal address and email address of any business, operator or trader to whom the relevant products have been  supplied; </w:t>
      </w:r>
    </w:p>
    <w:p>
      <w:pPr>
        <w:numPr>
          <w:ilvl w:val="0"/>
          <w:numId w:val="45"/>
        </w:numPr>
        <w:bidi w:val="0"/>
        <w:spacing w:before="353"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adequately  conclusive  and  verifiable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  relevant  products  are  deforestation-free; </w:t>
      </w:r>
    </w:p>
    <w:p>
      <w:pPr>
        <w:numPr>
          <w:ilvl w:val="0"/>
          <w:numId w:val="45"/>
        </w:numPr>
        <w:bidi w:val="0"/>
        <w:spacing w:before="350" w:after="0" w:line="213" w:lineRule="atLeast"/>
        <w:ind w:right="4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adequately  conclusive  and verifiable  information  that the relevant  commodities  have been  produced  in accordance with the relevant legislation of the country of production, including any arrangement conferring the right to use the respective  area  for  the  purposes  of  the  production  of  the  relevant  commodity. </w:t>
      </w:r>
    </w:p>
    <w:p>
      <w:pPr>
        <w:numPr>
          <w:ilvl w:val="0"/>
          <w:numId w:val="46"/>
        </w:numPr>
        <w:bidi w:val="0"/>
        <w:spacing w:before="332" w:after="0" w:line="213" w:lineRule="atLeast"/>
        <w:ind w:right="14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operator shall make available to the competent authorities upon request the information, documents and data collected  under  this  Article. </w:t>
      </w:r>
    </w:p>
    <w:p>
      <w:pPr>
        <w:bidi w:val="0"/>
        <w:spacing w:before="203" w:after="0" w:line="341" w:lineRule="atLeast"/>
        <w:ind w:left="4449" w:right="4324" w:firstLine="315"/>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10</w:t>
      </w:r>
      <w:r>
        <w:rPr>
          <w:rFonts w:ascii="Times New Roman" w:eastAsia="Times New Roman" w:hAnsi="Times New Roman" w:cs="Times New Roman"/>
          <w:b/>
          <w:bCs/>
          <w:i w:val="0"/>
          <w:iCs w:val="0"/>
          <w:strike w:val="0"/>
          <w:color w:val="2E3238"/>
          <w:spacing w:val="0"/>
          <w:sz w:val="19"/>
          <w:szCs w:val="19"/>
          <w:u w:val="none"/>
          <w:rtl w:val="0"/>
        </w:rPr>
        <w:t xml:space="preserve">      Risk  assessment</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47"/>
        </w:numPr>
        <w:bidi w:val="0"/>
        <w:spacing w:before="110" w:after="0" w:line="213" w:lineRule="atLeast"/>
        <w:ind w:right="4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verify  and analyse  the information  collected  in accordance  with Article 9 and any other  relevant documentation. On the basis of that information and documentation, the operators shall carry out a risk assessment to establish  whether  there is a risk that the relevant  products  intended  to be placed  on the market  or exported  are non- compliant.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export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them,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except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risk assessment  reveals  no  or only  a negligible  risk  that  the  relevant  products  are  non-compliant.</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38" w:name="_page19_x-5.00_y768.89"/>
      <w:bookmarkEnd w:id="38"/>
      <w:hyperlink w:anchor="_page19_x-5.00_y282.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20</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Council  Regulation  (EEC)  No  2658/87  of  23 July  1987  on the  tariff  and  statistical  nomenclature  and  on  the  Common  Customs </w:t>
      </w:r>
      <w:r>
        <w:pict>
          <v:shape id="PathGroup" o:spid="_x0000_s1034" type="#_x0000_t75" style="width:55pt;height:4pt;margin-top:9.13pt;margin-left:66pt;mso-position-horizontal-relative:page;position:absolute;z-index:-251649024" o:allowincell="f">
            <v:imagedata r:id="rId28"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Tariff  (OJ  L 256, 7.9.1987,  p. 1).</w:t>
      </w:r>
    </w:p>
    <w:p>
      <w:pPr>
        <w:sectPr>
          <w:headerReference w:type="even" r:id="rId48"/>
          <w:headerReference w:type="default" r:id="rId49"/>
          <w:pgSz w:w="11906" w:h="16838"/>
          <w:pgMar w:top="1300" w:right="688" w:bottom="640" w:left="850" w:header="840" w:footer="708"/>
          <w:cols w:space="708"/>
          <w:titlePg w:val="0"/>
        </w:sectPr>
      </w:pPr>
    </w:p>
    <w:p>
      <w:pPr>
        <w:numPr>
          <w:ilvl w:val="0"/>
          <w:numId w:val="48"/>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risk  assessment  shall  take  into  account,  in  particular,  the  following  criteria: </w:t>
      </w:r>
    </w:p>
    <w:p>
      <w:pPr>
        <w:numPr>
          <w:ilvl w:val="0"/>
          <w:numId w:val="49"/>
        </w:numPr>
        <w:bidi w:val="0"/>
        <w:spacing w:before="26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assignment  of  risk  to  the  relevant  country  of  production  or  parts  thereof  in  accordance  with  Article 29; </w:t>
      </w:r>
    </w:p>
    <w:p>
      <w:pPr>
        <w:numPr>
          <w:ilvl w:val="0"/>
          <w:numId w:val="49"/>
        </w:numPr>
        <w:bidi w:val="0"/>
        <w:spacing w:before="27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presence  of  forests  in the  country  of  production  or parts  thereof; </w:t>
      </w:r>
    </w:p>
    <w:p>
      <w:pPr>
        <w:numPr>
          <w:ilvl w:val="0"/>
          <w:numId w:val="49"/>
        </w:numPr>
        <w:bidi w:val="0"/>
        <w:spacing w:before="27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presence  of  indigenous  peoples  in  the  country  of  production  or parts  thereof; </w:t>
      </w:r>
    </w:p>
    <w:p>
      <w:pPr>
        <w:numPr>
          <w:ilvl w:val="0"/>
          <w:numId w:val="49"/>
        </w:numPr>
        <w:bidi w:val="0"/>
        <w:spacing w:before="274" w:after="0" w:line="214" w:lineRule="atLeast"/>
        <w:ind w:right="14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consultation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good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faith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indigenous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peoples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thereof; </w:t>
      </w:r>
    </w:p>
    <w:p>
      <w:pPr>
        <w:numPr>
          <w:ilvl w:val="0"/>
          <w:numId w:val="49"/>
        </w:numPr>
        <w:bidi w:val="0"/>
        <w:spacing w:before="275" w:after="0" w:line="213" w:lineRule="atLeast"/>
        <w:ind w:right="-3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existence of duly reasoned claims by indigenous peoples based on objective and verifiable information regarding the  use  or  ownership  of  the  area  used  for  the  purpose  of  producing  the  relevant  commodity; </w:t>
      </w:r>
    </w:p>
    <w:p>
      <w:pPr>
        <w:numPr>
          <w:ilvl w:val="0"/>
          <w:numId w:val="49"/>
        </w:numPr>
        <w:bidi w:val="0"/>
        <w:spacing w:before="27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prevalence  of  deforestation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forest  degradation  in  the  country  of  production  or  parts  thereof; </w:t>
      </w:r>
    </w:p>
    <w:p>
      <w:pPr>
        <w:numPr>
          <w:ilvl w:val="0"/>
          <w:numId w:val="49"/>
        </w:numPr>
        <w:bidi w:val="0"/>
        <w:spacing w:before="276" w:after="0" w:line="213" w:lineRule="atLeast"/>
        <w:ind w:right="2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source,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reliability,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validity,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links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documentation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Article 9(1); </w:t>
      </w:r>
    </w:p>
    <w:p>
      <w:pPr>
        <w:numPr>
          <w:ilvl w:val="0"/>
          <w:numId w:val="49"/>
        </w:numPr>
        <w:bidi w:val="0"/>
        <w:spacing w:before="276" w:after="0" w:line="213" w:lineRule="atLeast"/>
        <w:ind w:right="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concerns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relation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country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production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origin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level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corruption, prevalence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document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data  falsification,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lack  of  law  enforcement,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violations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international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human  rights, armed conflict or presence of sanctions imposed by the UN Security Council or the Council of the European Union; </w:t>
      </w:r>
    </w:p>
    <w:p>
      <w:pPr>
        <w:numPr>
          <w:ilvl w:val="0"/>
          <w:numId w:val="49"/>
        </w:numPr>
        <w:bidi w:val="0"/>
        <w:spacing w:before="276" w:after="0" w:line="213" w:lineRule="atLeast"/>
        <w:ind w:right="2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complexity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supply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chain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stage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processing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particular difficulties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connecting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plot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land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were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produced; </w:t>
      </w:r>
    </w:p>
    <w:p>
      <w:pPr>
        <w:numPr>
          <w:ilvl w:val="0"/>
          <w:numId w:val="49"/>
        </w:numPr>
        <w:bidi w:val="0"/>
        <w:spacing w:before="276" w:after="0" w:line="213" w:lineRule="atLeast"/>
        <w:ind w:right="4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risk of circumvention of this Regulation or of mixing with relevant products of unknown origin or produced in areas  where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forest  degradation  has  occurred  or is occurring; </w:t>
      </w:r>
    </w:p>
    <w:p>
      <w:pPr>
        <w:numPr>
          <w:ilvl w:val="0"/>
          <w:numId w:val="49"/>
        </w:numPr>
        <w:bidi w:val="0"/>
        <w:spacing w:before="276" w:after="0" w:line="213" w:lineRule="atLeast"/>
        <w:ind w:right="6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conclusions of the meetings of the Commission expert groups supporting the implementation of this Regulation, as published  in  the  Commission’s  expert  group  register; </w:t>
      </w:r>
    </w:p>
    <w:p>
      <w:pPr>
        <w:numPr>
          <w:ilvl w:val="0"/>
          <w:numId w:val="49"/>
        </w:numPr>
        <w:bidi w:val="0"/>
        <w:spacing w:before="276" w:after="0" w:line="213" w:lineRule="atLeast"/>
        <w:ind w:right="13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substantiated concerns submitted under Article 31, and information on the history of non-compliance  of operators or traders  along  the  relevant  supply  chain  with  this  Regulation; </w:t>
      </w:r>
    </w:p>
    <w:p>
      <w:pPr>
        <w:numPr>
          <w:ilvl w:val="0"/>
          <w:numId w:val="49"/>
        </w:numPr>
        <w:bidi w:val="0"/>
        <w:spacing w:before="27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any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would  point  to a  risk  that  the  relevant  products  are non-compliant; </w:t>
      </w:r>
    </w:p>
    <w:p>
      <w:pPr>
        <w:numPr>
          <w:ilvl w:val="0"/>
          <w:numId w:val="49"/>
        </w:numPr>
        <w:bidi w:val="0"/>
        <w:spacing w:before="276" w:after="0" w:line="213" w:lineRule="atLeast"/>
        <w:ind w:right="7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complementary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compliance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which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supplied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bookmarkStart w:id="39" w:name="_page20_x-5.00_y537.89"/>
      <w:bookmarkEnd w:id="39"/>
      <w:r>
        <w:rPr>
          <w:rFonts w:ascii="Times New Roman" w:eastAsia="Times New Roman" w:hAnsi="Times New Roman" w:cs="Times New Roman"/>
          <w:b w:val="0"/>
          <w:bCs w:val="0"/>
          <w:i w:val="0"/>
          <w:iCs w:val="0"/>
          <w:strike w:val="0"/>
          <w:color w:val="2E3238"/>
          <w:spacing w:val="0"/>
          <w:sz w:val="19"/>
          <w:szCs w:val="19"/>
          <w:u w:val="none"/>
          <w:rtl w:val="0"/>
        </w:rPr>
        <w:t xml:space="preserve">certification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third-party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verified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schemes,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voluntary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schemes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recognised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under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30(5)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Directive(EU)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2018/2001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7"/>
          <w:sz w:val="19"/>
          <w:szCs w:val="19"/>
          <w:u w:val="none"/>
          <w:rtl w:val="0"/>
        </w:rPr>
        <w:t xml:space="preserve"> </w:t>
      </w:r>
      <w:hyperlink w:anchor="_page20_x-5.00_y768.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21</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provided</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3" w:after="0" w:line="210" w:lineRule="atLeast"/>
        <w:ind w:left="859"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that  the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meets  the  requirements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out  in Article 9 of  this  Regulation. </w:t>
      </w:r>
    </w:p>
    <w:p>
      <w:pPr>
        <w:numPr>
          <w:ilvl w:val="0"/>
          <w:numId w:val="50"/>
        </w:numPr>
        <w:bidi w:val="0"/>
        <w:spacing w:before="257" w:after="0" w:line="213" w:lineRule="atLeast"/>
        <w:ind w:right="-5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Wood products which fall within the scope of Regulation (EC) No 2173/2005 that are covered by a valid FLEGT license  from  an  operational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licensing  scheme  shall  be  deemed  to  comply  with  Article 3,  point  (b),  of  this  Regulation. </w:t>
      </w:r>
    </w:p>
    <w:p>
      <w:pPr>
        <w:numPr>
          <w:ilvl w:val="0"/>
          <w:numId w:val="50"/>
        </w:numPr>
        <w:bidi w:val="0"/>
        <w:spacing w:before="273" w:after="0" w:line="214" w:lineRule="atLeast"/>
        <w:ind w:right="2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operators shall document and review the risk assessments at least on an annual basis and make them available to the competent  authorities  upon  request.  Operators  shall be able to demonstrate  how the information  gathered  was checked  against  the  risk  assessment  criteria  set  out  in  paragraph  2 and  how  they  determined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degree  of  risk. </w:t>
      </w:r>
    </w:p>
    <w:p>
      <w:pPr>
        <w:bidi w:val="0"/>
        <w:spacing w:before="128" w:after="0" w:line="341" w:lineRule="atLeast"/>
        <w:ind w:left="4480" w:right="4345" w:firstLine="285"/>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11</w:t>
      </w:r>
      <w:r>
        <w:rPr>
          <w:rFonts w:ascii="Times New Roman" w:eastAsia="Times New Roman" w:hAnsi="Times New Roman" w:cs="Times New Roman"/>
          <w:b/>
          <w:bCs/>
          <w:i w:val="0"/>
          <w:iCs w:val="0"/>
          <w:strike w:val="0"/>
          <w:color w:val="2E3238"/>
          <w:spacing w:val="0"/>
          <w:sz w:val="19"/>
          <w:szCs w:val="19"/>
          <w:u w:val="none"/>
          <w:rtl w:val="0"/>
        </w:rPr>
        <w:t xml:space="preserve"> Risk  mitigation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51"/>
        </w:numPr>
        <w:bidi w:val="0"/>
        <w:spacing w:before="110"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Except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assessment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10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reveals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only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negligible risk that the relevant products are non-compliant, the operator shall, prior to placing the relevant products on the market or exporting them, adopt risk mitigation procedures and measures that are adequate to achieve no or only a negligible  risk.  Such  procedures  and  measures  may  include  any  of  the  following: </w:t>
      </w:r>
    </w:p>
    <w:p>
      <w:pPr>
        <w:numPr>
          <w:ilvl w:val="0"/>
          <w:numId w:val="52"/>
        </w:numPr>
        <w:bidi w:val="0"/>
        <w:spacing w:before="26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requiring  additional  information,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data  or documents;</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40" w:name="_page20_x-5.00_y768.89"/>
      <w:bookmarkEnd w:id="40"/>
      <w:hyperlink w:anchor="_page20_x-5.00_y537.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21</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(EU) 2018/2001  of the European Parliament and of the Council of 11 December 2018 on the promotion  of the use of </w:t>
      </w:r>
      <w:r>
        <w:pict>
          <v:shape id="PathGroup" o:spid="_x0000_s1035" type="#_x0000_t75" style="width:55pt;height:4pt;margin-top:9.13pt;margin-left:66pt;mso-position-horizontal-relative:page;position:absolute;z-index:-251648000" o:allowincell="f">
            <v:imagedata r:id="rId28"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energy  from  renewable  sources  (OJ  L 328, 21.12.2018,  p. 82).</w:t>
      </w:r>
    </w:p>
    <w:p>
      <w:pPr>
        <w:sectPr>
          <w:headerReference w:type="even" r:id="rId50"/>
          <w:headerReference w:type="default" r:id="rId51"/>
          <w:pgSz w:w="11906" w:h="16838"/>
          <w:pgMar w:top="1300" w:right="689" w:bottom="640" w:left="850" w:header="840" w:footer="708"/>
          <w:cols w:space="708"/>
          <w:titlePg w:val="0"/>
        </w:sectPr>
      </w:pPr>
    </w:p>
    <w:p>
      <w:pPr>
        <w:numPr>
          <w:ilvl w:val="0"/>
          <w:numId w:val="53"/>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carrying  out  independent </w:t>
      </w:r>
      <w:r>
        <w:rPr>
          <w:rFonts w:ascii="Times New Roman" w:eastAsia="Times New Roman" w:hAnsi="Times New Roman" w:cs="Times New Roman"/>
          <w:b w:val="0"/>
          <w:bCs w:val="0"/>
          <w:i w:val="0"/>
          <w:iCs w:val="0"/>
          <w:strike w:val="0"/>
          <w:color w:val="2E3238"/>
          <w:spacing w:val="1"/>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surveys  or  audits; </w:t>
      </w:r>
    </w:p>
    <w:p>
      <w:pPr>
        <w:numPr>
          <w:ilvl w:val="0"/>
          <w:numId w:val="53"/>
        </w:numPr>
        <w:bidi w:val="0"/>
        <w:spacing w:before="38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taking  other  measures  pertaining  to  information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requirements </w:t>
      </w:r>
      <w:r>
        <w:rPr>
          <w:rFonts w:ascii="Times New Roman" w:eastAsia="Times New Roman" w:hAnsi="Times New Roman" w:cs="Times New Roman"/>
          <w:b w:val="0"/>
          <w:bCs w:val="0"/>
          <w:i w:val="0"/>
          <w:iCs w:val="0"/>
          <w:strike w:val="0"/>
          <w:color w:val="2E3238"/>
          <w:spacing w:val="1"/>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set  out  in  Article 9. </w:t>
      </w:r>
    </w:p>
    <w:p>
      <w:pPr>
        <w:bidi w:val="0"/>
        <w:spacing w:before="366" w:after="0" w:line="213" w:lineRule="atLeast"/>
        <w:ind w:left="510" w:right="78" w:firstLine="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Such  procedures  and  measures  may  also  include  supporting  compliance  with  this  Regulation  by  that  operator’s suppliers,  in  particular  smallholders,  through  capacity  building  and  investments. </w:t>
      </w:r>
    </w:p>
    <w:p>
      <w:pPr>
        <w:numPr>
          <w:ilvl w:val="0"/>
          <w:numId w:val="54"/>
        </w:numPr>
        <w:bidi w:val="0"/>
        <w:spacing w:before="367"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have  in  place  adequate  and  proportionate  policies,  controls  and  procedures  to  mitigate  and manage effectively  the risks of non-compliance  of relevant products identified.  Those policies, controls and procedures shall  include: </w:t>
      </w:r>
    </w:p>
    <w:p>
      <w:pPr>
        <w:numPr>
          <w:ilvl w:val="0"/>
          <w:numId w:val="55"/>
        </w:numPr>
        <w:bidi w:val="0"/>
        <w:spacing w:before="366" w:after="0" w:line="213" w:lineRule="atLeast"/>
        <w:ind w:right="12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model  risk  management  practices,  reporting,  record-keeping,  internal  control  and  compliance  management, including  the  appointment  of  a  compliance  officer  at  management  level  for  non-SME  operators; </w:t>
      </w:r>
    </w:p>
    <w:p>
      <w:pPr>
        <w:numPr>
          <w:ilvl w:val="0"/>
          <w:numId w:val="55"/>
        </w:numPr>
        <w:bidi w:val="0"/>
        <w:spacing w:before="386" w:after="0" w:line="213" w:lineRule="atLeast"/>
        <w:ind w:right="3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 independent audit function to check the internal policies, controls and procedures referred to in point (a) for all non-SME  operators. </w:t>
      </w:r>
    </w:p>
    <w:p>
      <w:pPr>
        <w:numPr>
          <w:ilvl w:val="0"/>
          <w:numId w:val="56"/>
        </w:numPr>
        <w:bidi w:val="0"/>
        <w:spacing w:before="366" w:after="0" w:line="213" w:lineRule="atLeast"/>
        <w:ind w:right="5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decisions  on  risk  mitigation  procedures  and  measures  shall  be  documented,  reviewed  at  least  on  an  annual basis  and  made  available  by  the  operators  to  the  competent  authorities  upon  request.  Operators  shall  be  able  to demonstrate  how  decisions  on  risk  mitigation  procedures  and  measures  were  taken. </w:t>
      </w:r>
    </w:p>
    <w:p>
      <w:pPr>
        <w:bidi w:val="0"/>
        <w:spacing w:before="370"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12</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1435"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Establishment  and  maintenance  of due  diligence  systems,  reporting  and  record  keeping</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57"/>
        </w:numPr>
        <w:bidi w:val="0"/>
        <w:spacing w:before="110"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order  to  exercise  due  diligence  in  accordance  with  Article 8,  operators  shall  establish  and  keep  up  to  date  a framework of procedures and measures to ensure that the relevant products they place on the market or export comply with  Article 3 (‘due  diligence  system’). </w:t>
      </w:r>
    </w:p>
    <w:p>
      <w:pPr>
        <w:numPr>
          <w:ilvl w:val="0"/>
          <w:numId w:val="57"/>
        </w:numPr>
        <w:bidi w:val="0"/>
        <w:spacing w:before="385"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shall  review  the  due  diligence  system  at  least  once  a  year.  Where  operators  become  aware  of  new developments  which  could  influence  the  due  diligence  system,  they  shall  update  the  due  diligence  system  to  take account  of  those  developments.  Operators  shall  keep  a  record  of  such  updates  in  their  due  diligence  systems  for  five years </w:t>
      </w:r>
    </w:p>
    <w:p>
      <w:pPr>
        <w:numPr>
          <w:ilvl w:val="0"/>
          <w:numId w:val="57"/>
        </w:numPr>
        <w:bidi w:val="0"/>
        <w:spacing w:before="386" w:after="0" w:line="213" w:lineRule="atLeast"/>
        <w:ind w:right="-4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who do not fall within the categories of SMEs, including microenterprises,  or natural persons shall, on an annual basis, publicly report as widely as possible, including via the internet, on their due diligence system, including on the steps taken by them to fulfil their obligations as set out in Article 8. Operators who fall also within the scope of other  Union  legal  acts  that  lay  down  requirements  regarding  value  chain  due  diligence  may  fulfil  their  reporting obligations  under  this  paragraph  by  including  the  required  information  when  reporting  in  the  context  of  those  other Union  legal  acts. </w:t>
      </w:r>
    </w:p>
    <w:p>
      <w:pPr>
        <w:numPr>
          <w:ilvl w:val="0"/>
          <w:numId w:val="57"/>
        </w:numPr>
        <w:bidi w:val="0"/>
        <w:spacing w:before="386" w:after="0" w:line="213" w:lineRule="atLeast"/>
        <w:ind w:right="10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Union  data  protection  legislation,  the reporting  as referred  to in paragraph  3 shall include the  following  information  concerning  relevant  commodities  and  relevant  products: </w:t>
      </w:r>
    </w:p>
    <w:p>
      <w:pPr>
        <w:numPr>
          <w:ilvl w:val="0"/>
          <w:numId w:val="58"/>
        </w:numPr>
        <w:bidi w:val="0"/>
        <w:spacing w:before="36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  summary  of  the  information  referred  to  in  Article 9(1),  points  (a),  (b)  and  (c); </w:t>
      </w:r>
    </w:p>
    <w:p>
      <w:pPr>
        <w:numPr>
          <w:ilvl w:val="0"/>
          <w:numId w:val="58"/>
        </w:numPr>
        <w:bidi w:val="0"/>
        <w:spacing w:before="386" w:after="0" w:line="213" w:lineRule="atLeast"/>
        <w:ind w:right="11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conclusions  of  the  risk  assessment  carried  out  pursuant  to  Article 10  and  measures  undertaken  pursuant  to Article 11  and  a  description  of  the  information  and  evidence  obtained  and  used  to  assess  the  risk; </w:t>
      </w:r>
    </w:p>
    <w:p>
      <w:pPr>
        <w:numPr>
          <w:ilvl w:val="0"/>
          <w:numId w:val="58"/>
        </w:numPr>
        <w:bidi w:val="0"/>
        <w:spacing w:before="385" w:after="0" w:line="213" w:lineRule="atLeast"/>
        <w:ind w:right="4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applicable,  a description  of the process  of consultation  of indigenous  peoples,  local communities  and other customary tenure rights holders or of the civil society organisations that are present in the area of production of the relevant  commodities  and  relevant  products. </w:t>
      </w:r>
    </w:p>
    <w:p>
      <w:pPr>
        <w:numPr>
          <w:ilvl w:val="0"/>
          <w:numId w:val="59"/>
        </w:numPr>
        <w:bidi w:val="0"/>
        <w:spacing w:before="367" w:after="0" w:line="213" w:lineRule="atLeast"/>
        <w:ind w:right="-3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Operators shall keep for at least five years all documentation related to due diligence, such as all records, measures and procedures pursuant to Article 8. They shall make that documentation available to the competent authorities upon request.</w:t>
      </w:r>
    </w:p>
    <w:p>
      <w:pPr>
        <w:sectPr>
          <w:headerReference w:type="even" r:id="rId52"/>
          <w:headerReference w:type="default" r:id="rId53"/>
          <w:pgSz w:w="11906" w:h="16838"/>
          <w:pgMar w:top="1300" w:right="688" w:bottom="640" w:left="850" w:header="840" w:footer="708"/>
          <w:cols w:space="708"/>
          <w:titlePg w:val="0"/>
        </w:sectPr>
      </w:pPr>
    </w:p>
    <w:p>
      <w:pPr>
        <w:bidi w:val="0"/>
        <w:spacing w:before="144" w:after="0" w:line="341" w:lineRule="atLeast"/>
        <w:ind w:left="4113" w:right="4022" w:firstLine="65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13</w:t>
      </w:r>
      <w:r>
        <w:rPr>
          <w:rFonts w:ascii="Times New Roman" w:eastAsia="Times New Roman" w:hAnsi="Times New Roman" w:cs="Times New Roman"/>
          <w:b/>
          <w:bCs/>
          <w:i w:val="0"/>
          <w:iCs w:val="0"/>
          <w:strike w:val="0"/>
          <w:color w:val="2E3238"/>
          <w:spacing w:val="0"/>
          <w:sz w:val="19"/>
          <w:szCs w:val="19"/>
          <w:u w:val="none"/>
          <w:rtl w:val="0"/>
        </w:rPr>
        <w:t xml:space="preserve">              Simplified  due  diligence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60"/>
        </w:numPr>
        <w:bidi w:val="0"/>
        <w:spacing w:before="110" w:after="0" w:line="213" w:lineRule="atLeast"/>
        <w:ind w:right="2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When  placing  relevant  products  on  the  market  or  exporting  them,  operators  shall  not  be  required  to  fulfil  the obligations under Articles 10 and 11 where, after having assessed the complexity of the relevant supply chain and the risk of circumvention of this Regulation or the risk of mixing with products of unknown origin or origin in high-risk or standard-risk countries or parts thereof, they have ascertained that all relevant commodities and relevant products have been produced in countries or parts thereof that were classified as low risk in accordance with Article 29. In such cases, the operator shall make available to the competent  authority  upon request relevant documentation  demonstrating  that there is a negligible risk of circumvention of this Regulation or of mixing with products of unknown origin or origin in high-risk  or standard-risk  countries  or parts  thereof. </w:t>
      </w:r>
    </w:p>
    <w:p>
      <w:pPr>
        <w:numPr>
          <w:ilvl w:val="0"/>
          <w:numId w:val="60"/>
        </w:numPr>
        <w:bidi w:val="0"/>
        <w:spacing w:before="333" w:after="0" w:line="213" w:lineRule="atLeast"/>
        <w:ind w:right="10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Notwithstanding paragraph 1 of this Article, if the operator obtains or is made aware of any relevant information, including  as  a  result  of  the  assessment  carried  out  under  paragraph  1  of  this  Article,  and  including  substantiated concerns  submitted  under  Article 31,  that  would  point  to  a  risk  that  the  relevant  products  do  not  comply  with  this Regulation  or  that  this  Regulation  is  circumvented,  the  operator  shall  fulfil  all  of  the  obligations  under Articles  10  and  11  and  shall  immediately  communicate  any  relevant  information  to the  competent  authority. </w:t>
      </w:r>
    </w:p>
    <w:p>
      <w:pPr>
        <w:numPr>
          <w:ilvl w:val="0"/>
          <w:numId w:val="60"/>
        </w:numPr>
        <w:bidi w:val="0"/>
        <w:spacing w:before="333" w:after="0" w:line="213" w:lineRule="atLeast"/>
        <w:ind w:right="9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Where  a competent  authority  is made aware  of any information  that would  point to a risk of circumvention  of this Regulation,  including  in cases  in which  relevant  commodities  or relevant  products  produced  in a standard-risk  or high-risk country or a part thereof are subsequently processed in a low-risk country or a part thereof from where they are placed on or leave the market, the competent authority shall take immediate action in accordance with Article 17(1) and,  where  necessary,  adopt  interim  measures  in  accordance  with  Article 23.</w:t>
      </w:r>
    </w:p>
    <w:p>
      <w:pPr>
        <w:bidi w:val="0"/>
        <w:spacing w:before="336" w:after="0" w:line="187" w:lineRule="atLeast"/>
        <w:ind w:left="4709"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3</w:t>
      </w:r>
      <w:r>
        <w:rPr>
          <w:rFonts w:ascii="Times New Roman" w:eastAsia="Times New Roman" w:hAnsi="Times New Roman" w:cs="Times New Roman"/>
          <w:b/>
          <w:bCs/>
          <w:i w:val="0"/>
          <w:iCs w:val="0"/>
          <w:strike w:val="0"/>
          <w:color w:val="2E3238"/>
          <w:spacing w:val="0"/>
          <w:sz w:val="17"/>
          <w:szCs w:val="17"/>
          <w:u w:val="none"/>
          <w:rtl w:val="0"/>
        </w:rPr>
        <w:t xml:space="preserve"> </w:t>
      </w:r>
    </w:p>
    <w:p>
      <w:pPr>
        <w:bidi w:val="0"/>
        <w:spacing w:before="138" w:after="0" w:line="187" w:lineRule="atLeast"/>
        <w:ind w:left="2077"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bCs/>
          <w:i w:val="0"/>
          <w:iCs w:val="0"/>
          <w:strike w:val="0"/>
          <w:color w:val="2E3238"/>
          <w:spacing w:val="0"/>
          <w:sz w:val="17"/>
          <w:szCs w:val="17"/>
          <w:u w:val="none"/>
          <w:rtl w:val="0"/>
        </w:rPr>
        <w:t>OBLIGATIONS  OF  MEMBER  STATES  AND  THEIR  COMPETENT  AUTHORITIES</w:t>
      </w:r>
    </w:p>
    <w:p>
      <w:pPr>
        <w:bidi w:val="0"/>
        <w:spacing w:before="115" w:after="0" w:line="341" w:lineRule="atLeast"/>
        <w:ind w:left="4185" w:right="4113" w:firstLine="579"/>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14</w:t>
      </w:r>
      <w:r>
        <w:rPr>
          <w:rFonts w:ascii="Times New Roman" w:eastAsia="Times New Roman" w:hAnsi="Times New Roman" w:cs="Times New Roman"/>
          <w:b/>
          <w:bCs/>
          <w:i w:val="0"/>
          <w:iCs w:val="0"/>
          <w:strike w:val="0"/>
          <w:color w:val="2E3238"/>
          <w:spacing w:val="0"/>
          <w:sz w:val="19"/>
          <w:szCs w:val="19"/>
          <w:u w:val="none"/>
          <w:rtl w:val="0"/>
        </w:rPr>
        <w:t xml:space="preserve">            Competent  authorities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61"/>
        </w:numPr>
        <w:bidi w:val="0"/>
        <w:spacing w:before="110" w:after="0" w:line="213" w:lineRule="atLeast"/>
        <w:ind w:right="7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shall designate one or more competent  authorities responsible  for fulfilling the obligations  arising from  this  Regulation. </w:t>
      </w:r>
    </w:p>
    <w:p>
      <w:pPr>
        <w:numPr>
          <w:ilvl w:val="0"/>
          <w:numId w:val="61"/>
        </w:numPr>
        <w:bidi w:val="0"/>
        <w:spacing w:before="334" w:after="0" w:line="213" w:lineRule="atLeast"/>
        <w:ind w:right="8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30 December  2023  at  the  latest,  Member  States  shall  inform  the  Commission  of  the  names,  addresses  and contact  details  of  the  competent  authorities  referred  to  in  paragraph  1.  Member  States  shall  inform  the  Commission without  undue  delay  of  any  changes  to  that  information. </w:t>
      </w:r>
    </w:p>
    <w:p>
      <w:pPr>
        <w:numPr>
          <w:ilvl w:val="0"/>
          <w:numId w:val="61"/>
        </w:numPr>
        <w:bidi w:val="0"/>
        <w:spacing w:before="332" w:after="0" w:line="214" w:lineRule="atLeast"/>
        <w:ind w:right="9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make the list of the competent authorities  publicly available on its website without undue delay.  The  Commission  shall  regularly  update  the  list,  based  on  updates  received  from  Member  States. </w:t>
      </w:r>
    </w:p>
    <w:p>
      <w:pPr>
        <w:numPr>
          <w:ilvl w:val="0"/>
          <w:numId w:val="61"/>
        </w:numPr>
        <w:bidi w:val="0"/>
        <w:spacing w:before="334" w:after="0" w:line="213" w:lineRule="atLeast"/>
        <w:ind w:right="13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shall ensure that the competent authorities have adequate powers, functional independence and the resources  to  fulfil  the  obligations  set  out  in  this  Chapter. </w:t>
      </w:r>
    </w:p>
    <w:p>
      <w:pPr>
        <w:bidi w:val="0"/>
        <w:spacing w:before="318"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15</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2618"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Technical  assistance,  guidance  and  exchange  of information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62"/>
        </w:numPr>
        <w:bidi w:val="0"/>
        <w:spacing w:before="109"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the operators’ obligation to exercise due diligence as set out in Article 8, Member States may provide  technical  and  other  assistance  and  guidance  to  operators.  The  Commission,  in  collaboration  with  Member States,  may  also  provide,  where  necessary,  guidance  to  operators  and  competent  authorities.  Technical  and  other assistance  and  guidance  shall  take  into  account  the  situation  of  SMEs,  including  microenterprises,  and  natural persons,  in  order  to  facilitate  compliance  with  this  Regulation,  including  as  regards  the  conversion  of  data  from relevant  systems  to  identify  the  geolocation  in  the  information  system  as  referred  to  in  Article 33.  It  shall  also  take into  account  relevant  current  and  future  Union  legal  acts  containing  due  diligence  obligations. </w:t>
      </w:r>
    </w:p>
    <w:p>
      <w:pPr>
        <w:numPr>
          <w:ilvl w:val="0"/>
          <w:numId w:val="62"/>
        </w:numPr>
        <w:bidi w:val="0"/>
        <w:spacing w:before="333" w:after="0" w:line="213" w:lineRule="atLeast"/>
        <w:ind w:right="3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shall facilitate the exchange and dissemination of relevant information, in particular with a view to assisting operators in risk assessment as set out in Article 10, and on best practices regarding the implementation of this Regulation. </w:t>
      </w:r>
    </w:p>
    <w:p>
      <w:pPr>
        <w:numPr>
          <w:ilvl w:val="0"/>
          <w:numId w:val="62"/>
        </w:numPr>
        <w:bidi w:val="0"/>
        <w:spacing w:before="333" w:after="0" w:line="213" w:lineRule="atLeast"/>
        <w:ind w:right="16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competent  authorities  and  the  Commission  shall  continuously  monitor  and  exchange  information  on  any significant  change  in  the  pattern  of  trade  of  relevant  products  that  can  lead  to  the  circumvention  of  this  Regulation.</w:t>
      </w:r>
    </w:p>
    <w:p>
      <w:pPr>
        <w:sectPr>
          <w:headerReference w:type="even" r:id="rId54"/>
          <w:headerReference w:type="default" r:id="rId55"/>
          <w:pgSz w:w="11906" w:h="16838"/>
          <w:pgMar w:top="1300" w:right="642" w:bottom="640" w:left="850" w:header="840" w:footer="708"/>
          <w:cols w:space="708"/>
          <w:titlePg w:val="0"/>
        </w:sectPr>
      </w:pPr>
    </w:p>
    <w:p>
      <w:pPr>
        <w:numPr>
          <w:ilvl w:val="0"/>
          <w:numId w:val="63"/>
        </w:numPr>
        <w:bidi w:val="0"/>
        <w:spacing w:before="273" w:after="0" w:line="213" w:lineRule="atLeast"/>
        <w:ind w:right="11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Assistance  shall  be  provided  in  a  manner  which  does  not  compromise  the  independence,  legal  obligations  or responsibilities  of  competent  authorities  in  enforcing  this  Regulation. </w:t>
      </w:r>
    </w:p>
    <w:p>
      <w:pPr>
        <w:numPr>
          <w:ilvl w:val="0"/>
          <w:numId w:val="63"/>
        </w:numPr>
        <w:bidi w:val="0"/>
        <w:spacing w:before="353" w:after="0" w:line="214" w:lineRule="atLeast"/>
        <w:ind w:right="7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may facilitate  the harmonised  implementation  of this Regulation,  by issuing  relevant  guidelines and  by  promoting  adequate  exchange  of  information,  coordination  and  cooperation  between  competent  authorities, between  competent  authorities  and  customs  authorities,  and  between  competent  authorities  and  the  Commission. </w:t>
      </w:r>
    </w:p>
    <w:p>
      <w:pPr>
        <w:bidi w:val="0"/>
        <w:spacing w:before="207" w:after="0" w:line="341" w:lineRule="atLeast"/>
        <w:ind w:left="3822" w:right="3712" w:firstLine="94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16</w:t>
      </w:r>
      <w:r>
        <w:rPr>
          <w:rFonts w:ascii="Times New Roman" w:eastAsia="Times New Roman" w:hAnsi="Times New Roman" w:cs="Times New Roman"/>
          <w:b/>
          <w:bCs/>
          <w:i w:val="0"/>
          <w:iCs w:val="0"/>
          <w:strike w:val="0"/>
          <w:color w:val="2E3238"/>
          <w:spacing w:val="0"/>
          <w:sz w:val="19"/>
          <w:szCs w:val="19"/>
          <w:u w:val="none"/>
          <w:rtl w:val="0"/>
        </w:rPr>
        <w:t xml:space="preserve">                    Obligation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to  carry  out  checks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64"/>
        </w:numPr>
        <w:bidi w:val="0"/>
        <w:spacing w:before="110" w:after="0" w:line="213" w:lineRule="atLeast"/>
        <w:ind w:right="10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competent authorities  shall carry out checks within their territory to establish whether operators and traders established  in  the  Union  comply  with  this  Regulation.  The  competent  authorities  shall  carry  out  checks  within  their territory  to  establish  whether  the  relevant  products  that  the  operator  or  trader  has  placed  or  intends  to  place  on  the market,  has  made  available  or  intends  to make  available  on  the  market  or  has  exported  or  intends  to export  comply with  this  Regulation. </w:t>
      </w:r>
    </w:p>
    <w:p>
      <w:pPr>
        <w:numPr>
          <w:ilvl w:val="0"/>
          <w:numId w:val="64"/>
        </w:numPr>
        <w:bidi w:val="0"/>
        <w:spacing w:before="35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checks referred to in paragraph 1 of this Article shall be carried out in accordance  with Articles 18 and 19. </w:t>
      </w:r>
    </w:p>
    <w:p>
      <w:pPr>
        <w:numPr>
          <w:ilvl w:val="0"/>
          <w:numId w:val="64"/>
        </w:numPr>
        <w:bidi w:val="0"/>
        <w:spacing w:before="355" w:after="0" w:line="213" w:lineRule="atLeast"/>
        <w:ind w:right="5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competent  authorities  shall  use  a  risk-based  approach  to  identify  the  checks  to  be  carried  out.  Risk  criteria shall be identified based on an analysis of risks of non-compliance with this Regulation, taking into account in particular the  relevant  commodities,  the  complexity  and  the  length  of  supply  chains,  including  whether  mixing  of  relevant products  is  involved,  and  the  stage  of  processing  of  the  relevant  product,  whether  the  plots  of  land  concerned  are adjacent  to  forests,  the  assignment  of  risk  to  countries  or  parts  thereof  in  accordance  with  Article 29,  paying  special attention to the situation of countries or parts thereof classified as high risk, the history of non-compliance of operators or traders  with this Regulation,  risks of circumvention,  and any other  relevant  information.  The analysis  of risks shall build  on  the  information  referred  to  in  Articles  9  and  10  and  may  build  on  the  information  contained  in  the information  system  referred  to  in  Article 33,  and  may  be  supported  by  other  relevant  sources  such  as  monitoring data,  risk  profiles  from  international  organisations,  substantiated  concerns  submitted  under  Article 31,  or  the conclusions  of  Commission  expert  group  meetings. </w:t>
      </w:r>
    </w:p>
    <w:p>
      <w:pPr>
        <w:numPr>
          <w:ilvl w:val="0"/>
          <w:numId w:val="64"/>
        </w:numPr>
        <w:bidi w:val="0"/>
        <w:spacing w:before="355" w:after="0" w:line="213" w:lineRule="atLeast"/>
        <w:ind w:right="5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where  appropriate,  establish  and  regularly  review  and  update  indicative  risk  criteria  at Union  level,  in  accordance  with  paragraph  3,  and  communicate  them  to  competent  authorities. </w:t>
      </w:r>
    </w:p>
    <w:p>
      <w:pPr>
        <w:numPr>
          <w:ilvl w:val="0"/>
          <w:numId w:val="64"/>
        </w:numPr>
        <w:bidi w:val="0"/>
        <w:spacing w:before="354" w:after="0" w:line="213" w:lineRule="atLeast"/>
        <w:ind w:right="13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purposes  of carrying  out the checks  referred  to in paragraph  1, the competent  authorities  shall establish annual  plans  containing  at least  the  following: </w:t>
      </w:r>
    </w:p>
    <w:p>
      <w:pPr>
        <w:numPr>
          <w:ilvl w:val="0"/>
          <w:numId w:val="65"/>
        </w:numPr>
        <w:bidi w:val="0"/>
        <w:spacing w:before="336" w:after="0" w:line="213" w:lineRule="atLeast"/>
        <w:ind w:right="4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national risk criteria, established in accordance with paragraph 3, for the purpose of determining the checks that are necessary, which build upon any indicative risk criteria at Union level established by the Commission in accordance with paragraph  4, and systematically  include  risk criteria in relation  to countries  or parts thereof classified  as high risk; </w:t>
      </w:r>
    </w:p>
    <w:p>
      <w:pPr>
        <w:numPr>
          <w:ilvl w:val="0"/>
          <w:numId w:val="65"/>
        </w:numPr>
        <w:bidi w:val="0"/>
        <w:spacing w:before="354" w:after="0" w:line="213" w:lineRule="atLeast"/>
        <w:ind w:right="3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selection of operators and traders to be checked; that selection is to be based on the national risk criteria referred to  in  point  (a),  using,  inter  alia,  information  contained  in  the  information  system  referred  to  in  Article 33  and electronic data-processing techniques; for each operator or trader to be checked, competent authorities may identify specific  due  diligence  statements  to  be  checked. </w:t>
      </w:r>
    </w:p>
    <w:p>
      <w:pPr>
        <w:numPr>
          <w:ilvl w:val="0"/>
          <w:numId w:val="66"/>
        </w:numPr>
        <w:bidi w:val="0"/>
        <w:spacing w:before="336" w:after="0" w:line="213" w:lineRule="atLeast"/>
        <w:ind w:right="9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annual  review  of  the  plans  by  the  competent  authorities  shall  systematically  build  upon  the  results  of  the checks  and  the  experience  on  implementation  of  the  plans  referred  to  in  paragraph  5  in  order  to  improve  their effectiveness. </w:t>
      </w:r>
    </w:p>
    <w:p>
      <w:pPr>
        <w:numPr>
          <w:ilvl w:val="0"/>
          <w:numId w:val="66"/>
        </w:numPr>
        <w:bidi w:val="0"/>
        <w:spacing w:before="354" w:after="0" w:line="213" w:lineRule="atLeast"/>
        <w:ind w:right="13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communicate  their  plans  of  checks,  as  well  as  updates  thereto,  to  other  competent authorities and the Commission. Competent authorities shall exchange information on and coordinate the development and application  of the risk criteria  referred  to in paragraph  5 with  competent  authorities  of other  Member  States  and with  the  Commission,  in  order  to  improve  the  effectiveness  of  the  enforcement  of  this  Regulation. </w:t>
      </w:r>
    </w:p>
    <w:p>
      <w:pPr>
        <w:numPr>
          <w:ilvl w:val="0"/>
          <w:numId w:val="66"/>
        </w:numPr>
        <w:bidi w:val="0"/>
        <w:spacing w:before="355" w:after="0" w:line="213" w:lineRule="atLeast"/>
        <w:ind w:right="6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Each  Member  State  shall  ensure  that  the  annual  checks  carried  out  by  its  competent  authorities  pursuant  to paragraph 1 of this Article cover at least 3 % of the operators placing or making available on the market or exporting relevant products that contain or have been made using relevant commodities produced in a country of production or parts  thereof  classified  as standard  risk  in  accordance  with  Article 29.</w:t>
      </w:r>
    </w:p>
    <w:p>
      <w:pPr>
        <w:sectPr>
          <w:headerReference w:type="even" r:id="rId56"/>
          <w:headerReference w:type="default" r:id="rId57"/>
          <w:pgSz w:w="11906" w:h="16838"/>
          <w:pgMar w:top="1300" w:right="641" w:bottom="640" w:left="850" w:header="840" w:footer="708"/>
          <w:cols w:space="708"/>
          <w:titlePg w:val="0"/>
        </w:sectPr>
      </w:pPr>
    </w:p>
    <w:p>
      <w:pPr>
        <w:numPr>
          <w:ilvl w:val="0"/>
          <w:numId w:val="67"/>
        </w:numPr>
        <w:bidi w:val="0"/>
        <w:spacing w:before="272" w:after="0" w:line="213" w:lineRule="atLeast"/>
        <w:ind w:right="4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Each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annual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pursuant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paragraph 1 of this Article cover at least 9 % of the operators placing or making available on the market or exporting relevant products that contain or have been made using relevant commodities as well as 9 % of the quantity of each of 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contain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made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thereof  classified  as high  risk  in  accordance  with  Article 29. </w:t>
      </w:r>
    </w:p>
    <w:p>
      <w:pPr>
        <w:numPr>
          <w:ilvl w:val="0"/>
          <w:numId w:val="67"/>
        </w:numPr>
        <w:bidi w:val="0"/>
        <w:spacing w:before="296" w:after="0" w:line="213" w:lineRule="atLeast"/>
        <w:ind w:right="6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Each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annual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pursuant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paragraph 1 of this Article cover at least 1 % of the operators placing or making available on the market or exporting relevant  products  that contain  or have been made using  relevant  commodities  produced  in a country  or parts thereof classified  as  low  risk  in  accordance  with  Article 29. </w:t>
      </w:r>
    </w:p>
    <w:p>
      <w:pPr>
        <w:numPr>
          <w:ilvl w:val="0"/>
          <w:numId w:val="67"/>
        </w:numPr>
        <w:bidi w:val="0"/>
        <w:spacing w:before="296" w:after="0" w:line="213" w:lineRule="atLeast"/>
        <w:ind w:right="5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quantified objectives of checks to be carried out by competent authorities shall be met separately for each of the  relevant  commodities.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quantified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objectives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be  calculated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reference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total  number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operators who placed or made available on the market or exported relevant products in the previous year, and to quantity, where applicable.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considered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authority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elements  referred  to in  Article 18(1),  points  (a)  and  (b). </w:t>
      </w:r>
    </w:p>
    <w:p>
      <w:pPr>
        <w:numPr>
          <w:ilvl w:val="0"/>
          <w:numId w:val="67"/>
        </w:numPr>
        <w:bidi w:val="0"/>
        <w:spacing w:before="294" w:after="0" w:line="214" w:lineRule="atLeast"/>
        <w:ind w:right="8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checks planned  in advance  pursuant  to paragraph  5 of this Article,  competent  authorities shall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obtain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made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aware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information,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based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substantiated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submitted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third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parties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31,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concerning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potential  case  of  non-compliance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this  Regulation. </w:t>
      </w:r>
    </w:p>
    <w:p>
      <w:pPr>
        <w:numPr>
          <w:ilvl w:val="0"/>
          <w:numId w:val="67"/>
        </w:numPr>
        <w:bidi w:val="0"/>
        <w:spacing w:before="295" w:after="0" w:line="213" w:lineRule="atLeast"/>
        <w:ind w:right="14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Checks  shall be carried  out without  prior warning  of the operator  or trader,  except  where  prior notification  of the  operator  or trader  is necessary  in  order  to  ensure  the  effectiveness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checks. </w:t>
      </w:r>
    </w:p>
    <w:p>
      <w:pPr>
        <w:numPr>
          <w:ilvl w:val="0"/>
          <w:numId w:val="67"/>
        </w:numPr>
        <w:bidi w:val="0"/>
        <w:spacing w:before="296" w:after="0" w:line="213" w:lineRule="atLeast"/>
        <w:ind w:right="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competent  authorities  shall  keep  records  of  the  checks,  indicating  in  particular  their  nature  and  results,  as well as on the measures taken in the event of non-compliance.  Records of all checks shall be kept for at least 10 years. </w:t>
      </w:r>
    </w:p>
    <w:p>
      <w:pPr>
        <w:numPr>
          <w:ilvl w:val="0"/>
          <w:numId w:val="67"/>
        </w:numPr>
        <w:bidi w:val="0"/>
        <w:spacing w:before="296" w:after="0" w:line="213" w:lineRule="atLeast"/>
        <w:ind w:right="13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Records</w:t>
      </w:r>
      <w:bookmarkStart w:id="41" w:name="_page24_x-5.00_y412.89"/>
      <w:bookmarkEnd w:id="41"/>
      <w:r>
        <w:rPr>
          <w:rFonts w:ascii="Times New Roman" w:eastAsia="Times New Roman" w:hAnsi="Times New Roman" w:cs="Times New Roman"/>
          <w:b w:val="0"/>
          <w:bCs w:val="0"/>
          <w:i w:val="0"/>
          <w:iCs w:val="0"/>
          <w:strike w:val="0"/>
          <w:color w:val="2E3238"/>
          <w:spacing w:val="0"/>
          <w:sz w:val="19"/>
          <w:szCs w:val="19"/>
          <w:u w:val="none"/>
          <w:rtl w:val="0"/>
        </w:rPr>
        <w:t xml:space="preserve">  of  checks  carried  out  under  this  Regulation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reports  of  their  results  shall  constitute  environmental information  for  the  purposes  of  Directive  2003/4/EC  of  the  European  Parliament  and  of the  </w:t>
      </w:r>
      <w:hyperlink w:anchor="_page24_x-5.00_y768.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22</w:t>
        </w:r>
        <w:r>
          <w:rPr>
            <w:rFonts w:ascii="Times New Roman" w:eastAsia="Times New Roman" w:hAnsi="Times New Roman" w:cs="Times New Roman"/>
            <w:b w:val="0"/>
            <w:bCs w:val="0"/>
            <w:i w:val="0"/>
            <w:iCs w:val="0"/>
            <w:strike w:val="0"/>
            <w:color w:val="2E3238"/>
            <w:spacing w:val="0"/>
            <w:sz w:val="19"/>
            <w:szCs w:val="19"/>
            <w:u w:val="none"/>
            <w:rtl w:val="0"/>
          </w:rPr>
          <w:t>) and  shall  be</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made  available  upon  request. </w:t>
      </w:r>
    </w:p>
    <w:p>
      <w:pPr>
        <w:bidi w:val="0"/>
        <w:spacing w:before="279"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17</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185"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Relevant  products  requiring  immediate  action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68"/>
        </w:numPr>
        <w:bidi w:val="0"/>
        <w:spacing w:before="110" w:after="0" w:line="213" w:lineRule="atLeast"/>
        <w:ind w:right="1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identify situations where relevant products present such high risk of non-compliance with Article 3 that they require immediate action by competent authorities before those relevant products are placed or made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market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exported.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register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identified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situations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referred  to  in Article 33. </w:t>
      </w:r>
    </w:p>
    <w:p>
      <w:pPr>
        <w:numPr>
          <w:ilvl w:val="0"/>
          <w:numId w:val="68"/>
        </w:numPr>
        <w:bidi w:val="0"/>
        <w:spacing w:before="296" w:after="0" w:line="213" w:lineRule="atLeast"/>
        <w:ind w:right="10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When competent authorities identify the situations referred to in paragraph 1 of this Article, including when a due diligence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relating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submitted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an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referred to in Article 33 shall identify the high risk of non-compliance with Article 3 and inform competent authorities, which  shall: </w:t>
      </w:r>
    </w:p>
    <w:p>
      <w:pPr>
        <w:numPr>
          <w:ilvl w:val="0"/>
          <w:numId w:val="69"/>
        </w:numPr>
        <w:bidi w:val="0"/>
        <w:spacing w:before="277" w:after="0" w:line="213" w:lineRule="atLeast"/>
        <w:ind w:right="7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take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immediate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interim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measures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23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suspend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making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those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on  the  market;  or </w:t>
      </w:r>
    </w:p>
    <w:p>
      <w:pPr>
        <w:numPr>
          <w:ilvl w:val="0"/>
          <w:numId w:val="69"/>
        </w:numPr>
        <w:bidi w:val="0"/>
        <w:spacing w:before="295"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once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electronic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interface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28(1)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entering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leaving the market, require customs authorities to suspend the release for free circulation or export of those relevant products  under  Article 26(7). </w:t>
      </w:r>
    </w:p>
    <w:p>
      <w:pPr>
        <w:numPr>
          <w:ilvl w:val="0"/>
          <w:numId w:val="70"/>
        </w:numPr>
        <w:bidi w:val="0"/>
        <w:spacing w:before="277" w:after="0" w:line="213" w:lineRule="atLeast"/>
        <w:ind w:right="7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suspensions referred to in paragraph 2 of this Article shall end within three working days or within 72 hours in the case of perishable relevant products, starting from the moment when the high risk of non-compliance is identified in the information system referred to in Article 33. Where the competent authorities, based on the result of the checks carried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within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period,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conclude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they  require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additional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time  in  which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establish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relevant products comply with Article 3, they shall extend the period of suspension, by additional periods of three working days, by means of additional interim measures taken under Article 23 or, in the case of relevant products entering or leaving the  market,  by  notifying  the  customs  authorities  of  the  need  to maintain  the  suspension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under  Article 26(7).</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42" w:name="_page24_x-5.00_y768.89"/>
      <w:bookmarkEnd w:id="42"/>
      <w:hyperlink w:anchor="_page24_x-5.00_y412.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22</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2003/4/EC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28 January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2003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on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public </w:t>
      </w:r>
      <w:r>
        <w:rPr>
          <w:rFonts w:ascii="Times New Roman" w:eastAsia="Times New Roman" w:hAnsi="Times New Roman" w:cs="Times New Roman"/>
          <w:b w:val="0"/>
          <w:bCs w:val="0"/>
          <w:i w:val="0"/>
          <w:iCs w:val="0"/>
          <w:strike w:val="0"/>
          <w:color w:val="2E3238"/>
          <w:spacing w:val="1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access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to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environmental </w:t>
      </w:r>
      <w:r>
        <w:pict>
          <v:shape id="PathGroup" o:spid="_x0000_s1036" type="#_x0000_t75" style="width:55pt;height:4pt;margin-top:9.12pt;margin-left:66pt;mso-position-horizontal-relative:page;position:absolute;z-index:-251646976" o:allowincell="f">
            <v:imagedata r:id="rId28"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information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repealing  Council  Directive  90/313/EEC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(OJ  L 41,  14.2.2003,  p. 26).</w:t>
      </w:r>
    </w:p>
    <w:p>
      <w:pPr>
        <w:sectPr>
          <w:headerReference w:type="even" r:id="rId58"/>
          <w:headerReference w:type="default" r:id="rId59"/>
          <w:pgSz w:w="11906" w:h="16838"/>
          <w:pgMar w:top="1300" w:right="642" w:bottom="640" w:left="850" w:header="840" w:footer="708"/>
          <w:cols w:space="708"/>
          <w:titlePg w:val="0"/>
        </w:sectPr>
      </w:pPr>
    </w:p>
    <w:p>
      <w:pPr>
        <w:bidi w:val="0"/>
        <w:spacing w:before="275"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18</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329"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Checks  on  operators  and  non-SME  traders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71"/>
        </w:numPr>
        <w:bidi w:val="0"/>
        <w:spacing w:before="113"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checks  on  operators  and  non-SME  traders  shall  include: </w:t>
      </w:r>
    </w:p>
    <w:p>
      <w:pPr>
        <w:numPr>
          <w:ilvl w:val="0"/>
          <w:numId w:val="72"/>
        </w:numPr>
        <w:bidi w:val="0"/>
        <w:spacing w:before="281" w:after="0" w:line="213" w:lineRule="atLeast"/>
        <w:ind w:right="10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examination  of  their  due  diligence  system,  including  risk  assessment  and  risk  mitigation  procedures,  and  of docu­ mentation  and  records  that  demonstrate  the  proper  functioning  of  the  due  diligence  system; </w:t>
      </w:r>
    </w:p>
    <w:p>
      <w:pPr>
        <w:numPr>
          <w:ilvl w:val="0"/>
          <w:numId w:val="72"/>
        </w:numPr>
        <w:bidi w:val="0"/>
        <w:spacing w:before="300" w:after="0" w:line="213" w:lineRule="atLeast"/>
        <w:ind w:right="6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examination  of documentation  and records that demonstrate  that a specific  relevant  product  that the operator  has placed  or  intends  to  place  on  the  market  or  intends  to  export  or  that  the  non-SME  trader  has  made  available  or intends  to  make  available  on  the  market  complies  with  this  Regulation,  including,  when  applicable,  through  risk mitigation  measures,  as  well  as  examination  of  the  relevant  due  diligence  statements. </w:t>
      </w:r>
    </w:p>
    <w:p>
      <w:pPr>
        <w:numPr>
          <w:ilvl w:val="0"/>
          <w:numId w:val="73"/>
        </w:numPr>
        <w:bidi w:val="0"/>
        <w:spacing w:before="281" w:after="0" w:line="213" w:lineRule="atLeast"/>
        <w:ind w:right="5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checks  on  operators  and  non-SME  traders  may  also  include,  where  appropriate,  in  particular  where  the examinations  referred  to  in  paragraph  1 have  raised  questions: </w:t>
      </w:r>
    </w:p>
    <w:p>
      <w:pPr>
        <w:numPr>
          <w:ilvl w:val="0"/>
          <w:numId w:val="74"/>
        </w:numPr>
        <w:bidi w:val="0"/>
        <w:spacing w:before="281" w:after="0" w:line="213" w:lineRule="atLeast"/>
        <w:ind w:right="7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on-the-ground  examination  of  relevant  commodities  or  of  the  relevant  products  with  a  view  to  ascertaining  their correspondence  with  the  documentation  used  for  exercising  due  diligence; </w:t>
      </w:r>
    </w:p>
    <w:p>
      <w:pPr>
        <w:numPr>
          <w:ilvl w:val="0"/>
          <w:numId w:val="74"/>
        </w:numPr>
        <w:bidi w:val="0"/>
        <w:spacing w:before="303"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examination  of  corrective  measures  taken  under  Article 24; </w:t>
      </w:r>
    </w:p>
    <w:p>
      <w:pPr>
        <w:numPr>
          <w:ilvl w:val="0"/>
          <w:numId w:val="74"/>
        </w:numPr>
        <w:bidi w:val="0"/>
        <w:spacing w:before="300" w:after="0" w:line="213" w:lineRule="atLeast"/>
        <w:ind w:right="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any  technical  and  scientific  means  adequate  to  determine  the  species  or  the  exact  place  where  the  relevant commodity  or relevant  product  was  produced,  including  anatomical,  chemical  or DNA  analysis; </w:t>
      </w:r>
    </w:p>
    <w:p>
      <w:pPr>
        <w:numPr>
          <w:ilvl w:val="0"/>
          <w:numId w:val="74"/>
        </w:numPr>
        <w:bidi w:val="0"/>
        <w:spacing w:before="300" w:after="0" w:line="213" w:lineRule="atLeast"/>
        <w:ind w:right="5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any  technical  and  scientific  means  adequate  to  determine  whether  the  relevant  products  are  deforestation-free, including  Earth  observation  data  such  as  from  the  Copernicus  programme  and  tools  or  from  other  publicly  or privately  available  relevant  sources;  and </w:t>
      </w:r>
    </w:p>
    <w:p>
      <w:pPr>
        <w:numPr>
          <w:ilvl w:val="0"/>
          <w:numId w:val="74"/>
        </w:numPr>
        <w:bidi w:val="0"/>
        <w:spacing w:before="298" w:after="0" w:line="214" w:lineRule="atLeast"/>
        <w:ind w:right="4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spot checks, including field audits, including where appropriate in third countries, provided that such third countries agree,  through  cooperation  with  the  administrative  authorities  of  those  third  countries. </w:t>
      </w:r>
    </w:p>
    <w:p>
      <w:pPr>
        <w:bidi w:val="0"/>
        <w:spacing w:before="153" w:after="0" w:line="341" w:lineRule="atLeast"/>
        <w:ind w:left="4135" w:right="3919" w:firstLine="629"/>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19</w:t>
      </w:r>
      <w:r>
        <w:rPr>
          <w:rFonts w:ascii="Times New Roman" w:eastAsia="Times New Roman" w:hAnsi="Times New Roman" w:cs="Times New Roman"/>
          <w:b/>
          <w:bCs/>
          <w:i w:val="0"/>
          <w:iCs w:val="0"/>
          <w:strike w:val="0"/>
          <w:color w:val="2E3238"/>
          <w:spacing w:val="0"/>
          <w:sz w:val="19"/>
          <w:szCs w:val="19"/>
          <w:u w:val="none"/>
          <w:rtl w:val="0"/>
        </w:rPr>
        <w:t xml:space="preserve">               Checks  on  SME  traders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75"/>
        </w:numPr>
        <w:bidi w:val="0"/>
        <w:spacing w:before="110" w:after="0" w:line="213" w:lineRule="atLeast"/>
        <w:ind w:right="9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checks  on  SME  traders  shall  include  the  examination  of  documentation  and  records  that  demonstrate compliance  with  Article 5(2),  (3)  and  (4). </w:t>
      </w:r>
    </w:p>
    <w:p>
      <w:pPr>
        <w:numPr>
          <w:ilvl w:val="0"/>
          <w:numId w:val="75"/>
        </w:numPr>
        <w:bidi w:val="0"/>
        <w:spacing w:before="299" w:after="0" w:line="213" w:lineRule="atLeast"/>
        <w:ind w:right="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checks on SME traders may also include, where appropriate, in particular where the examinations referred to in  paragraph  1  have  raised  questions,  spot  checks,  including  field  audits. </w:t>
      </w:r>
    </w:p>
    <w:p>
      <w:pPr>
        <w:bidi w:val="0"/>
        <w:spacing w:before="284"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20</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2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Recovery  of costs  by  competent  authorities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76"/>
        </w:numPr>
        <w:bidi w:val="0"/>
        <w:spacing w:before="110" w:after="0" w:line="213" w:lineRule="atLeast"/>
        <w:ind w:right="10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may authorise  their competent  authorities  to reclaim from the operators  or traders the totality of the  costs  of  their  activities  with  respect  to  instances  of  non-compliance. </w:t>
      </w:r>
    </w:p>
    <w:p>
      <w:pPr>
        <w:numPr>
          <w:ilvl w:val="0"/>
          <w:numId w:val="76"/>
        </w:numPr>
        <w:bidi w:val="0"/>
        <w:spacing w:before="299" w:after="0" w:line="213" w:lineRule="atLeast"/>
        <w:ind w:right="1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costs  referred  to  in  paragraph  1  may  include  the  costs  of  carrying  out  testing,  of  storage  and  of  activities relating to the relevant products that are found to be non-compliant products and are subject to corrective action prior to  the  release  of  those  relevant  products  for  free  circulation,  their  placing  on  the  market  or their  export. </w:t>
      </w:r>
    </w:p>
    <w:p>
      <w:pPr>
        <w:bidi w:val="0"/>
        <w:spacing w:before="285"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21</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353"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Cooperation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and  exchange  of  information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77"/>
        </w:numPr>
        <w:bidi w:val="0"/>
        <w:spacing w:before="110" w:after="0" w:line="213" w:lineRule="atLeast"/>
        <w:ind w:right="5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cooperate  with  each  other,  the  customs  authorities  from  their  Member  State,  the competent  authorities  and  customs  authorities  from  other  Member  States,  the  Commission  and  if  necessary,  with  the administrative authorities of third countries in order to ensure compliance with this Regulation, including as regards the implementation  of  field  audits. </w:t>
      </w:r>
    </w:p>
    <w:p>
      <w:pPr>
        <w:numPr>
          <w:ilvl w:val="0"/>
          <w:numId w:val="77"/>
        </w:numPr>
        <w:bidi w:val="0"/>
        <w:spacing w:before="299" w:after="0" w:line="213" w:lineRule="atLeast"/>
        <w:ind w:right="24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Competent  authorities  shall  establish  administrative  arrangements  with  the  Commission  concerning  the  trans­ mission  of  information  on  investigations  and  the  conduct  of  investigations.</w:t>
      </w:r>
    </w:p>
    <w:p>
      <w:pPr>
        <w:sectPr>
          <w:headerReference w:type="even" r:id="rId60"/>
          <w:headerReference w:type="default" r:id="rId61"/>
          <w:pgSz w:w="11906" w:h="16838"/>
          <w:pgMar w:top="1300" w:right="688" w:bottom="640" w:left="850" w:header="840" w:footer="708"/>
          <w:cols w:space="708"/>
          <w:titlePg w:val="0"/>
        </w:sectPr>
      </w:pPr>
    </w:p>
    <w:p>
      <w:pPr>
        <w:numPr>
          <w:ilvl w:val="0"/>
          <w:numId w:val="78"/>
        </w:numPr>
        <w:bidi w:val="0"/>
        <w:spacing w:before="272" w:after="0" w:line="213" w:lineRule="atLeast"/>
        <w:ind w:right="9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exchange  information  necessary  for  the  enforcement  of  this  Regulation,  including through the information system referred to in Article 33. That shall include giving access to and exchanging information on operators  and traders,  including  due diligence  statements,  and on the nature  and results  of the checks  carried  out, with  other  Member  States’ competent  authorities  to facilitate  the  enforcement  of  this  Regulation. </w:t>
      </w:r>
    </w:p>
    <w:p>
      <w:pPr>
        <w:numPr>
          <w:ilvl w:val="0"/>
          <w:numId w:val="78"/>
        </w:numPr>
        <w:bidi w:val="0"/>
        <w:spacing w:before="426" w:after="0" w:line="214" w:lineRule="atLeast"/>
        <w:ind w:right="1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immediately alert competent authorities of other Member States and the Commission when  they detect  any potential  non-compliance  with  this Regulation  and serious  shortcomings  that could  affect  more than one Member State. Competent authorities shall, in particular, inform competent authorities of other Member States when  they  detect  a  relevant  product  on  the  market  that  they  consider  to  be  a  non-compliant  product,  to  enable  the withdrawal  or recall  of  such  product  from  sales  in all  Member  States. </w:t>
      </w:r>
    </w:p>
    <w:p>
      <w:pPr>
        <w:numPr>
          <w:ilvl w:val="0"/>
          <w:numId w:val="78"/>
        </w:numPr>
        <w:bidi w:val="0"/>
        <w:spacing w:before="428" w:after="0" w:line="213" w:lineRule="atLeast"/>
        <w:ind w:right="10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At the request of a competent authority, Member States shall provide it with the information necessary to ensure compliance  with  this  Regulation. </w:t>
      </w:r>
    </w:p>
    <w:p>
      <w:pPr>
        <w:bidi w:val="0"/>
        <w:spacing w:before="281" w:after="0" w:line="341" w:lineRule="atLeast"/>
        <w:ind w:left="4707" w:right="4622" w:firstLine="58"/>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22</w:t>
      </w:r>
      <w:r>
        <w:rPr>
          <w:rFonts w:ascii="Times New Roman" w:eastAsia="Times New Roman" w:hAnsi="Times New Roman" w:cs="Times New Roman"/>
          <w:b/>
          <w:bCs/>
          <w:i w:val="0"/>
          <w:iCs w:val="0"/>
          <w:strike w:val="0"/>
          <w:color w:val="2E3238"/>
          <w:spacing w:val="0"/>
          <w:sz w:val="19"/>
          <w:szCs w:val="19"/>
          <w:u w:val="none"/>
          <w:rtl w:val="0"/>
        </w:rPr>
        <w:t xml:space="preserve"> Reporting</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79"/>
        </w:numPr>
        <w:bidi w:val="0"/>
        <w:spacing w:before="110" w:after="0" w:line="213" w:lineRule="atLeast"/>
        <w:ind w:right="3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30 April of each year, Member States shall make available to the public and to the Commission information on the  application  of  this  Regulation  during  the  previous  calendar  year.  That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include: </w:t>
      </w:r>
    </w:p>
    <w:p>
      <w:pPr>
        <w:numPr>
          <w:ilvl w:val="0"/>
          <w:numId w:val="80"/>
        </w:numPr>
        <w:bidi w:val="0"/>
        <w:spacing w:before="412"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plans  of  checks  and  the  risk  criteria  on  which  those  plans  were  based; </w:t>
      </w:r>
    </w:p>
    <w:p>
      <w:pPr>
        <w:numPr>
          <w:ilvl w:val="0"/>
          <w:numId w:val="80"/>
        </w:numPr>
        <w:bidi w:val="0"/>
        <w:spacing w:before="429" w:after="0" w:line="213" w:lineRule="atLeast"/>
        <w:ind w:right="9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number and the results of the checks carried out on operators, non-SME traders and other traders in relation to the total number of operators, non-SME traders and other traders, including the types of non-compliance identified; </w:t>
      </w:r>
    </w:p>
    <w:p>
      <w:pPr>
        <w:numPr>
          <w:ilvl w:val="0"/>
          <w:numId w:val="80"/>
        </w:numPr>
        <w:bidi w:val="0"/>
        <w:spacing w:before="428"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quantity of relevant products checked in relation to the total quantity of relevant products placed on the market or exported and the countries of production; for relevant products entering or leaving the market, the quantity is to be  expressed  in  kilograms  of  net  mass  and,  where  applicable,  in  the  supplementary  unit  set  out  in  Annex  I  to Regulation (EEC) No 2658/87 against the indicated Harmonised System code, or, in all other cases, the quantity is to be expressed in net mass or, where applicable, volume or number of items; a supplementary unit is applicable where it  is  defined  consistently  for  all  possible  subheadings  under  the  Harmonised  System  code  referred  to  in  the  due diligence  statement; </w:t>
      </w:r>
    </w:p>
    <w:p>
      <w:pPr>
        <w:numPr>
          <w:ilvl w:val="0"/>
          <w:numId w:val="80"/>
        </w:numPr>
        <w:bidi w:val="0"/>
        <w:spacing w:before="429" w:after="0" w:line="213" w:lineRule="atLeast"/>
        <w:ind w:right="7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  cases  of  non-compliance,  the  corrective  action  taken  in  accordance  with  Article 24  and  penalties  imposed  in accordance  with  Article 25; </w:t>
      </w:r>
    </w:p>
    <w:p>
      <w:pPr>
        <w:numPr>
          <w:ilvl w:val="0"/>
          <w:numId w:val="80"/>
        </w:numPr>
        <w:bidi w:val="0"/>
        <w:spacing w:before="428" w:after="0" w:line="213" w:lineRule="atLeast"/>
        <w:ind w:right="7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percentage  of  checks  carried  out  with  prior  warnings  pursuant  to  Article 16(13),  the  use  of  which  shall  be justified  by  the  competent  authorities  in their  check  reports. </w:t>
      </w:r>
    </w:p>
    <w:p>
      <w:pPr>
        <w:numPr>
          <w:ilvl w:val="0"/>
          <w:numId w:val="81"/>
        </w:numPr>
        <w:bidi w:val="0"/>
        <w:spacing w:before="409" w:after="0" w:line="213" w:lineRule="atLeast"/>
        <w:ind w:right="-3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30 October of each year, the Commission services shall make publicly available a Union-wide overview of the application  of  this  Regulation  based  on  the  data  submitted  by  the  Member  States  under  paragraph  1. </w:t>
      </w:r>
    </w:p>
    <w:p>
      <w:pPr>
        <w:bidi w:val="0"/>
        <w:spacing w:before="281" w:after="0" w:line="341" w:lineRule="atLeast"/>
        <w:ind w:left="4395" w:right="4296" w:firstLine="37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23</w:t>
      </w:r>
      <w:r>
        <w:rPr>
          <w:rFonts w:ascii="Times New Roman" w:eastAsia="Times New Roman" w:hAnsi="Times New Roman" w:cs="Times New Roman"/>
          <w:b/>
          <w:bCs/>
          <w:i w:val="0"/>
          <w:iCs w:val="0"/>
          <w:strike w:val="0"/>
          <w:color w:val="2E3238"/>
          <w:spacing w:val="0"/>
          <w:sz w:val="19"/>
          <w:szCs w:val="19"/>
          <w:u w:val="none"/>
          <w:rtl w:val="0"/>
        </w:rPr>
        <w:t xml:space="preserve">        Interim  measures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110" w:after="0" w:line="213" w:lineRule="atLeast"/>
        <w:ind w:left="510" w:right="108"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shall  provide  for  the  possibility  for  their  competent  authorities  to  take  immediate  interim  measures, including  the  seizure  of  the  relevant  commodities  or  relevant  products,  or  the  suspension  of  the  placing  or  making available on the market or the export of the relevant commodities or relevant products, when potential non-compliance with  this  Regulation  has  been  detected  on  the  basis  of  any  of  the  following: </w:t>
      </w:r>
    </w:p>
    <w:p>
      <w:pPr>
        <w:numPr>
          <w:ilvl w:val="0"/>
          <w:numId w:val="82"/>
        </w:numPr>
        <w:bidi w:val="0"/>
        <w:spacing w:before="410" w:after="0" w:line="213" w:lineRule="atLeast"/>
        <w:ind w:right="12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examination  of  evidence  or  other  relevant  information,  including  information  exchanged  under  Article 21  or substantiated  concerns  submitted  under  Article 31; </w:t>
      </w:r>
    </w:p>
    <w:p>
      <w:pPr>
        <w:numPr>
          <w:ilvl w:val="0"/>
          <w:numId w:val="82"/>
        </w:numPr>
        <w:bidi w:val="0"/>
        <w:spacing w:before="43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checks  referred  to in  Articles  18  and 19;</w:t>
      </w:r>
    </w:p>
    <w:p>
      <w:pPr>
        <w:sectPr>
          <w:headerReference w:type="even" r:id="rId62"/>
          <w:headerReference w:type="default" r:id="rId63"/>
          <w:pgSz w:w="11906" w:h="16838"/>
          <w:pgMar w:top="1300" w:right="642" w:bottom="640" w:left="850" w:header="840" w:footer="708"/>
          <w:cols w:space="708"/>
          <w:titlePg w:val="0"/>
        </w:sectPr>
      </w:pPr>
    </w:p>
    <w:p>
      <w:pPr>
        <w:numPr>
          <w:ilvl w:val="0"/>
          <w:numId w:val="83"/>
        </w:numPr>
        <w:bidi w:val="0"/>
        <w:spacing w:before="275"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the  identification </w:t>
      </w:r>
      <w:r>
        <w:rPr>
          <w:rFonts w:ascii="Times New Roman" w:eastAsia="Times New Roman" w:hAnsi="Times New Roman" w:cs="Times New Roman"/>
          <w:b w:val="0"/>
          <w:bCs w:val="0"/>
          <w:i w:val="0"/>
          <w:iCs w:val="0"/>
          <w:strike w:val="0"/>
          <w:color w:val="2E3238"/>
          <w:spacing w:val="1"/>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of  risks  by  the  information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system  referred  to  in Article 33. </w:t>
      </w:r>
    </w:p>
    <w:p>
      <w:pPr>
        <w:bidi w:val="0"/>
        <w:spacing w:before="246" w:after="0" w:line="213" w:lineRule="atLeast"/>
        <w:ind w:left="510" w:right="119" w:firstLine="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necessary,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immediately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Member  States  about  such  measures. </w:t>
      </w:r>
    </w:p>
    <w:p>
      <w:pPr>
        <w:bidi w:val="0"/>
        <w:spacing w:before="248"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24</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02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Corrective  action  in the  event  of  non-compliance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84"/>
        </w:numPr>
        <w:bidi w:val="0"/>
        <w:spacing w:before="110" w:after="0" w:line="213" w:lineRule="atLeast"/>
        <w:ind w:right="14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Article 25, where competent authorities establish that an operator or trader has not complied with this Regulation  or that a relevant  product  placed or made available  on the market  or exported  is non-compliant, they shall without delay require the operator or trader to take appropriate and proportionate corrective action to bring the  non-compliance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an  end  within  a  specified  and  reasonable  period  of  time. </w:t>
      </w:r>
    </w:p>
    <w:p>
      <w:pPr>
        <w:numPr>
          <w:ilvl w:val="0"/>
          <w:numId w:val="84"/>
        </w:numPr>
        <w:bidi w:val="0"/>
        <w:spacing w:before="264" w:after="0" w:line="213" w:lineRule="atLeast"/>
        <w:ind w:right="12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purposes of paragraph 1, the corrective action required to be taken by the operator or trader shall include at least  one  of the  following,  as  applicable: </w:t>
      </w:r>
    </w:p>
    <w:p>
      <w:pPr>
        <w:numPr>
          <w:ilvl w:val="0"/>
          <w:numId w:val="85"/>
        </w:numPr>
        <w:bidi w:val="0"/>
        <w:spacing w:before="24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rectifying  any  formal  non-compliance,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particular  with  the  requirements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Chapter 2; </w:t>
      </w:r>
    </w:p>
    <w:p>
      <w:pPr>
        <w:numPr>
          <w:ilvl w:val="0"/>
          <w:numId w:val="85"/>
        </w:numPr>
        <w:bidi w:val="0"/>
        <w:spacing w:before="26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preventing  the  relevant  product  from  being  placed  or  made  available  on  the  market  or  exported; </w:t>
      </w:r>
    </w:p>
    <w:p>
      <w:pPr>
        <w:numPr>
          <w:ilvl w:val="0"/>
          <w:numId w:val="85"/>
        </w:numPr>
        <w:bidi w:val="0"/>
        <w:spacing w:before="26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withdrawing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recalling  the  relevant  product  immediately; </w:t>
      </w:r>
    </w:p>
    <w:p>
      <w:pPr>
        <w:numPr>
          <w:ilvl w:val="0"/>
          <w:numId w:val="85"/>
        </w:numPr>
        <w:bidi w:val="0"/>
        <w:spacing w:before="265" w:after="0" w:line="213" w:lineRule="atLeast"/>
        <w:ind w:right="9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donating the relevant product to charitable  or public interest purposes  or, if that is not possible, disposing  of it in accordance  with  Union  law  on  waste  management. </w:t>
      </w:r>
    </w:p>
    <w:p>
      <w:pPr>
        <w:numPr>
          <w:ilvl w:val="0"/>
          <w:numId w:val="86"/>
        </w:numPr>
        <w:bidi w:val="0"/>
        <w:spacing w:before="246" w:after="0" w:line="213" w:lineRule="atLeast"/>
        <w:ind w:right="7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Irrespective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corrective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taken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address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short­ comings in the due diligence system with a view to preventing the risk of further non-compliance with this Regulation. </w:t>
      </w:r>
    </w:p>
    <w:p>
      <w:pPr>
        <w:numPr>
          <w:ilvl w:val="0"/>
          <w:numId w:val="86"/>
        </w:numPr>
        <w:bidi w:val="0"/>
        <w:spacing w:before="264" w:after="0" w:line="213" w:lineRule="atLeast"/>
        <w:ind w:right="11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If  the  operator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trader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fails  to  take  corrective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as  referred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in  paragraph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  within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period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time specified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non-compliance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persists,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after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period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time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secure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application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required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corrective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action referred  to in  paragraph  2 by all  means  available  to  them  under  the  law  of  the  Member  State  concerned. </w:t>
      </w:r>
    </w:p>
    <w:p>
      <w:pPr>
        <w:bidi w:val="0"/>
        <w:spacing w:before="118" w:after="0" w:line="341" w:lineRule="atLeast"/>
        <w:ind w:left="4759" w:right="4623" w:firstLine="6"/>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25</w:t>
      </w:r>
      <w:r>
        <w:rPr>
          <w:rFonts w:ascii="Times New Roman" w:eastAsia="Times New Roman" w:hAnsi="Times New Roman" w:cs="Times New Roman"/>
          <w:b/>
          <w:bCs/>
          <w:i w:val="0"/>
          <w:iCs w:val="0"/>
          <w:strike w:val="0"/>
          <w:color w:val="2E3238"/>
          <w:spacing w:val="0"/>
          <w:sz w:val="19"/>
          <w:szCs w:val="19"/>
          <w:u w:val="none"/>
          <w:rtl w:val="0"/>
        </w:rPr>
        <w:t xml:space="preserve"> Penalties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87"/>
        </w:numPr>
        <w:bidi w:val="0"/>
        <w:spacing w:before="110" w:after="0" w:line="213" w:lineRule="atLeast"/>
        <w:ind w:right="4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Without</w:t>
      </w:r>
      <w:bookmarkStart w:id="43" w:name="_page27_x-5.00_y502.89"/>
      <w:bookmarkEnd w:id="43"/>
      <w:r>
        <w:rPr>
          <w:rFonts w:ascii="Times New Roman" w:eastAsia="Times New Roman" w:hAnsi="Times New Roman" w:cs="Times New Roman"/>
          <w:b w:val="0"/>
          <w:bCs w:val="0"/>
          <w:i w:val="0"/>
          <w:iCs w:val="0"/>
          <w:strike w:val="0"/>
          <w:color w:val="2E3238"/>
          <w:spacing w:val="0"/>
          <w:sz w:val="19"/>
          <w:szCs w:val="19"/>
          <w:u w:val="none"/>
          <w:rtl w:val="0"/>
        </w:rPr>
        <w:t xml:space="preserve">  prejudice  to  the  obligations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Member  States  under  Directive  2008/99/EC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of  the  European  Parliament and of the Council</w:t>
      </w:r>
      <w:hyperlink w:anchor="_page27_x-5.00_y750.89" w:history="1">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2"/>
            <w:szCs w:val="12"/>
            <w:u w:val="none"/>
            <w:rtl w:val="0"/>
          </w:rPr>
          <w:t>23</w:t>
        </w:r>
        <w:r>
          <w:rPr>
            <w:rFonts w:ascii="Times New Roman" w:eastAsia="Times New Roman" w:hAnsi="Times New Roman" w:cs="Times New Roman"/>
            <w:b w:val="0"/>
            <w:bCs w:val="0"/>
            <w:i w:val="0"/>
            <w:iCs w:val="0"/>
            <w:strike w:val="0"/>
            <w:color w:val="2E3238"/>
            <w:spacing w:val="0"/>
            <w:sz w:val="19"/>
            <w:szCs w:val="19"/>
            <w:u w:val="none"/>
            <w:rtl w:val="0"/>
          </w:rPr>
          <w:t>), Member States shall lay down rules on penalties applicable to infringements  of this Regulation</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by operators and traders and shall take all measures necessary to ensure that they are implemented. Member States shall notify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those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rules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those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measures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notify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without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delay,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subsequent amendments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affecting  them. </w:t>
      </w:r>
    </w:p>
    <w:p>
      <w:pPr>
        <w:numPr>
          <w:ilvl w:val="0"/>
          <w:numId w:val="87"/>
        </w:numPr>
        <w:bidi w:val="0"/>
        <w:spacing w:before="264" w:after="0" w:line="213" w:lineRule="atLeast"/>
        <w:ind w:right="5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penalties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provided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in  paragraph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shall  be  effective,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proportionate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dissuasive.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Those  penalties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include: </w:t>
      </w:r>
    </w:p>
    <w:p>
      <w:pPr>
        <w:numPr>
          <w:ilvl w:val="0"/>
          <w:numId w:val="88"/>
        </w:numPr>
        <w:bidi w:val="0"/>
        <w:spacing w:before="246" w:after="0" w:line="213" w:lineRule="atLeast"/>
        <w:ind w:right="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fines  proportionate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environmental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damage  and  the  value  of  the  relevant  commodities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relevant  products concerned, calculating the level of such fines in such way as to ensure that they effectively deprive those responsible 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economic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benefits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derived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infringements,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gradually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increasing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level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fines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repeated infringements; in the case of a legal person, the maximum amount of such a fine shall be at least 4 % of the operator’s or trader’s total annual Union-wide turnover in the financial year preceding the fining decision, calculated </w:t>
      </w:r>
      <w:bookmarkStart w:id="44" w:name="_page27_x-5.00_y656.89"/>
      <w:bookmarkEnd w:id="44"/>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calculation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aggregate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turnover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undertakings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laid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down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5(1)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Council Regulation (EC) No </w:t>
      </w:r>
      <w:hyperlink w:anchor="_page27_x-5.00_y768.89" w:history="1">
        <w:r>
          <w:rPr>
            <w:rFonts w:ascii="Times New Roman" w:eastAsia="Times New Roman" w:hAnsi="Times New Roman" w:cs="Times New Roman"/>
            <w:b w:val="0"/>
            <w:bCs w:val="0"/>
            <w:i w:val="0"/>
            <w:iCs w:val="0"/>
            <w:strike w:val="0"/>
            <w:color w:val="2E3238"/>
            <w:spacing w:val="0"/>
            <w:sz w:val="19"/>
            <w:szCs w:val="19"/>
            <w:u w:val="none"/>
            <w:rtl w:val="0"/>
          </w:rPr>
          <w:t>139/2004 (</w:t>
        </w:r>
        <w:r>
          <w:rPr>
            <w:rFonts w:ascii="Times New Roman" w:eastAsia="Times New Roman" w:hAnsi="Times New Roman" w:cs="Times New Roman"/>
            <w:b w:val="0"/>
            <w:bCs w:val="0"/>
            <w:i w:val="0"/>
            <w:iCs w:val="0"/>
            <w:strike w:val="0"/>
            <w:color w:val="2E3238"/>
            <w:spacing w:val="0"/>
            <w:sz w:val="12"/>
            <w:szCs w:val="12"/>
            <w:u w:val="none"/>
            <w:rtl w:val="0"/>
          </w:rPr>
          <w:t>24</w:t>
        </w:r>
        <w:r>
          <w:rPr>
            <w:rFonts w:ascii="Times New Roman" w:eastAsia="Times New Roman" w:hAnsi="Times New Roman" w:cs="Times New Roman"/>
            <w:b w:val="0"/>
            <w:bCs w:val="0"/>
            <w:i w:val="0"/>
            <w:iCs w:val="0"/>
            <w:strike w:val="0"/>
            <w:color w:val="2E3238"/>
            <w:spacing w:val="0"/>
            <w:sz w:val="19"/>
            <w:szCs w:val="19"/>
            <w:u w:val="none"/>
            <w:rtl w:val="0"/>
          </w:rPr>
          <w:t>), and shall be increased, where necessary, to exceed the potential economic benefit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gained; </w:t>
      </w:r>
    </w:p>
    <w:p>
      <w:pPr>
        <w:numPr>
          <w:ilvl w:val="0"/>
          <w:numId w:val="88"/>
        </w:numPr>
        <w:bidi w:val="0"/>
        <w:spacing w:before="267"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confiscation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relevant  products  concerned  from  the  operator  and/or  trader; </w:t>
      </w:r>
    </w:p>
    <w:p>
      <w:pPr>
        <w:numPr>
          <w:ilvl w:val="0"/>
          <w:numId w:val="88"/>
        </w:numPr>
        <w:bidi w:val="0"/>
        <w:spacing w:before="262" w:after="0" w:line="214" w:lineRule="atLeast"/>
        <w:ind w:right="15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confiscation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revenues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gained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and/or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trader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from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transaction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products concerned;</w:t>
      </w:r>
    </w:p>
    <w:p>
      <w:pPr>
        <w:bidi w:val="0"/>
        <w:spacing w:before="254" w:after="0" w:line="187" w:lineRule="atLeast"/>
        <w:ind w:left="510" w:right="-200" w:firstLine="0"/>
        <w:jc w:val="both"/>
        <w:outlineLvl w:val="9"/>
        <w:rPr>
          <w:rFonts w:ascii="Times New Roman" w:eastAsia="Times New Roman" w:hAnsi="Times New Roman" w:cs="Times New Roman"/>
          <w:sz w:val="17"/>
          <w:szCs w:val="17"/>
        </w:rPr>
      </w:pPr>
      <w:bookmarkStart w:id="45" w:name="_page27_x-5.00_y750.89"/>
      <w:bookmarkEnd w:id="45"/>
      <w:hyperlink w:anchor="_page27_x-5.00_y502.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23</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2008/99/EC of the European Parliament and of the Council of 19 November 2008 on the protection of the environment </w:t>
      </w:r>
      <w:r>
        <w:pict>
          <v:shape id="PathGroup" o:spid="_x0000_s1037" type="#_x0000_t75" style="width:55pt;height:4pt;margin-top:9.21pt;margin-left:66pt;mso-position-horizontal-relative:page;position:absolute;z-index:-251645952" o:allowincell="f">
            <v:imagedata r:id="rId16"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bookmarkStart w:id="46" w:name="_page27_x-5.00_y768.89"/>
      <w:bookmarkEnd w:id="46"/>
      <w:r>
        <w:rPr>
          <w:rFonts w:ascii="Times New Roman" w:eastAsia="Times New Roman" w:hAnsi="Times New Roman" w:cs="Times New Roman"/>
          <w:b w:val="0"/>
          <w:bCs w:val="0"/>
          <w:i w:val="0"/>
          <w:iCs w:val="0"/>
          <w:strike w:val="0"/>
          <w:color w:val="2E3238"/>
          <w:spacing w:val="0"/>
          <w:sz w:val="17"/>
          <w:szCs w:val="17"/>
          <w:u w:val="none"/>
          <w:rtl w:val="0"/>
        </w:rPr>
        <w:t xml:space="preserve">through  criminal  law  (OJ  L 328,  6.12.2008,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 28). </w:t>
      </w:r>
    </w:p>
    <w:p>
      <w:pPr>
        <w:bidi w:val="0"/>
        <w:spacing w:before="0" w:after="0" w:line="187" w:lineRule="atLeast"/>
        <w:ind w:left="510" w:right="-200" w:firstLine="0"/>
        <w:jc w:val="both"/>
        <w:outlineLvl w:val="9"/>
        <w:rPr>
          <w:rFonts w:ascii="Times New Roman" w:eastAsia="Times New Roman" w:hAnsi="Times New Roman" w:cs="Times New Roman"/>
          <w:sz w:val="17"/>
          <w:szCs w:val="17"/>
        </w:rPr>
      </w:pPr>
      <w:hyperlink w:anchor="_page27_x-5.00_y656.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24</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Council Regulation (EC) No 139/2004 of 20 January 2004 on the control of concentrations between undertakings (the EC Merger </w: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Regulation)  (OJ  L 24,  29.1.2004,  p. 1).</w:t>
      </w:r>
    </w:p>
    <w:p>
      <w:pPr>
        <w:sectPr>
          <w:headerReference w:type="even" r:id="rId64"/>
          <w:headerReference w:type="default" r:id="rId65"/>
          <w:pgSz w:w="11906" w:h="16838"/>
          <w:pgMar w:top="1300" w:right="641" w:bottom="640" w:left="850" w:header="840" w:footer="708"/>
          <w:cols w:space="708"/>
          <w:titlePg w:val="0"/>
        </w:sectPr>
      </w:pPr>
    </w:p>
    <w:p>
      <w:pPr>
        <w:numPr>
          <w:ilvl w:val="0"/>
          <w:numId w:val="89"/>
        </w:numPr>
        <w:bidi w:val="0"/>
        <w:spacing w:before="272" w:after="0" w:line="213" w:lineRule="atLeast"/>
        <w:ind w:right="11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temporary  exclusion  for a maximum  period of 12 months from public procurement  processes  and from access to public  funding,  including  tendering  procedures,  grants  and  concessions; </w:t>
      </w:r>
    </w:p>
    <w:p>
      <w:pPr>
        <w:numPr>
          <w:ilvl w:val="0"/>
          <w:numId w:val="89"/>
        </w:numPr>
        <w:bidi w:val="0"/>
        <w:spacing w:before="236" w:after="0" w:line="213" w:lineRule="atLeast"/>
        <w:ind w:right="10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temporary  prohibition  from  placing  or  making  available  on  the  market  or  exporting  relevant  commodities  and relevant  products,  in  the  event  of  a  serious  infringement  or  of  repeated  infringements; </w:t>
      </w:r>
    </w:p>
    <w:p>
      <w:pPr>
        <w:numPr>
          <w:ilvl w:val="0"/>
          <w:numId w:val="89"/>
        </w:numPr>
        <w:bidi w:val="0"/>
        <w:spacing w:before="236" w:after="0" w:line="213" w:lineRule="atLeast"/>
        <w:ind w:right="-2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prohibition from exercising the simplified due diligence set out in Article 13 in the event of a serious infringement or  of  repeated  infringements. </w:t>
      </w:r>
    </w:p>
    <w:p>
      <w:pPr>
        <w:numPr>
          <w:ilvl w:val="0"/>
          <w:numId w:val="90"/>
        </w:numPr>
        <w:bidi w:val="0"/>
        <w:spacing w:before="217" w:after="0" w:line="213" w:lineRule="atLeast"/>
        <w:ind w:right="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Member  States  shall  notify  the  Commission  of  final  judgments  against  legal  persons  for  infringements  of  this Regulation  and  the  penalties  imposed  on  them,  within  30  days  from  the  date  on  which  the  judgments  become  final, taking  into  account  the  relevant  data  protection  rules.  The  Commission  shall  publish  on  its  website  a  list  of  such judgments,  which  shall  contain  the  following  elements: </w:t>
      </w:r>
    </w:p>
    <w:p>
      <w:pPr>
        <w:numPr>
          <w:ilvl w:val="0"/>
          <w:numId w:val="91"/>
        </w:numPr>
        <w:bidi w:val="0"/>
        <w:spacing w:before="220"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name  of  the  legal  person; </w:t>
      </w:r>
    </w:p>
    <w:p>
      <w:pPr>
        <w:numPr>
          <w:ilvl w:val="0"/>
          <w:numId w:val="91"/>
        </w:numPr>
        <w:bidi w:val="0"/>
        <w:spacing w:before="23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date  of  the  final  judgment; </w:t>
      </w:r>
    </w:p>
    <w:p>
      <w:pPr>
        <w:numPr>
          <w:ilvl w:val="0"/>
          <w:numId w:val="91"/>
        </w:numPr>
        <w:bidi w:val="0"/>
        <w:spacing w:before="23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  summary  of  the  activities  for  which  the  legal  person  was  found  to  have  infringed  this  Regulation;  and </w:t>
      </w:r>
    </w:p>
    <w:p>
      <w:pPr>
        <w:numPr>
          <w:ilvl w:val="0"/>
          <w:numId w:val="91"/>
        </w:numPr>
        <w:bidi w:val="0"/>
        <w:spacing w:before="23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nature  and,  where  financial,  the  amount  of  the  penalty  imposed.</w:t>
      </w:r>
    </w:p>
    <w:p>
      <w:pPr>
        <w:bidi w:val="0"/>
        <w:spacing w:before="239" w:after="0" w:line="187" w:lineRule="atLeast"/>
        <w:ind w:left="4709"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4</w:t>
      </w:r>
      <w:r>
        <w:rPr>
          <w:rFonts w:ascii="Times New Roman" w:eastAsia="Times New Roman" w:hAnsi="Times New Roman" w:cs="Times New Roman"/>
          <w:b/>
          <w:bCs/>
          <w:i w:val="0"/>
          <w:iCs w:val="0"/>
          <w:strike w:val="0"/>
          <w:color w:val="2E3238"/>
          <w:spacing w:val="0"/>
          <w:sz w:val="17"/>
          <w:szCs w:val="17"/>
          <w:u w:val="none"/>
          <w:rtl w:val="0"/>
        </w:rPr>
        <w:t xml:space="preserve"> </w:t>
      </w:r>
    </w:p>
    <w:p>
      <w:pPr>
        <w:bidi w:val="0"/>
        <w:spacing w:before="138" w:after="0" w:line="187" w:lineRule="atLeast"/>
        <w:ind w:left="1863"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bCs/>
          <w:i w:val="0"/>
          <w:iCs w:val="0"/>
          <w:strike w:val="0"/>
          <w:color w:val="2E3238"/>
          <w:spacing w:val="0"/>
          <w:sz w:val="17"/>
          <w:szCs w:val="17"/>
          <w:u w:val="none"/>
          <w:rtl w:val="0"/>
        </w:rPr>
        <w:t>PROCEDURES  FOR  RELEVANT  PRODUCTS  ENTERING  OR  LEAVING  THE  MARKET</w:t>
      </w:r>
    </w:p>
    <w:p>
      <w:pPr>
        <w:bidi w:val="0"/>
        <w:spacing w:before="116" w:after="0" w:line="341" w:lineRule="atLeast"/>
        <w:ind w:left="4762" w:right="4575"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26</w:t>
      </w:r>
      <w:r>
        <w:rPr>
          <w:rFonts w:ascii="Times New Roman" w:eastAsia="Times New Roman" w:hAnsi="Times New Roman" w:cs="Times New Roman"/>
          <w:b/>
          <w:bCs/>
          <w:i w:val="0"/>
          <w:iCs w:val="0"/>
          <w:strike w:val="0"/>
          <w:color w:val="2E3238"/>
          <w:spacing w:val="0"/>
          <w:sz w:val="19"/>
          <w:szCs w:val="19"/>
          <w:u w:val="none"/>
          <w:rtl w:val="0"/>
        </w:rPr>
        <w:t xml:space="preserve"> Controls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92"/>
        </w:numPr>
        <w:bidi w:val="0"/>
        <w:spacing w:before="110" w:after="0" w:line="213" w:lineRule="atLeast"/>
        <w:ind w:right="-7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placed  under the customs  procedure  ‘release for free circulation’ or ‘export’ shall be subject  to the controls and measures laid down in this Chapter. The application of this Chapter is without prejudice to any other provisions of this Regulation as well as to other Union legal acts governing the release for free circulation or export of goods, in particular Regulation (EU) No 952/2013 and its Articles 46, 47, 134 and 267. Chapter VII of Regulation (EU) 2019/1020  shall  however  not apply  to controls  on relevant  products  entering  the market  in so far as the application and  enforcement  of  this  Regulation  is concerned. </w:t>
      </w:r>
    </w:p>
    <w:p>
      <w:pPr>
        <w:numPr>
          <w:ilvl w:val="0"/>
          <w:numId w:val="92"/>
        </w:numPr>
        <w:bidi w:val="0"/>
        <w:spacing w:before="236" w:after="0" w:line="213" w:lineRule="atLeast"/>
        <w:ind w:right="3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shall be responsible for the overall enforcement of this Regulation with regard to a relevant product  entering  or  leaving  the  market.  In  particular,  competent  authorities  shall  be  responsible,  in  accordance  with Article 16,  for  identifying  checks  to  be  carried  out  based  on  a  risk-based  approach  and  for  establishing,  through  the checks referred to in Article 16, whether any such relevant product complies with Article 3. The competent authorities shall  carry  out  those  responsibilities  in  accordance  with  the  relevant  provisions  of  Chapter  3. </w:t>
      </w:r>
    </w:p>
    <w:p>
      <w:pPr>
        <w:numPr>
          <w:ilvl w:val="0"/>
          <w:numId w:val="92"/>
        </w:numPr>
        <w:bidi w:val="0"/>
        <w:spacing w:before="236" w:after="0" w:line="213" w:lineRule="atLeast"/>
        <w:ind w:right="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paragraph  2  of  this  Article,  customs  authorities  shall  carry  out  controls  on  the  customs declarations  lodged in relation to relevant products  entering or leaving the market in accordance  with Articles 46 and 48  of  Regulation  (EU)  No  952/2013.  Such  controls  shall  primarily  be  based  on  risk  analysis,  as  established  in Article 46(2)  of  Regulation  (EU)  No  952/2013. </w:t>
      </w:r>
    </w:p>
    <w:p>
      <w:pPr>
        <w:numPr>
          <w:ilvl w:val="0"/>
          <w:numId w:val="92"/>
        </w:numPr>
        <w:bidi w:val="0"/>
        <w:spacing w:before="236" w:after="0" w:line="213" w:lineRule="atLeast"/>
        <w:ind w:right="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reference  number  of  the  due  diligence  statement  shall  be  made  available  to  customs  authorities  before  the release  for  free  circulation  or  export  of  a  relevant  product  entering  or  leaving  the  market.  For  that  purpose,  except where  the  due  diligence  statement  is  made  available  through  the  electronic  interface  referred  to  in  Article 28(2),  the person  lodging  the  customs  declaration  for  release  for  free  circulation  or  export  of  a  relevant  product  shall  make available  to customs  authorities  the reference  number  of the due diligence  statement  assigned  to that relevant  product by  the  information  system  referred  to  in Article 33. </w:t>
      </w:r>
    </w:p>
    <w:p>
      <w:pPr>
        <w:numPr>
          <w:ilvl w:val="0"/>
          <w:numId w:val="92"/>
        </w:numPr>
        <w:bidi w:val="0"/>
        <w:spacing w:before="236" w:after="0" w:line="213" w:lineRule="atLeast"/>
        <w:ind w:right="9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purpose  of  taking  into  account  compliance  with  this  Regulation  on  allowing  a  relevant  product  to  be released  for  free  circulation  or exported: </w:t>
      </w:r>
    </w:p>
    <w:p>
      <w:pPr>
        <w:numPr>
          <w:ilvl w:val="0"/>
          <w:numId w:val="93"/>
        </w:numPr>
        <w:bidi w:val="0"/>
        <w:spacing w:before="217" w:after="0" w:line="213" w:lineRule="atLeast"/>
        <w:ind w:right="-5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until the electronic interface referred to in Article 28(1) is in place, paragraphs 6 to 9 of this Article shall not apply, and  customs  authorities  shall  exchange  information  and  cooperate  with  competent  authorities  in  accordance  with Article 27, and, where necessary, shall take into account such exchange of information and cooperation on allowing relevant  products  to  be  released  for  free  circulation  or exported; </w:t>
      </w:r>
    </w:p>
    <w:p>
      <w:pPr>
        <w:numPr>
          <w:ilvl w:val="0"/>
          <w:numId w:val="93"/>
        </w:numPr>
        <w:bidi w:val="0"/>
        <w:spacing w:before="236" w:after="0" w:line="213" w:lineRule="atLeast"/>
        <w:ind w:right="-6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once the electronic interface referred to in Article 28(1) is in place, paragraphs 6 to 9 of this Article shall apply, and notifications  and  requests  under  paragraphs  6  to  9  of  this  Article  shall  take  place  by  means  of  that  electronic interface.</w:t>
      </w:r>
    </w:p>
    <w:p>
      <w:pPr>
        <w:sectPr>
          <w:headerReference w:type="even" r:id="rId66"/>
          <w:headerReference w:type="default" r:id="rId67"/>
          <w:pgSz w:w="11906" w:h="16838"/>
          <w:pgMar w:top="1300" w:right="689" w:bottom="640" w:left="850" w:header="840" w:footer="708"/>
          <w:cols w:space="708"/>
          <w:titlePg w:val="0"/>
        </w:sectPr>
      </w:pPr>
    </w:p>
    <w:p>
      <w:pPr>
        <w:numPr>
          <w:ilvl w:val="0"/>
          <w:numId w:val="94"/>
        </w:numPr>
        <w:bidi w:val="0"/>
        <w:spacing w:before="272" w:after="0" w:line="213" w:lineRule="atLeast"/>
        <w:ind w:right="10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When carrying out controls on customs declarations for release for free circulation or export of a relevant product entering  or  leaving  the  market,  customs  authorities  shall  examine,  using  the  electronic  interface  referred  to  in Article 28(1),  the  status  assigned  to  the  corresponding  due  diligence  statement  by  competent  authorities  in  the information  system  referred  to  in Article 33. </w:t>
      </w:r>
    </w:p>
    <w:p>
      <w:pPr>
        <w:numPr>
          <w:ilvl w:val="0"/>
          <w:numId w:val="94"/>
        </w:numPr>
        <w:bidi w:val="0"/>
        <w:spacing w:before="315" w:after="0" w:line="214" w:lineRule="atLeast"/>
        <w:ind w:right="1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the status referred to in paragraph 6 of this Article indicates that the relevant product entering or leaving the market has been identified, pursuant to Article 17(2), as requiring to be checked before it is placed or made available on the market or exported,  customs authorities  shall suspend the release for free circulation  or export of that relevant product. </w:t>
      </w:r>
    </w:p>
    <w:p>
      <w:pPr>
        <w:numPr>
          <w:ilvl w:val="0"/>
          <w:numId w:val="94"/>
        </w:numPr>
        <w:bidi w:val="0"/>
        <w:spacing w:before="317" w:after="0" w:line="213" w:lineRule="atLeast"/>
        <w:ind w:right="8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all  other  requirements  and  formalities  under  Union  or  national  law  relating  to  the  release  for  free circulation  or  export  have  been  fulfilled,  customs  authorities  shall  allow  a  relevant  product  entering  or  leaving  the market  to  be  released  for  free  circulation  or exported  in  any  of  the  following  circumstances: </w:t>
      </w:r>
    </w:p>
    <w:p>
      <w:pPr>
        <w:numPr>
          <w:ilvl w:val="0"/>
          <w:numId w:val="95"/>
        </w:numPr>
        <w:bidi w:val="0"/>
        <w:spacing w:before="298" w:after="0" w:line="213" w:lineRule="atLeast"/>
        <w:ind w:right="6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status referred to in paragraph 6 of this Article does not indicate that the relevant product has been identified, pursuant to Article 17(2), as requiring to be checked before it is placed or made available on the market or exported; </w:t>
      </w:r>
    </w:p>
    <w:p>
      <w:pPr>
        <w:numPr>
          <w:ilvl w:val="0"/>
          <w:numId w:val="95"/>
        </w:numPr>
        <w:bidi w:val="0"/>
        <w:spacing w:before="318" w:after="0" w:line="213" w:lineRule="atLeast"/>
        <w:ind w:right="4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release for free circulation or export has been suspended in accordance with paragraph 7 of this Article, and the competent  authorities  have  not  requested  to  maintain  the  suspension  in  accordance  with  Article 17(3); </w:t>
      </w:r>
    </w:p>
    <w:p>
      <w:pPr>
        <w:numPr>
          <w:ilvl w:val="0"/>
          <w:numId w:val="95"/>
        </w:numPr>
        <w:bidi w:val="0"/>
        <w:spacing w:before="316" w:after="0" w:line="213" w:lineRule="atLeast"/>
        <w:ind w:right="11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release  for  free  circulation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export  has  been  suspended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accordance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paragraph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7  and  the  competent authorities have notified customs authorities  that the suspension  of the release for free circulation  or export of the relevant  products  can  be  lifted. </w:t>
      </w:r>
    </w:p>
    <w:p>
      <w:pPr>
        <w:numPr>
          <w:ilvl w:val="0"/>
          <w:numId w:val="96"/>
        </w:numPr>
        <w:bidi w:val="0"/>
        <w:spacing w:before="298" w:after="0" w:line="213" w:lineRule="atLeast"/>
        <w:ind w:right="15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the  competent  authorities  conclude  that  a  relevant  product  entering  or  leaving  the  market  is  non- compliant,  they  shall  notify  the  customs  authorities  accordingly  and  the  customs  authorities  shall  not  allow  the release  for  free  circulation  or export  of  that  relevant  product. </w:t>
      </w:r>
    </w:p>
    <w:p>
      <w:pPr>
        <w:numPr>
          <w:ilvl w:val="0"/>
          <w:numId w:val="96"/>
        </w:numPr>
        <w:bidi w:val="0"/>
        <w:spacing w:before="318" w:after="0" w:line="213" w:lineRule="atLeast"/>
        <w:ind w:right="8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release  for  free  circulation  or  export  shall  not  be  deemed  proof  of  compliance  with  Union  law  and,  in particular,  with  this  Regulation. </w:t>
      </w:r>
    </w:p>
    <w:p>
      <w:pPr>
        <w:bidi w:val="0"/>
        <w:spacing w:before="301" w:after="0" w:line="210" w:lineRule="atLeast"/>
        <w:ind w:left="4765"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27</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256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Cooperation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 xml:space="preserve">and  exchange  of  information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among  authorities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97"/>
        </w:numPr>
        <w:bidi w:val="0"/>
        <w:spacing w:before="110" w:after="0" w:line="213" w:lineRule="atLeast"/>
        <w:ind w:right="8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To enable the risk-based approach referred to in Article 16(5) for relevant products entering or leaving the market and to ensure that checks are effective and carried out in accordance with this Regulation, the Commission,  competent authorities  and  customs  authorities  shall  cooperate  closely  and  exchange  information. </w:t>
      </w:r>
    </w:p>
    <w:p>
      <w:pPr>
        <w:numPr>
          <w:ilvl w:val="0"/>
          <w:numId w:val="97"/>
        </w:numPr>
        <w:bidi w:val="0"/>
        <w:spacing w:before="316" w:after="0" w:line="213" w:lineRule="atLeast"/>
        <w:ind w:right="6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Customs authorities and competent authorities shall cooperate in accordance with Article 47(2) of Regulation (EU) No 952/2013 and exchange information necessary for the fulfilment of their functions under this Regulation, including through  electronic  means. </w:t>
      </w:r>
    </w:p>
    <w:p>
      <w:pPr>
        <w:numPr>
          <w:ilvl w:val="0"/>
          <w:numId w:val="97"/>
        </w:numPr>
        <w:bidi w:val="0"/>
        <w:spacing w:before="316" w:after="0" w:line="213" w:lineRule="atLeast"/>
        <w:ind w:right="11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customs  authorities  may  communicate,  in  accordance  with  Article 12(1)  of  Regulation  (EU)  No  952/2013, confidential information acquired by the customs authorities in the course of performing their duties, or provided to the customs  authorities  on  a  confidential  basis,  to  the  competent  authority  of  the  Member  State  in  which  the  operator, trader  or authorised  representative  is established. </w:t>
      </w:r>
    </w:p>
    <w:p>
      <w:pPr>
        <w:numPr>
          <w:ilvl w:val="0"/>
          <w:numId w:val="97"/>
        </w:numPr>
        <w:bidi w:val="0"/>
        <w:spacing w:before="317" w:after="0" w:line="213" w:lineRule="atLeast"/>
        <w:ind w:right="17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the  competent  authorities  have  received  information  in  accordance  with  this  Article,  those  competent authorities  may  communicate  that  information  to  competent  authorities  of  other  Member  States  in  accordance  with Article 21(3). </w:t>
      </w:r>
    </w:p>
    <w:p>
      <w:pPr>
        <w:numPr>
          <w:ilvl w:val="0"/>
          <w:numId w:val="97"/>
        </w:numPr>
        <w:bidi w:val="0"/>
        <w:spacing w:before="31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Risk-related  information  shall  be  exchanged  as follows: </w:t>
      </w:r>
    </w:p>
    <w:p>
      <w:pPr>
        <w:numPr>
          <w:ilvl w:val="0"/>
          <w:numId w:val="98"/>
        </w:numPr>
        <w:bidi w:val="0"/>
        <w:spacing w:before="30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between  customs  authorities  in accordance  with  Article 46(5)  of  Regulation  (EU)  No  952/2013; </w:t>
      </w:r>
    </w:p>
    <w:p>
      <w:pPr>
        <w:numPr>
          <w:ilvl w:val="0"/>
          <w:numId w:val="98"/>
        </w:numPr>
        <w:bidi w:val="0"/>
        <w:spacing w:before="32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between customs authorities and the Commission in accordance with Article 47(2) of Regulation (EU) No 952/2013; </w:t>
      </w:r>
    </w:p>
    <w:p>
      <w:pPr>
        <w:numPr>
          <w:ilvl w:val="0"/>
          <w:numId w:val="98"/>
        </w:numPr>
        <w:bidi w:val="0"/>
        <w:spacing w:before="317" w:after="0" w:line="213" w:lineRule="atLeast"/>
        <w:ind w:right="13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between customs authorities and competent authorities, including competent authorities of other Member States, in accordance  with  Article 47(2)  of  Regulation  (EU)  No  952/2013.</w:t>
      </w:r>
    </w:p>
    <w:p>
      <w:pPr>
        <w:sectPr>
          <w:headerReference w:type="even" r:id="rId68"/>
          <w:headerReference w:type="default" r:id="rId69"/>
          <w:pgSz w:w="11906" w:h="16838"/>
          <w:pgMar w:top="1300" w:right="641" w:bottom="640" w:left="850" w:header="840" w:footer="708"/>
          <w:cols w:space="708"/>
          <w:titlePg w:val="0"/>
        </w:sectPr>
      </w:pPr>
    </w:p>
    <w:p>
      <w:pPr>
        <w:bidi w:val="0"/>
        <w:spacing w:before="144" w:after="0" w:line="341" w:lineRule="atLeast"/>
        <w:ind w:left="4310" w:right="4164" w:firstLine="455"/>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28</w:t>
      </w:r>
      <w:r>
        <w:rPr>
          <w:rFonts w:ascii="Times New Roman" w:eastAsia="Times New Roman" w:hAnsi="Times New Roman" w:cs="Times New Roman"/>
          <w:b/>
          <w:bCs/>
          <w:i w:val="0"/>
          <w:iCs w:val="0"/>
          <w:strike w:val="0"/>
          <w:color w:val="2E3238"/>
          <w:spacing w:val="0"/>
          <w:sz w:val="19"/>
          <w:szCs w:val="19"/>
          <w:u w:val="none"/>
          <w:rtl w:val="0"/>
        </w:rPr>
        <w:t xml:space="preserve">          Electronic  interface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99"/>
        </w:numPr>
        <w:bidi w:val="0"/>
        <w:spacing w:before="110" w:after="0" w:line="213" w:lineRule="atLeast"/>
        <w:ind w:right="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w:t>
      </w:r>
      <w:bookmarkStart w:id="47" w:name="_page30_x-5.00_y123.89"/>
      <w:bookmarkEnd w:id="47"/>
      <w:r>
        <w:rPr>
          <w:rFonts w:ascii="Times New Roman" w:eastAsia="Times New Roman" w:hAnsi="Times New Roman" w:cs="Times New Roman"/>
          <w:b w:val="0"/>
          <w:bCs w:val="0"/>
          <w:i w:val="0"/>
          <w:iCs w:val="0"/>
          <w:strike w:val="0"/>
          <w:color w:val="2E3238"/>
          <w:spacing w:val="0"/>
          <w:sz w:val="19"/>
          <w:szCs w:val="19"/>
          <w:u w:val="none"/>
          <w:rtl w:val="0"/>
        </w:rPr>
        <w:t xml:space="preserve"> Commission shall develop an electronic interface based on the European Union Single Window Environment for Customs,  established  by Regulation  (EU) 2022/2399  of the European  Parliament  and of the </w:t>
      </w:r>
      <w:hyperlink w:anchor="_page30_x-5.00_y768.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25</w:t>
        </w:r>
        <w:r>
          <w:rPr>
            <w:rFonts w:ascii="Times New Roman" w:eastAsia="Times New Roman" w:hAnsi="Times New Roman" w:cs="Times New Roman"/>
            <w:b w:val="0"/>
            <w:bCs w:val="0"/>
            <w:i w:val="0"/>
            <w:iCs w:val="0"/>
            <w:strike w:val="0"/>
            <w:color w:val="2E3238"/>
            <w:spacing w:val="0"/>
            <w:sz w:val="19"/>
            <w:szCs w:val="19"/>
            <w:u w:val="none"/>
            <w:rtl w:val="0"/>
          </w:rPr>
          <w:t>), to enable</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the transmission of data, in particular the notifications and requests referred to in Article 26(6) to (9) of this Regulation, between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systems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33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electronic  interface  shall  be  in place  by  30 June  2028. </w:t>
      </w:r>
    </w:p>
    <w:p>
      <w:pPr>
        <w:numPr>
          <w:ilvl w:val="0"/>
          <w:numId w:val="99"/>
        </w:numPr>
        <w:bidi w:val="0"/>
        <w:spacing w:before="408" w:after="0" w:line="213" w:lineRule="atLeast"/>
        <w:ind w:right="2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develop an electronic interface in accordance with Article 12 of Regulation (EU) 2022/2399 to  enable: </w:t>
      </w:r>
    </w:p>
    <w:p>
      <w:pPr>
        <w:numPr>
          <w:ilvl w:val="0"/>
          <w:numId w:val="100"/>
        </w:numPr>
        <w:bidi w:val="0"/>
        <w:spacing w:before="391" w:after="0" w:line="213" w:lineRule="atLeast"/>
        <w:ind w:right="6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and traders to comply with the obligation to submit the due diligence statement of a relevant commodity 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pursuant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4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making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available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single window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environment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8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2022/2399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receive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feedback thereon  from  competent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and </w:t>
      </w:r>
    </w:p>
    <w:p>
      <w:pPr>
        <w:numPr>
          <w:ilvl w:val="0"/>
          <w:numId w:val="100"/>
        </w:numPr>
        <w:bidi w:val="0"/>
        <w:spacing w:before="41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transmission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that  due  diligence  statement  to  the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system  referred  to in  Article</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33. </w:t>
      </w:r>
    </w:p>
    <w:p>
      <w:pPr>
        <w:numPr>
          <w:ilvl w:val="0"/>
          <w:numId w:val="101"/>
        </w:numPr>
        <w:bidi w:val="0"/>
        <w:spacing w:before="390" w:after="0" w:line="213" w:lineRule="atLeast"/>
        <w:ind w:right="-2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implementing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specifying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details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implementation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arrangements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paragraphs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  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particular,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defining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data,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format,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be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transmitted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accordance  with  paragraphs  1  and  2  of  this  Article.  The  implementing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acts  shall  also  clarify  how  any  changes  in  the status assigned by competent authorities to due diligence statements in the information system referred to in Article 33 shall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notified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immediately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automatically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customs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through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electronic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interface referred to in paragraph 1 of this Article. The implementing acts may also determine that certain specific data available in the due diligence statement and necessary for activities of customs authorities, including surveillance and fight against fraud, are transmitted and registered in Union and national customs systems. Those implementing acts shall be adopted in  accordance  with  the  examination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procedure  referred  to in  Article 36(2).</w:t>
      </w:r>
    </w:p>
    <w:p>
      <w:pPr>
        <w:bidi w:val="0"/>
        <w:spacing w:before="411" w:after="0" w:line="187" w:lineRule="atLeast"/>
        <w:ind w:left="4709"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5</w:t>
      </w:r>
      <w:r>
        <w:rPr>
          <w:rFonts w:ascii="Times New Roman" w:eastAsia="Times New Roman" w:hAnsi="Times New Roman" w:cs="Times New Roman"/>
          <w:b/>
          <w:bCs/>
          <w:i w:val="0"/>
          <w:iCs w:val="0"/>
          <w:strike w:val="0"/>
          <w:color w:val="2E3238"/>
          <w:spacing w:val="0"/>
          <w:sz w:val="17"/>
          <w:szCs w:val="17"/>
          <w:u w:val="none"/>
          <w:rtl w:val="0"/>
        </w:rPr>
        <w:t xml:space="preserve"> </w:t>
      </w:r>
    </w:p>
    <w:p>
      <w:pPr>
        <w:bidi w:val="0"/>
        <w:spacing w:before="138" w:after="0" w:line="187" w:lineRule="atLeast"/>
        <w:ind w:left="1738"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bCs/>
          <w:i w:val="0"/>
          <w:iCs w:val="0"/>
          <w:strike w:val="0"/>
          <w:color w:val="2E3238"/>
          <w:spacing w:val="0"/>
          <w:sz w:val="17"/>
          <w:szCs w:val="17"/>
          <w:u w:val="none"/>
          <w:rtl w:val="0"/>
        </w:rPr>
        <w:t xml:space="preserve">COUNTRY  BENCHMARKING </w:t>
      </w:r>
      <w:r>
        <w:rPr>
          <w:rFonts w:ascii="Times New Roman" w:eastAsia="Times New Roman" w:hAnsi="Times New Roman" w:cs="Times New Roman"/>
          <w:b/>
          <w:bCs/>
          <w:i w:val="0"/>
          <w:iCs w:val="0"/>
          <w:strike w:val="0"/>
          <w:color w:val="2E3238"/>
          <w:spacing w:val="6"/>
          <w:sz w:val="17"/>
          <w:szCs w:val="17"/>
          <w:u w:val="none"/>
          <w:rtl w:val="0"/>
        </w:rPr>
        <w:t xml:space="preserve"> </w:t>
      </w:r>
      <w:r>
        <w:rPr>
          <w:rFonts w:ascii="Times New Roman" w:eastAsia="Times New Roman" w:hAnsi="Times New Roman" w:cs="Times New Roman"/>
          <w:b/>
          <w:bCs/>
          <w:i w:val="0"/>
          <w:iCs w:val="0"/>
          <w:strike w:val="0"/>
          <w:color w:val="2E3238"/>
          <w:spacing w:val="0"/>
          <w:sz w:val="17"/>
          <w:szCs w:val="17"/>
          <w:u w:val="none"/>
          <w:rtl w:val="0"/>
        </w:rPr>
        <w:t xml:space="preserve">SYSTEM  AND  COOPERATION </w:t>
      </w:r>
      <w:r>
        <w:rPr>
          <w:rFonts w:ascii="Times New Roman" w:eastAsia="Times New Roman" w:hAnsi="Times New Roman" w:cs="Times New Roman"/>
          <w:b/>
          <w:bCs/>
          <w:i w:val="0"/>
          <w:iCs w:val="0"/>
          <w:strike w:val="0"/>
          <w:color w:val="2E3238"/>
          <w:spacing w:val="4"/>
          <w:sz w:val="17"/>
          <w:szCs w:val="17"/>
          <w:u w:val="none"/>
          <w:rtl w:val="0"/>
        </w:rPr>
        <w:t xml:space="preserve"> </w:t>
      </w:r>
      <w:r>
        <w:rPr>
          <w:rFonts w:ascii="Times New Roman" w:eastAsia="Times New Roman" w:hAnsi="Times New Roman" w:cs="Times New Roman"/>
          <w:b/>
          <w:bCs/>
          <w:i w:val="0"/>
          <w:iCs w:val="0"/>
          <w:strike w:val="0"/>
          <w:color w:val="2E3238"/>
          <w:spacing w:val="0"/>
          <w:sz w:val="17"/>
          <w:szCs w:val="17"/>
          <w:u w:val="none"/>
          <w:rtl w:val="0"/>
        </w:rPr>
        <w:t>WITH  THIRD  COUNTRIES</w:t>
      </w:r>
    </w:p>
    <w:p>
      <w:pPr>
        <w:bidi w:val="0"/>
        <w:spacing w:before="116" w:after="0" w:line="341" w:lineRule="atLeast"/>
        <w:ind w:left="4098" w:right="4001" w:firstLine="667"/>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29</w:t>
      </w:r>
      <w:r>
        <w:rPr>
          <w:rFonts w:ascii="Times New Roman" w:eastAsia="Times New Roman" w:hAnsi="Times New Roman" w:cs="Times New Roman"/>
          <w:b/>
          <w:bCs/>
          <w:i w:val="0"/>
          <w:iCs w:val="0"/>
          <w:strike w:val="0"/>
          <w:color w:val="2E3238"/>
          <w:spacing w:val="0"/>
          <w:sz w:val="19"/>
          <w:szCs w:val="19"/>
          <w:u w:val="none"/>
          <w:rtl w:val="0"/>
        </w:rPr>
        <w:t xml:space="preserve">             Assessment </w:t>
      </w:r>
      <w:r>
        <w:rPr>
          <w:rFonts w:ascii="Times New Roman" w:eastAsia="Times New Roman" w:hAnsi="Times New Roman" w:cs="Times New Roman"/>
          <w:b/>
          <w:bCs/>
          <w:i w:val="0"/>
          <w:iCs w:val="0"/>
          <w:strike w:val="0"/>
          <w:color w:val="2E3238"/>
          <w:spacing w:val="2"/>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of countries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02"/>
        </w:numPr>
        <w:bidi w:val="0"/>
        <w:spacing w:before="110" w:after="0" w:line="213" w:lineRule="atLeast"/>
        <w:ind w:right="28"/>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establishes  a three-tier system for the assessment  of countries  or parts thereof. For that purpose, Member  States  and  third  countries,  or  parts  thereof,  shall  be  classified  into  one  of  the  following  risk  categories: </w:t>
      </w:r>
    </w:p>
    <w:p>
      <w:pPr>
        <w:numPr>
          <w:ilvl w:val="0"/>
          <w:numId w:val="103"/>
        </w:numPr>
        <w:bidi w:val="0"/>
        <w:spacing w:before="390" w:after="0" w:line="213" w:lineRule="atLeast"/>
        <w:ind w:right="-2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‘high  risk’  refers  to  countries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parts  thereof,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which  the  assessment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to  in  paragraph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  results  in  the identification  of a high risk of producing in such countries or in parts thereof, relevant commodities  for which the relevant  products  do  not  comply  with  Article 3,  point  (a); </w:t>
      </w:r>
    </w:p>
    <w:p>
      <w:pPr>
        <w:numPr>
          <w:ilvl w:val="0"/>
          <w:numId w:val="103"/>
        </w:numPr>
        <w:bidi w:val="0"/>
        <w:spacing w:before="408" w:after="0" w:line="213" w:lineRule="atLeast"/>
        <w:ind w:right="-1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‘low  risk’  refers  to  countries  or  parts  thereof,  for  which  the  assessment  referred  to  in  paragraph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  concludes  that there is sufficient assurance that instances of producing in such countries or in parts thereof, relevant commodities for  which  the  relevant  products  do  not  comply  with  Article 3, point  (a),  are  exceptional; </w:t>
      </w:r>
    </w:p>
    <w:p>
      <w:pPr>
        <w:numPr>
          <w:ilvl w:val="0"/>
          <w:numId w:val="103"/>
        </w:numPr>
        <w:bidi w:val="0"/>
        <w:spacing w:before="410" w:after="0" w:line="213" w:lineRule="atLeast"/>
        <w:ind w:right="-10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‘standard risk’ refers to countries or parts thereof which do not fall in either the category ‘high risk’ or the category ‘low  risk’. </w:t>
      </w:r>
    </w:p>
    <w:p>
      <w:pPr>
        <w:numPr>
          <w:ilvl w:val="0"/>
          <w:numId w:val="104"/>
        </w:numPr>
        <w:bidi w:val="0"/>
        <w:spacing w:before="390" w:after="0" w:line="213" w:lineRule="atLeast"/>
        <w:ind w:right="-3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On 29 June 2023, all countries shall be assigned a standard level of risk. The Commission shall classify countries or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present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low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high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list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countries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thereof, that present a low or high risk shall be published by means of implementing acts to be adopted in accordance with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examination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procedure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36(2),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later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than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30 December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2024.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list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reviewed,  and  updated  if appropriate,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as often  as  necessary  in light  of  new  evidence.</w:t>
      </w:r>
    </w:p>
    <w:p>
      <w:pPr>
        <w:bidi w:val="0"/>
        <w:spacing w:before="255" w:after="0" w:line="181" w:lineRule="atLeast"/>
        <w:ind w:left="510" w:right="86" w:firstLine="0"/>
        <w:jc w:val="right"/>
        <w:outlineLvl w:val="9"/>
        <w:rPr>
          <w:rFonts w:ascii="Times New Roman" w:eastAsia="Times New Roman" w:hAnsi="Times New Roman" w:cs="Times New Roman"/>
          <w:sz w:val="17"/>
          <w:szCs w:val="17"/>
        </w:rPr>
      </w:pPr>
      <w:bookmarkStart w:id="48" w:name="_page30_x-5.00_y768.89"/>
      <w:bookmarkEnd w:id="48"/>
      <w:hyperlink w:anchor="_page30_x-5.00_y123.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25</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2022/2399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w:t>
      </w:r>
      <w:r>
        <w:rPr>
          <w:rFonts w:ascii="Times New Roman" w:eastAsia="Times New Roman" w:hAnsi="Times New Roman" w:cs="Times New Roman"/>
          <w:b w:val="0"/>
          <w:bCs w:val="0"/>
          <w:i w:val="0"/>
          <w:iCs w:val="0"/>
          <w:strike w:val="0"/>
          <w:color w:val="2E3238"/>
          <w:spacing w:val="1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Council </w:t>
      </w:r>
      <w:r>
        <w:rPr>
          <w:rFonts w:ascii="Times New Roman" w:eastAsia="Times New Roman" w:hAnsi="Times New Roman" w:cs="Times New Roman"/>
          <w:b w:val="0"/>
          <w:bCs w:val="0"/>
          <w:i w:val="0"/>
          <w:iCs w:val="0"/>
          <w:strike w:val="0"/>
          <w:color w:val="2E3238"/>
          <w:spacing w:val="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23 November </w:t>
      </w:r>
      <w:r>
        <w:rPr>
          <w:rFonts w:ascii="Times New Roman" w:eastAsia="Times New Roman" w:hAnsi="Times New Roman" w:cs="Times New Roman"/>
          <w:b w:val="0"/>
          <w:bCs w:val="0"/>
          <w:i w:val="0"/>
          <w:iCs w:val="0"/>
          <w:strike w:val="0"/>
          <w:color w:val="2E3238"/>
          <w:spacing w:val="1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2022 </w:t>
      </w:r>
      <w:r>
        <w:rPr>
          <w:rFonts w:ascii="Times New Roman" w:eastAsia="Times New Roman" w:hAnsi="Times New Roman" w:cs="Times New Roman"/>
          <w:b w:val="0"/>
          <w:bCs w:val="0"/>
          <w:i w:val="0"/>
          <w:iCs w:val="0"/>
          <w:strike w:val="0"/>
          <w:color w:val="2E3238"/>
          <w:spacing w:val="8"/>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establishing </w:t>
      </w:r>
      <w:r>
        <w:rPr>
          <w:rFonts w:ascii="Times New Roman" w:eastAsia="Times New Roman" w:hAnsi="Times New Roman" w:cs="Times New Roman"/>
          <w:b w:val="0"/>
          <w:bCs w:val="0"/>
          <w:i w:val="0"/>
          <w:iCs w:val="0"/>
          <w:strike w:val="0"/>
          <w:color w:val="2E3238"/>
          <w:spacing w:val="1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the </w:t>
      </w:r>
      <w:r>
        <w:rPr>
          <w:rFonts w:ascii="Times New Roman" w:eastAsia="Times New Roman" w:hAnsi="Times New Roman" w:cs="Times New Roman"/>
          <w:b w:val="0"/>
          <w:bCs w:val="0"/>
          <w:i w:val="0"/>
          <w:iCs w:val="0"/>
          <w:strike w:val="0"/>
          <w:color w:val="2E3238"/>
          <w:spacing w:val="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European Union </w:t>
      </w:r>
      <w:r>
        <w:pict>
          <v:shape id="PathGroup" o:spid="_x0000_s1038" type="#_x0000_t75" style="width:55pt;height:4pt;margin-top:9.13pt;margin-left:66pt;mso-position-horizontal-relative:page;position:absolute;z-index:-251644928" o:allowincell="f">
            <v:imagedata r:id="rId28" o:title=""/>
            <w10:anchorlock/>
          </v:shape>
        </w:pic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Single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Window </w:t>
      </w:r>
      <w:r>
        <w:rPr>
          <w:rFonts w:ascii="Times New Roman" w:eastAsia="Times New Roman" w:hAnsi="Times New Roman" w:cs="Times New Roman"/>
          <w:b w:val="0"/>
          <w:bCs w:val="0"/>
          <w:i w:val="0"/>
          <w:iCs w:val="0"/>
          <w:strike w:val="0"/>
          <w:color w:val="2E3238"/>
          <w:spacing w:val="17"/>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Environment </w:t>
      </w:r>
      <w:r>
        <w:rPr>
          <w:rFonts w:ascii="Times New Roman" w:eastAsia="Times New Roman" w:hAnsi="Times New Roman" w:cs="Times New Roman"/>
          <w:b w:val="0"/>
          <w:bCs w:val="0"/>
          <w:i w:val="0"/>
          <w:iCs w:val="0"/>
          <w:strike w:val="0"/>
          <w:color w:val="2E3238"/>
          <w:spacing w:val="2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for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Customs </w:t>
      </w:r>
      <w:r>
        <w:rPr>
          <w:rFonts w:ascii="Times New Roman" w:eastAsia="Times New Roman" w:hAnsi="Times New Roman" w:cs="Times New Roman"/>
          <w:b w:val="0"/>
          <w:bCs w:val="0"/>
          <w:i w:val="0"/>
          <w:iCs w:val="0"/>
          <w:strike w:val="0"/>
          <w:color w:val="2E3238"/>
          <w:spacing w:val="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amending </w:t>
      </w:r>
      <w:r>
        <w:rPr>
          <w:rFonts w:ascii="Times New Roman" w:eastAsia="Times New Roman" w:hAnsi="Times New Roman" w:cs="Times New Roman"/>
          <w:b w:val="0"/>
          <w:bCs w:val="0"/>
          <w:i w:val="0"/>
          <w:iCs w:val="0"/>
          <w:strike w:val="0"/>
          <w:color w:val="2E3238"/>
          <w:spacing w:val="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2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No </w:t>
      </w:r>
      <w:r>
        <w:rPr>
          <w:rFonts w:ascii="Times New Roman" w:eastAsia="Times New Roman" w:hAnsi="Times New Roman" w:cs="Times New Roman"/>
          <w:b w:val="0"/>
          <w:bCs w:val="0"/>
          <w:i w:val="0"/>
          <w:iCs w:val="0"/>
          <w:strike w:val="0"/>
          <w:color w:val="2E3238"/>
          <w:spacing w:val="16"/>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952/2013 </w:t>
      </w:r>
      <w:r>
        <w:rPr>
          <w:rFonts w:ascii="Times New Roman" w:eastAsia="Times New Roman" w:hAnsi="Times New Roman" w:cs="Times New Roman"/>
          <w:b w:val="0"/>
          <w:bCs w:val="0"/>
          <w:i w:val="0"/>
          <w:iCs w:val="0"/>
          <w:strike w:val="0"/>
          <w:color w:val="2E3238"/>
          <w:spacing w:val="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(OJ </w:t>
      </w:r>
      <w:r>
        <w:rPr>
          <w:rFonts w:ascii="Times New Roman" w:eastAsia="Times New Roman" w:hAnsi="Times New Roman" w:cs="Times New Roman"/>
          <w:b w:val="0"/>
          <w:bCs w:val="0"/>
          <w:i w:val="0"/>
          <w:iCs w:val="0"/>
          <w:strike w:val="0"/>
          <w:color w:val="2E3238"/>
          <w:spacing w:val="1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L 317, </w:t>
      </w:r>
      <w:r>
        <w:rPr>
          <w:rFonts w:ascii="Times New Roman" w:eastAsia="Times New Roman" w:hAnsi="Times New Roman" w:cs="Times New Roman"/>
          <w:b w:val="0"/>
          <w:bCs w:val="0"/>
          <w:i w:val="0"/>
          <w:iCs w:val="0"/>
          <w:strike w:val="0"/>
          <w:color w:val="2E3238"/>
          <w:spacing w:val="1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9.12.2022, </w:t>
      </w:r>
      <w:r>
        <w:rPr>
          <w:rFonts w:ascii="Times New Roman" w:eastAsia="Times New Roman" w:hAnsi="Times New Roman" w:cs="Times New Roman"/>
          <w:b w:val="0"/>
          <w:bCs w:val="0"/>
          <w:i w:val="0"/>
          <w:iCs w:val="0"/>
          <w:strike w:val="0"/>
          <w:color w:val="2E3238"/>
          <w:spacing w:val="2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1).</w:t>
      </w:r>
    </w:p>
    <w:p>
      <w:pPr>
        <w:sectPr>
          <w:headerReference w:type="even" r:id="rId70"/>
          <w:headerReference w:type="default" r:id="rId71"/>
          <w:pgSz w:w="11906" w:h="16838"/>
          <w:pgMar w:top="1300" w:right="689" w:bottom="640" w:left="850" w:header="840" w:footer="708"/>
          <w:cols w:space="708"/>
          <w:titlePg w:val="0"/>
        </w:sectPr>
      </w:pPr>
    </w:p>
    <w:p>
      <w:pPr>
        <w:numPr>
          <w:ilvl w:val="0"/>
          <w:numId w:val="105"/>
        </w:numPr>
        <w:bidi w:val="0"/>
        <w:spacing w:before="272" w:after="0" w:line="213" w:lineRule="atLeast"/>
        <w:ind w:right="5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classification  of low-risk and high-risk countries  or parts thereof, pursuant to paragraph 1 shall be based on an  objective  and  transparent  assessment  by  the  Commission,  taking  into  account  the  latest  scientific  evidence  and internationally  recognised  sources.  The  classification  shall  be  based  primarily  on  the  following  assessment  criteria: </w:t>
      </w:r>
    </w:p>
    <w:p>
      <w:pPr>
        <w:numPr>
          <w:ilvl w:val="0"/>
          <w:numId w:val="106"/>
        </w:numPr>
        <w:bidi w:val="0"/>
        <w:spacing w:before="32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rate  of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w:t>
      </w:r>
    </w:p>
    <w:p>
      <w:pPr>
        <w:numPr>
          <w:ilvl w:val="0"/>
          <w:numId w:val="106"/>
        </w:numPr>
        <w:bidi w:val="0"/>
        <w:spacing w:before="34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rate  of  expansion  of  agriculture  land  for  relevant  commodities; </w:t>
      </w:r>
    </w:p>
    <w:p>
      <w:pPr>
        <w:numPr>
          <w:ilvl w:val="0"/>
          <w:numId w:val="106"/>
        </w:numPr>
        <w:bidi w:val="0"/>
        <w:spacing w:before="34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production  trends  of  relevant  commodities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of  relevant  products. </w:t>
      </w:r>
    </w:p>
    <w:p>
      <w:pPr>
        <w:numPr>
          <w:ilvl w:val="0"/>
          <w:numId w:val="107"/>
        </w:numPr>
        <w:bidi w:val="0"/>
        <w:spacing w:before="32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assessment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to  in  paragraph  3 may  also  take  into  account: </w:t>
      </w:r>
    </w:p>
    <w:p>
      <w:pPr>
        <w:numPr>
          <w:ilvl w:val="0"/>
          <w:numId w:val="108"/>
        </w:numPr>
        <w:bidi w:val="0"/>
        <w:spacing w:before="326" w:after="0" w:line="213" w:lineRule="atLeast"/>
        <w:ind w:right="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information submitted by the country concerned, regional authorities concerned, operators, NGOs and third parties, including indigenous peoples, local communities and civil society organisations, with regard to the effective covering of emissions  and removals from agriculture,  forestry and land use in the nationally determined  contribution  to the UNFCCC; </w:t>
      </w:r>
    </w:p>
    <w:p>
      <w:pPr>
        <w:numPr>
          <w:ilvl w:val="0"/>
          <w:numId w:val="108"/>
        </w:numPr>
        <w:bidi w:val="0"/>
        <w:spacing w:before="345" w:after="0" w:line="213" w:lineRule="atLeast"/>
        <w:ind w:right="7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agreements  and  other  instruments  between  the  country  concerned  and  the  Union  and/or  its  Member  States  that address deforestation and forest degradation and facilitate compliance of relevant commodities and relevant products with  Article 3 and  their  effective  implementation; </w:t>
      </w:r>
    </w:p>
    <w:p>
      <w:pPr>
        <w:numPr>
          <w:ilvl w:val="0"/>
          <w:numId w:val="108"/>
        </w:numPr>
        <w:bidi w:val="0"/>
        <w:spacing w:before="345" w:after="0" w:line="213" w:lineRule="atLeast"/>
        <w:ind w:right="2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whether the country concerned has national or subnational laws in place, including in accordance with Article 5 of the Paris Agreement, and takes effective enforcement measures to tackle deforestation and forest degradation, and to avoid  and  penalise  activities  leading  to  deforestation  and  forest  degradation  and  in  particular  whether  it  applies penalties  of  sufficient  severity  to deprive  of  the  benefits  accruing  from  deforestation  or forest  degradation; </w:t>
      </w:r>
    </w:p>
    <w:p>
      <w:pPr>
        <w:numPr>
          <w:ilvl w:val="0"/>
          <w:numId w:val="108"/>
        </w:numPr>
        <w:bidi w:val="0"/>
        <w:spacing w:before="345"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whether  the  country  concerned  makes  relevant  data  available  transparently;  and,  if  applicable,  the  existence, compliance  with,  or  effective  enforcement  of  laws  protecting  human  rights,  the  rights  of  indigenous  peoples, local  communities  and  other  customary  tenure  rights  holders; </w:t>
      </w:r>
    </w:p>
    <w:p>
      <w:pPr>
        <w:numPr>
          <w:ilvl w:val="0"/>
          <w:numId w:val="108"/>
        </w:numPr>
        <w:bidi w:val="0"/>
        <w:spacing w:before="345" w:after="0" w:line="213" w:lineRule="atLeast"/>
        <w:ind w:right="1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sanctions imposed by the UN Security Council or the Council of the European Union on imports or exports of the relevant  commodities  and  relevant  products. </w:t>
      </w:r>
    </w:p>
    <w:p>
      <w:pPr>
        <w:numPr>
          <w:ilvl w:val="0"/>
          <w:numId w:val="109"/>
        </w:numPr>
        <w:bidi w:val="0"/>
        <w:spacing w:before="326" w:after="0" w:line="213" w:lineRule="atLeast"/>
        <w:ind w:right="-10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engage in a specific dialogue with all countries that are, or risk to be classified as, high risk, with  the  objective  to  reduce  their  level  of  risk. </w:t>
      </w:r>
    </w:p>
    <w:p>
      <w:pPr>
        <w:numPr>
          <w:ilvl w:val="0"/>
          <w:numId w:val="109"/>
        </w:numPr>
        <w:bidi w:val="0"/>
        <w:spacing w:before="345" w:after="0" w:line="213" w:lineRule="atLeast"/>
        <w:ind w:right="1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paragraph 5, the Commission shall formally notify the country concerned of its intention to classify that country or a part thereof to a different risk category and invite it to provide any information deemed useful in  that  regard.  The  Commission  shall  also  inform  the  competent  authorities  of  such  intention. </w:t>
      </w:r>
    </w:p>
    <w:p>
      <w:pPr>
        <w:bidi w:val="0"/>
        <w:spacing w:before="329" w:after="0" w:line="210" w:lineRule="atLeast"/>
        <w:ind w:left="51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include  the  following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notification: </w:t>
      </w:r>
    </w:p>
    <w:p>
      <w:pPr>
        <w:numPr>
          <w:ilvl w:val="0"/>
          <w:numId w:val="110"/>
        </w:numPr>
        <w:bidi w:val="0"/>
        <w:spacing w:before="329"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reason  or  reasons  for  the  intention  to  change  the  risk  classification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country  or parts  thereof; </w:t>
      </w:r>
    </w:p>
    <w:p>
      <w:pPr>
        <w:numPr>
          <w:ilvl w:val="0"/>
          <w:numId w:val="110"/>
        </w:numPr>
        <w:bidi w:val="0"/>
        <w:spacing w:before="345" w:after="0" w:line="213" w:lineRule="atLeast"/>
        <w:ind w:right="17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invitation  to respond  to  the  Commission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writing  with  regard  to  the  intention  to  changing  the  risk  classifi­ cation  of  the  country  or parts  thereof; </w:t>
      </w:r>
    </w:p>
    <w:p>
      <w:pPr>
        <w:numPr>
          <w:ilvl w:val="0"/>
          <w:numId w:val="110"/>
        </w:numPr>
        <w:bidi w:val="0"/>
        <w:spacing w:before="348"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consequences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its  classification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a  high  or low  risk  country. </w:t>
      </w:r>
    </w:p>
    <w:p>
      <w:pPr>
        <w:numPr>
          <w:ilvl w:val="0"/>
          <w:numId w:val="111"/>
        </w:numPr>
        <w:bidi w:val="0"/>
        <w:spacing w:before="326" w:after="0" w:line="213" w:lineRule="atLeast"/>
        <w:ind w:right="7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allow  the  country  concerned  sufficient  time  to  reply  to  the  notification.  Where  the notification  concerns  an  intention  on  the  part  of  the  Commission  to  classify  the  country  or  a  part  thereof  to  a higher  risk,  in  its  reply,  the  country  concerned  may  provide  the  Commission  with  information  on  measures  taken by  it  to  remedy  the  situation. </w:t>
      </w:r>
    </w:p>
    <w:p>
      <w:pPr>
        <w:numPr>
          <w:ilvl w:val="0"/>
          <w:numId w:val="111"/>
        </w:numPr>
        <w:bidi w:val="0"/>
        <w:spacing w:before="345" w:after="0" w:line="213" w:lineRule="atLeast"/>
        <w:ind w:right="9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Commission shall, without delay, notify the country concerned and the competent authorities of inclusion or removal  of  a  country,  or parts  thereof,  from  the  list  referred  to in  paragraph  2.</w:t>
      </w:r>
    </w:p>
    <w:p>
      <w:pPr>
        <w:sectPr>
          <w:headerReference w:type="even" r:id="rId72"/>
          <w:headerReference w:type="default" r:id="rId73"/>
          <w:pgSz w:w="11906" w:h="16838"/>
          <w:pgMar w:top="1300" w:right="688" w:bottom="640" w:left="850" w:header="840" w:footer="708"/>
          <w:cols w:space="708"/>
          <w:titlePg w:val="0"/>
        </w:sectPr>
      </w:pPr>
    </w:p>
    <w:p>
      <w:pPr>
        <w:bidi w:val="0"/>
        <w:spacing w:before="144" w:after="0" w:line="341" w:lineRule="atLeast"/>
        <w:ind w:left="3717" w:right="3639" w:firstLine="1048"/>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30</w:t>
      </w:r>
      <w:r>
        <w:rPr>
          <w:rFonts w:ascii="Times New Roman" w:eastAsia="Times New Roman" w:hAnsi="Times New Roman" w:cs="Times New Roman"/>
          <w:b/>
          <w:bCs/>
          <w:i w:val="0"/>
          <w:iCs w:val="0"/>
          <w:strike w:val="0"/>
          <w:color w:val="2E3238"/>
          <w:spacing w:val="0"/>
          <w:sz w:val="19"/>
          <w:szCs w:val="19"/>
          <w:u w:val="none"/>
          <w:rtl w:val="0"/>
        </w:rPr>
        <w:t xml:space="preserve">                      Cooperation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with  third  countries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12"/>
        </w:numPr>
        <w:bidi w:val="0"/>
        <w:spacing w:before="110" w:after="0" w:line="213" w:lineRule="atLeast"/>
        <w:ind w:right="9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Within their respective  spheres  of competence,  the Commission,  on behalf of the Union,  and interested  Member States  shall  engage  in  a  coordinated  approach  with  producer  countries  and  parts  thereof  that  are  concerned  by  this Regulation, in particular those classified as high risk in accordance with Article 29 through existing and future partner­ ships,  and  other  relevant  cooperation  mechanisms  to  jointly  address  the  root  causes  of  deforestation  and  forest degradation.  The  Commission  shall  develop  a  comprehensive  Union  strategic  framework  for  such  engagement  and shall consider mobilising relevant Union instruments. Such partnerships and cooperation mechanisms shall focus on the conservation,  restoration  and  sustainable  use  of  forests,  deforestation,  forest  degradation,  and  the  transition  to sustainable  commodity  production,  consumption,  processing,  and  trade  methods.  Partnerships  and  cooperation  mech­ anisms may include structured dialogues, administrative arrangements, and existing agreements or provisions thereof, as well as joint roadmaps  that enable the transition  to an agricultural  production  that facilitates the compliance  with this Regulation,  paying  particular  attention  to  the  needs  of  indigenous  peoples,  local  communities  and  smallholders  and ensuring  the  participation  of  all interested  actors. </w:t>
      </w:r>
    </w:p>
    <w:p>
      <w:pPr>
        <w:numPr>
          <w:ilvl w:val="0"/>
          <w:numId w:val="112"/>
        </w:numPr>
        <w:bidi w:val="0"/>
        <w:spacing w:before="435" w:after="0" w:line="213" w:lineRule="atLeast"/>
        <w:ind w:right="7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Partnerships  and  cooperation  shall  allow  the  full  participation  of  all  stakeholders,  including  civil  society, indigenous  peoples,  local  communities,  women,  the  private  sector  including  microenterprises  and  other  SMEs,  and smallholders.  Partnerships  and  cooperation  shall  also  support  or  initiate  inclusive  and  participatory  dialogue  towards national legal and governance reform processes to enhance forest governance and address domestic factors contributing to  deforestation. </w:t>
      </w:r>
    </w:p>
    <w:p>
      <w:pPr>
        <w:numPr>
          <w:ilvl w:val="0"/>
          <w:numId w:val="112"/>
        </w:numPr>
        <w:bidi w:val="0"/>
        <w:spacing w:before="437" w:after="0" w:line="213" w:lineRule="atLeast"/>
        <w:ind w:right="6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Partnerships  and  cooperation  shall  promote  the development  of integrated  land  use planning  processes,  relevant legislation  of producer countries, multi-stakeholder  processes, fiscal or commercial  incentives and other pertinent tools to  improve  forest  and  biodiversity  conservation,  sustainable  management  and  restoration  of  forests,  tackle  the conversion  of  forests  and  vulnerable  ecosystems  to  other  land  uses,  optimise  gains  for  the  landscape,  tenure  security, agriculture  productivity  and  competitiveness,  and  the  transparency  of  supply  chains,  strengthen  the  rights  of  forest- dependent communities, including smallholders, local communities, and indigenous peoples, whose rights are set out in the UN Declaration on the Rights of Indigenous Peoples, and ensure public access to forest management documents and other  relevant  information. </w:t>
      </w:r>
    </w:p>
    <w:p>
      <w:pPr>
        <w:numPr>
          <w:ilvl w:val="0"/>
          <w:numId w:val="112"/>
        </w:numPr>
        <w:bidi w:val="0"/>
        <w:spacing w:before="437" w:after="0" w:line="213" w:lineRule="atLeast"/>
        <w:ind w:right="-3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Within  their  respective  spheres  of  competence,  the  Commission,  on  behalf  of  the  Union,  or  Member  States,  or both, shall engage in international bilateral and multilateral discussion on policies and actions to halt deforestation and forest  degradation,  including  in  multilateral  fora  such  as  CBD,  FAO,  UN  Convention  to  Combat  Desertification,  UN Environment  Assembly,  UN  Forum  on  Forests,  UNFCCC,  WTO,  G7  and  G20.  Such  engagement  shall  include  the promotion  of  the  transition  to  sustainable  agricultural  production  and  sustainable  forest  management  as  well  as  the development of transparent and sustainable supply chains as well as continued efforts towards identifying and agreeing robust  standards  and  definitions  that  ensure  a  high  level  of  protection  of  forests  and  other  natural  ecosystems  and related  human  rights. </w:t>
      </w:r>
    </w:p>
    <w:p>
      <w:pPr>
        <w:numPr>
          <w:ilvl w:val="0"/>
          <w:numId w:val="112"/>
        </w:numPr>
        <w:bidi w:val="0"/>
        <w:spacing w:before="437" w:after="0" w:line="213" w:lineRule="atLeast"/>
        <w:ind w:right="10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Within their respective  spheres  of competence,  the Commission,  on behalf of the Union,  and interested  Member States  shall  engage  in  dialogue  and  cooperation  with  other  major  consuming  countries,  to  promote  the  adoption  of ambitious  requirements  to minimise  such countries’ contribution  to deforestation  and forest degradation,  and a global level  playing  field.</w:t>
      </w:r>
    </w:p>
    <w:p>
      <w:pPr>
        <w:bidi w:val="0"/>
        <w:spacing w:before="285" w:after="0" w:line="341" w:lineRule="atLeast"/>
        <w:ind w:left="3962" w:right="3788" w:firstLine="747"/>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6</w:t>
      </w:r>
      <w:r>
        <w:rPr>
          <w:rFonts w:ascii="Times New Roman" w:eastAsia="Times New Roman" w:hAnsi="Times New Roman" w:cs="Times New Roman"/>
          <w:b/>
          <w:bCs/>
          <w:i w:val="0"/>
          <w:iCs w:val="0"/>
          <w:strike w:val="0"/>
          <w:color w:val="2E3238"/>
          <w:spacing w:val="0"/>
          <w:sz w:val="17"/>
          <w:szCs w:val="17"/>
          <w:u w:val="none"/>
          <w:rtl w:val="0"/>
        </w:rPr>
        <w:t xml:space="preserve">                   SUBSTANTIATED  CONCERNS</w:t>
      </w:r>
    </w:p>
    <w:p>
      <w:pPr>
        <w:bidi w:val="0"/>
        <w:spacing w:before="246"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31</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10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Natural  or  legal  persons’ substantiated </w:t>
      </w:r>
      <w:r>
        <w:rPr>
          <w:rFonts w:ascii="Times New Roman" w:eastAsia="Times New Roman" w:hAnsi="Times New Roman" w:cs="Times New Roman"/>
          <w:b/>
          <w:bCs/>
          <w:i w:val="0"/>
          <w:iCs w:val="0"/>
          <w:strike w:val="0"/>
          <w:color w:val="2E3238"/>
          <w:spacing w:val="2"/>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concerns</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13"/>
        </w:numPr>
        <w:bidi w:val="0"/>
        <w:spacing w:before="110" w:after="0" w:line="213" w:lineRule="atLeast"/>
        <w:ind w:right="18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Natural or legal persons may submit substantiated concerns to competent authorities when they consider that one or more  operators  or traders  are  not  complying  with  this  Regulation. </w:t>
      </w:r>
    </w:p>
    <w:p>
      <w:pPr>
        <w:numPr>
          <w:ilvl w:val="0"/>
          <w:numId w:val="113"/>
        </w:numPr>
        <w:bidi w:val="0"/>
        <w:spacing w:before="437" w:after="0" w:line="213" w:lineRule="atLeast"/>
        <w:ind w:right="7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Competent  authorities  shall,  without  undue  delay,  diligently  and  impartially  assess  the  substantiated  concerns, including  whether  the  claims  are  well-founded,  and  take  the  necessary  steps,  including  carrying  out  checks  and conducting  hearings  of operators  and  traders,  with  a view  to  detecting  potential  non-compliance  with  this  Regulation and,  where  appropriate,  taking  interim  measures  under  Article 23  to  prevent  the  placing  or  making  available  on  the market  and  export  of  relevant  products  under  investigation.</w:t>
      </w:r>
    </w:p>
    <w:p>
      <w:pPr>
        <w:sectPr>
          <w:headerReference w:type="even" r:id="rId74"/>
          <w:headerReference w:type="default" r:id="rId75"/>
          <w:pgSz w:w="11906" w:h="16838"/>
          <w:pgMar w:top="1300" w:right="642" w:bottom="640" w:left="850" w:header="840" w:footer="708"/>
          <w:cols w:space="708"/>
          <w:titlePg w:val="0"/>
        </w:sectPr>
      </w:pPr>
    </w:p>
    <w:p>
      <w:pPr>
        <w:numPr>
          <w:ilvl w:val="0"/>
          <w:numId w:val="114"/>
        </w:numPr>
        <w:bidi w:val="0"/>
        <w:spacing w:before="272" w:after="0" w:line="213" w:lineRule="atLeast"/>
        <w:ind w:right="94"/>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Within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30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days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receiving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substantiated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if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otherwise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law,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authority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persons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referred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paragraph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who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submitted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substantiated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follow-up  given  to the  submission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shall  provide  the  reasons  for  it. </w:t>
      </w:r>
    </w:p>
    <w:p>
      <w:pPr>
        <w:numPr>
          <w:ilvl w:val="0"/>
          <w:numId w:val="114"/>
        </w:numPr>
        <w:bidi w:val="0"/>
        <w:spacing w:before="299" w:after="0" w:line="213" w:lineRule="atLeast"/>
        <w:ind w:right="4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Without</w:t>
      </w:r>
      <w:bookmarkStart w:id="49" w:name="_page33_x-5.00_y135.89"/>
      <w:bookmarkEnd w:id="49"/>
      <w:r>
        <w:rPr>
          <w:rFonts w:ascii="Times New Roman" w:eastAsia="Times New Roman" w:hAnsi="Times New Roman" w:cs="Times New Roman"/>
          <w:b w:val="0"/>
          <w:bCs w:val="0"/>
          <w:i w:val="0"/>
          <w:iCs w:val="0"/>
          <w:strike w:val="0"/>
          <w:color w:val="2E3238"/>
          <w:spacing w:val="0"/>
          <w:sz w:val="19"/>
          <w:szCs w:val="19"/>
          <w:u w:val="none"/>
          <w:rtl w:val="0"/>
        </w:rPr>
        <w:t xml:space="preserve"> prejudice to the obligations pursuant to Directive (EU) 2019/1937 of the European Parliament and of the Council</w:t>
      </w:r>
      <w:hyperlink w:anchor="_page33_x-5.00_y768.89" w:history="1">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2"/>
            <w:szCs w:val="12"/>
            <w:u w:val="none"/>
            <w:rtl w:val="0"/>
          </w:rPr>
          <w:t>26</w:t>
        </w:r>
        <w:r>
          <w:rPr>
            <w:rFonts w:ascii="Times New Roman" w:eastAsia="Times New Roman" w:hAnsi="Times New Roman" w:cs="Times New Roman"/>
            <w:b w:val="0"/>
            <w:bCs w:val="0"/>
            <w:i w:val="0"/>
            <w:iCs w:val="0"/>
            <w:strike w:val="0"/>
            <w:color w:val="2E3238"/>
            <w:spacing w:val="0"/>
            <w:sz w:val="19"/>
            <w:szCs w:val="19"/>
            <w:u w:val="none"/>
            <w:rtl w:val="0"/>
          </w:rPr>
          <w:t>), Member States shall provide for measures to protect the identity of the natural or legal persons who submit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substantiated concerns or who conduct investigations with the aim of verifying compliance by operators or traders with </w:t>
      </w:r>
    </w:p>
    <w:p>
      <w:pPr>
        <w:bidi w:val="0"/>
        <w:spacing w:before="3" w:after="0" w:line="210" w:lineRule="atLeast"/>
        <w:ind w:left="510"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w:t>
      </w:r>
    </w:p>
    <w:p>
      <w:pPr>
        <w:bidi w:val="0"/>
        <w:spacing w:before="153" w:after="0" w:line="341" w:lineRule="atLeast"/>
        <w:ind w:left="4416" w:right="4298" w:firstLine="348"/>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32</w:t>
      </w:r>
      <w:r>
        <w:rPr>
          <w:rFonts w:ascii="Times New Roman" w:eastAsia="Times New Roman" w:hAnsi="Times New Roman" w:cs="Times New Roman"/>
          <w:b/>
          <w:bCs/>
          <w:i w:val="0"/>
          <w:iCs w:val="0"/>
          <w:strike w:val="0"/>
          <w:color w:val="2E3238"/>
          <w:spacing w:val="0"/>
          <w:sz w:val="19"/>
          <w:szCs w:val="19"/>
          <w:u w:val="none"/>
          <w:rtl w:val="0"/>
        </w:rPr>
        <w:t xml:space="preserve">       Access  to  justice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15"/>
        </w:numPr>
        <w:bidi w:val="0"/>
        <w:spacing w:before="110" w:after="0" w:line="213" w:lineRule="atLeast"/>
        <w:ind w:right="-18"/>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Any  natural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legal  person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sufficient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interest,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determined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accordance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the  existing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systems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remedies,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persons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meet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criteria,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if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laid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down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national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law, including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persons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who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submitted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substantiated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31,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access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administrative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judicial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procedures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review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legality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decisions,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failure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under  this  Regulation. </w:t>
      </w:r>
    </w:p>
    <w:p>
      <w:pPr>
        <w:numPr>
          <w:ilvl w:val="0"/>
          <w:numId w:val="115"/>
        </w:numPr>
        <w:bidi w:val="0"/>
        <w:spacing w:before="299" w:after="0" w:line="213" w:lineRule="atLeast"/>
        <w:ind w:right="-6"/>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shall be without prejudice to any provisions  of national law which regulate access to justice and those  which  require  that  administrative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review  procedures  be  exhausted  prior  to  recourse  to  judicial  proceedings.</w:t>
      </w:r>
    </w:p>
    <w:p>
      <w:pPr>
        <w:bidi w:val="0"/>
        <w:spacing w:before="148" w:after="0" w:line="341" w:lineRule="atLeast"/>
        <w:ind w:left="4179" w:right="3948" w:firstLine="529"/>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7</w:t>
      </w:r>
      <w:r>
        <w:rPr>
          <w:rFonts w:ascii="Times New Roman" w:eastAsia="Times New Roman" w:hAnsi="Times New Roman" w:cs="Times New Roman"/>
          <w:b/>
          <w:bCs/>
          <w:i w:val="0"/>
          <w:iCs w:val="0"/>
          <w:strike w:val="0"/>
          <w:color w:val="2E3238"/>
          <w:spacing w:val="0"/>
          <w:sz w:val="17"/>
          <w:szCs w:val="17"/>
          <w:u w:val="none"/>
          <w:rtl w:val="0"/>
        </w:rPr>
        <w:t xml:space="preserve">              INFORMATION </w:t>
      </w:r>
      <w:r>
        <w:rPr>
          <w:rFonts w:ascii="Times New Roman" w:eastAsia="Times New Roman" w:hAnsi="Times New Roman" w:cs="Times New Roman"/>
          <w:b/>
          <w:bCs/>
          <w:i w:val="0"/>
          <w:iCs w:val="0"/>
          <w:strike w:val="0"/>
          <w:color w:val="2E3238"/>
          <w:spacing w:val="3"/>
          <w:sz w:val="17"/>
          <w:szCs w:val="17"/>
          <w:u w:val="none"/>
          <w:rtl w:val="0"/>
        </w:rPr>
        <w:t xml:space="preserve"> </w:t>
      </w:r>
      <w:r>
        <w:rPr>
          <w:rFonts w:ascii="Times New Roman" w:eastAsia="Times New Roman" w:hAnsi="Times New Roman" w:cs="Times New Roman"/>
          <w:b/>
          <w:bCs/>
          <w:i w:val="0"/>
          <w:iCs w:val="0"/>
          <w:strike w:val="0"/>
          <w:color w:val="2E3238"/>
          <w:spacing w:val="0"/>
          <w:sz w:val="17"/>
          <w:szCs w:val="17"/>
          <w:u w:val="none"/>
          <w:rtl w:val="0"/>
        </w:rPr>
        <w:t>SYSTEM</w:t>
      </w:r>
    </w:p>
    <w:p>
      <w:pPr>
        <w:bidi w:val="0"/>
        <w:spacing w:before="116" w:after="0" w:line="341" w:lineRule="atLeast"/>
        <w:ind w:left="4300" w:right="4182" w:firstLine="465"/>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33</w:t>
      </w:r>
      <w:r>
        <w:rPr>
          <w:rFonts w:ascii="Times New Roman" w:eastAsia="Times New Roman" w:hAnsi="Times New Roman" w:cs="Times New Roman"/>
          <w:b/>
          <w:bCs/>
          <w:i w:val="0"/>
          <w:iCs w:val="0"/>
          <w:strike w:val="0"/>
          <w:color w:val="2E3238"/>
          <w:spacing w:val="0"/>
          <w:sz w:val="19"/>
          <w:szCs w:val="19"/>
          <w:u w:val="none"/>
          <w:rtl w:val="0"/>
        </w:rPr>
        <w:t xml:space="preserve">         Information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system</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16"/>
        </w:numPr>
        <w:bidi w:val="0"/>
        <w:spacing w:before="107" w:after="0" w:line="214" w:lineRule="atLeast"/>
        <w:ind w:right="8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30 December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2024,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establish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subsequently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maintain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information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which  shall  contain  the  due  diligence  statements  made  available  pursuant  to  Article 4(2). </w:t>
      </w:r>
    </w:p>
    <w:p>
      <w:pPr>
        <w:numPr>
          <w:ilvl w:val="0"/>
          <w:numId w:val="116"/>
        </w:numPr>
        <w:bidi w:val="0"/>
        <w:spacing w:before="298" w:after="0" w:line="213" w:lineRule="atLeast"/>
        <w:ind w:right="7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Without  prejudice  to the fulfilment  of obligations  established  in Chapters  2 and 3, the information  system  shall provide  at least  the  following  functionalities: </w:t>
      </w:r>
    </w:p>
    <w:p>
      <w:pPr>
        <w:numPr>
          <w:ilvl w:val="0"/>
          <w:numId w:val="117"/>
        </w:numPr>
        <w:bidi w:val="0"/>
        <w:spacing w:before="281" w:after="0" w:line="213" w:lineRule="atLeast"/>
        <w:ind w:right="-1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registration of operators and traders and their authorised representatives in the Union; for operators placing relevant products under the customs procedure ‘release for free circulation’ or ‘export’, the Economic Operators Registration and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Identification </w:t>
      </w:r>
      <w:r>
        <w:rPr>
          <w:rFonts w:ascii="Times New Roman" w:eastAsia="Times New Roman" w:hAnsi="Times New Roman" w:cs="Times New Roman"/>
          <w:b w:val="0"/>
          <w:bCs w:val="0"/>
          <w:i w:val="0"/>
          <w:iCs w:val="0"/>
          <w:strike w:val="0"/>
          <w:color w:val="2E3238"/>
          <w:spacing w:val="2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(EORI)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number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established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pursuant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9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952/2013,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 included  in their  registration  profile; </w:t>
      </w:r>
    </w:p>
    <w:p>
      <w:pPr>
        <w:numPr>
          <w:ilvl w:val="0"/>
          <w:numId w:val="117"/>
        </w:numPr>
        <w:bidi w:val="0"/>
        <w:spacing w:before="297" w:after="0" w:line="214" w:lineRule="atLeast"/>
        <w:ind w:right="102"/>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registration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diligence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communication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concerned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reference  number  for  each  due  diligence  statement  submitted  through  the  information  system; </w:t>
      </w:r>
    </w:p>
    <w:p>
      <w:pPr>
        <w:numPr>
          <w:ilvl w:val="0"/>
          <w:numId w:val="117"/>
        </w:numPr>
        <w:bidi w:val="0"/>
        <w:spacing w:before="301"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making  available  the  reference  number  of  existing  due  diligence  statements  pursuant  to  Article 4(8)  and  (9); </w:t>
      </w:r>
    </w:p>
    <w:p>
      <w:pPr>
        <w:numPr>
          <w:ilvl w:val="0"/>
          <w:numId w:val="117"/>
        </w:numPr>
        <w:bidi w:val="0"/>
        <w:spacing w:before="302"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where  possible,  the  conversion  of  data  from  relevant  systems  to identify  the  geolocation; </w:t>
      </w:r>
    </w:p>
    <w:p>
      <w:pPr>
        <w:numPr>
          <w:ilvl w:val="0"/>
          <w:numId w:val="117"/>
        </w:numPr>
        <w:bidi w:val="0"/>
        <w:spacing w:before="302"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registration  of  the  outcome  of  checks  on  due  diligence  statements; </w:t>
      </w:r>
    </w:p>
    <w:p>
      <w:pPr>
        <w:numPr>
          <w:ilvl w:val="0"/>
          <w:numId w:val="117"/>
        </w:numPr>
        <w:bidi w:val="0"/>
        <w:spacing w:before="300" w:after="0" w:line="213" w:lineRule="atLeast"/>
        <w:ind w:right="8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interconnection with customs through the European Union Single Window Environment for Customs, in accordance with  Article 28,  including  to  allow  the  notifications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requests  referred  to in  Article 26(6)  to (9); </w:t>
      </w:r>
    </w:p>
    <w:p>
      <w:pPr>
        <w:numPr>
          <w:ilvl w:val="0"/>
          <w:numId w:val="117"/>
        </w:numPr>
        <w:bidi w:val="0"/>
        <w:spacing w:before="300" w:after="0" w:line="213" w:lineRule="atLeast"/>
        <w:ind w:right="2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provision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relevant  information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support  the  risk-profiling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the  plan  of  checks  referred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in  Article 16(5), including  results  of checks,  the risk-profiling  of operators,  traders and relevant  commodities  and relevant  products for the purpose of identifying,  based on electronic data-processing  techniques,  operators and traders to be checked as  referred  to  in Article 16(5),  and  relevant  products  to  be  checked  by  competent  authorities; </w:t>
      </w:r>
    </w:p>
    <w:p>
      <w:pPr>
        <w:numPr>
          <w:ilvl w:val="0"/>
          <w:numId w:val="117"/>
        </w:numPr>
        <w:bidi w:val="0"/>
        <w:spacing w:before="299" w:after="0" w:line="213" w:lineRule="atLeast"/>
        <w:ind w:right="11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facilitation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administrative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assistance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cooperation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authorities,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between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competent authorities  and  the  Commission,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exchange  information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data;</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50" w:name="_page33_x-5.00_y768.89"/>
      <w:bookmarkEnd w:id="50"/>
      <w:hyperlink w:anchor="_page33_x-5.00_y135.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26</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Directive (EU) 2019/1937 of the European Parliament and of the Council of 23 October 2019 on the protection of persons who </w:t>
      </w:r>
      <w:r>
        <w:pict>
          <v:shape id="PathGroup" o:spid="_x0000_s1039" type="#_x0000_t75" style="width:55pt;height:4pt;margin-top:9.13pt;margin-left:66pt;mso-position-horizontal-relative:page;position:absolute;z-index:-251643904" o:allowincell="f">
            <v:imagedata r:id="rId28" o:title=""/>
            <w10:anchorlock/>
          </v:shape>
        </w:pict>
      </w:r>
    </w:p>
    <w:p>
      <w:pPr>
        <w:bidi w:val="0"/>
        <w:spacing w:before="0" w:after="0" w:line="187" w:lineRule="atLeast"/>
        <w:ind w:left="80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report  breaches  of  Union  law  (OJ  L 305, 26.11.2019,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17).</w:t>
      </w:r>
    </w:p>
    <w:p>
      <w:pPr>
        <w:sectPr>
          <w:headerReference w:type="even" r:id="rId76"/>
          <w:headerReference w:type="default" r:id="rId77"/>
          <w:pgSz w:w="11906" w:h="16838"/>
          <w:pgMar w:top="1300" w:right="688" w:bottom="640" w:left="850" w:header="840" w:footer="708"/>
          <w:cols w:space="708"/>
          <w:titlePg w:val="0"/>
        </w:sectPr>
      </w:pPr>
    </w:p>
    <w:p>
      <w:pPr>
        <w:numPr>
          <w:ilvl w:val="0"/>
          <w:numId w:val="118"/>
        </w:numPr>
        <w:bidi w:val="0"/>
        <w:spacing w:before="272" w:after="0" w:line="213" w:lineRule="atLeast"/>
        <w:ind w:right="28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support  communication  between  competent  authorities  and  operators  and  traders  for  the  purposes  of  implemen­ tation  of  this  Regulation,  including,  where  appropriate,  through  the  use  of  digital  supply  management  tools. </w:t>
      </w:r>
    </w:p>
    <w:p>
      <w:pPr>
        <w:numPr>
          <w:ilvl w:val="0"/>
          <w:numId w:val="119"/>
        </w:numPr>
        <w:bidi w:val="0"/>
        <w:spacing w:before="374" w:after="0" w:line="214" w:lineRule="atLeast"/>
        <w:ind w:right="4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by  means  of  implementing  acts,  establish  rules  for  the  functioning  of  the  information system  under  this  Article,  including  rules  for  the  protection  of  personal  data  and  exchange  of  data  with  other  IT systems.  Those  implementing  acts  shall  be  adopted  in  accordance  with  the  examination  procedure  referred  to  in Article 36(2). </w:t>
      </w:r>
    </w:p>
    <w:p>
      <w:pPr>
        <w:numPr>
          <w:ilvl w:val="0"/>
          <w:numId w:val="119"/>
        </w:numPr>
        <w:bidi w:val="0"/>
        <w:spacing w:before="394" w:after="0" w:line="213" w:lineRule="atLeast"/>
        <w:ind w:right="5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shall  provide  access  to  that  information  system  to  customs  authorities,  competent  authorities, operators and traders and, if applicable, their authorised representatives,  in accordance with their respective obligations under  this  Regulation. </w:t>
      </w:r>
    </w:p>
    <w:p>
      <w:pPr>
        <w:numPr>
          <w:ilvl w:val="0"/>
          <w:numId w:val="119"/>
        </w:numPr>
        <w:bidi w:val="0"/>
        <w:spacing w:before="395" w:after="0" w:line="213" w:lineRule="atLeast"/>
        <w:ind w:right="-1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In  line  with  the  Union’s  Open  Data  Policy,  the  Commission  shall  provide  access  to  the  wider  public  to  the complete  anonymised  datasets  of  the  information  system  in  an  open  format  that  can  be  machine-readable  and  that ensures  interoperability,  re-use  and  accessibility.</w:t>
      </w:r>
    </w:p>
    <w:p>
      <w:pPr>
        <w:bidi w:val="0"/>
        <w:spacing w:before="242" w:after="0" w:line="341" w:lineRule="atLeast"/>
        <w:ind w:left="4709" w:right="4503" w:firstLine="0"/>
        <w:jc w:val="center"/>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8</w:t>
      </w:r>
      <w:r>
        <w:rPr>
          <w:rFonts w:ascii="Times New Roman" w:eastAsia="Times New Roman" w:hAnsi="Times New Roman" w:cs="Times New Roman"/>
          <w:b/>
          <w:bCs/>
          <w:i w:val="0"/>
          <w:iCs w:val="0"/>
          <w:strike w:val="0"/>
          <w:color w:val="2E3238"/>
          <w:spacing w:val="0"/>
          <w:sz w:val="17"/>
          <w:szCs w:val="17"/>
          <w:u w:val="none"/>
          <w:rtl w:val="0"/>
        </w:rPr>
        <w:t xml:space="preserve"> REVIEW</w:t>
      </w:r>
    </w:p>
    <w:p>
      <w:pPr>
        <w:bidi w:val="0"/>
        <w:spacing w:before="247"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34</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4808"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Review</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0"/>
        </w:numPr>
        <w:bidi w:val="0"/>
        <w:spacing w:before="108" w:after="0" w:line="214" w:lineRule="atLeast"/>
        <w:ind w:right="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No later than 30 June 2024, the Commission shall present an impact assessment accompanied, if appropriate, by a legislative proposal to extend the scope of this Regulation to include other wooded land. The assessment shall include, inter  alia,  the  cut-off  date  referred  to  in  Article 2,  with  a  view  to  minimising  the  Union’s  contribution  to  natural ecosystems’  conversion  and  degradation.  The  review  shall  include  an  assessment  of  the  impact  of  the  relevant commodities  on  deforestation  and  forest  degradation. </w:t>
      </w:r>
    </w:p>
    <w:p>
      <w:pPr>
        <w:numPr>
          <w:ilvl w:val="0"/>
          <w:numId w:val="120"/>
        </w:numPr>
        <w:bidi w:val="0"/>
        <w:spacing w:before="394" w:after="0" w:line="213" w:lineRule="atLeast"/>
        <w:ind w:right="-3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No later than 30 June 2025, the Commission shall present an impact assessment accompanied, if appropriate, by a legislative  proposal  to extend the scope of this Regulation  to other natural ecosystems,  including  other land with high carbon stocks and with a high biodiversity value such as grasslands, peatlands and wetlands. The assessment shall cover a  potential  ecosystem  expansion,  including  on  the  basis  of  the  cut-off  date  referred  to  in  Article 2,  with  a  view  to minimising  the Union’s contribution  to natural  ecosystems’ conversion  and degradation.  The review  shall  also  address the  need  and  the  feasibility  of  extending  the  scope  of  this  Regulation  to  further  commodities,  including  maize.  The review shall include an assessment of the impact of the relevant commodities on deforestation and forest degradation, as indicated  by  scientific  evidence,  and  take  into  account  changes  in  consumption. </w:t>
      </w:r>
    </w:p>
    <w:p>
      <w:pPr>
        <w:numPr>
          <w:ilvl w:val="0"/>
          <w:numId w:val="120"/>
        </w:numPr>
        <w:bidi w:val="0"/>
        <w:spacing w:before="395" w:after="0" w:line="213" w:lineRule="atLeast"/>
        <w:ind w:right="-2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impact assessment referred to in paragraph 2 shall also include an assessment of whether it is appropriate to amend or extend the list of relevant products in Annex I in order to ensure that the most relevant products that contain, have been fed with, or have been made using, relevant commodities are included in that list. That assessment shall pay specific  attention  to  the  potential  inclusion  of  biofuels  (HS  code  382600)  in Annex  I. </w:t>
      </w:r>
    </w:p>
    <w:p>
      <w:pPr>
        <w:numPr>
          <w:ilvl w:val="0"/>
          <w:numId w:val="120"/>
        </w:numPr>
        <w:bidi w:val="0"/>
        <w:spacing w:before="394" w:after="0" w:line="213" w:lineRule="atLeast"/>
        <w:ind w:right="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impact assessment referred to in paragraph 2 shall also evaluate the role of financial institutions in preventing financial  flows  that  contribute  directly  or  indirectly  to  deforestation  and  forest  degradation  and  assess  the  need  to provide for any specific obligations for financial institutions in Union legal acts in that regard, taking into account any relevant  existing  horizontal  and  sectoral  legislation. </w:t>
      </w:r>
    </w:p>
    <w:p>
      <w:pPr>
        <w:numPr>
          <w:ilvl w:val="0"/>
          <w:numId w:val="120"/>
        </w:numPr>
        <w:bidi w:val="0"/>
        <w:spacing w:before="394" w:after="0" w:line="213" w:lineRule="atLeast"/>
        <w:ind w:right="1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Commission  may  adopt  delegated  acts  in  accordance  with  Article 35  to  amend  Annex  I  with  regard  to  the relevant CN codes of relevant products that contain, have been fed with or have been made using relevant commodities. </w:t>
      </w:r>
    </w:p>
    <w:p>
      <w:pPr>
        <w:numPr>
          <w:ilvl w:val="0"/>
          <w:numId w:val="120"/>
        </w:numPr>
        <w:bidi w:val="0"/>
        <w:spacing w:before="394" w:after="0" w:line="213" w:lineRule="atLeast"/>
        <w:ind w:right="-59"/>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30 June 2028 and at least every five years thereafter,  the Commission  shall carry out a general review of this Regulation,  and  shall  present  a  report  to  the  European  Parliament  and  the  Council  accompanied,  if  appropriate,  by  a legislative  proposal.  The  first  of  the  reports  shall  include  in  particular,  based  on  specific  studies,  an  evaluation  of: </w:t>
      </w:r>
    </w:p>
    <w:p>
      <w:pPr>
        <w:numPr>
          <w:ilvl w:val="0"/>
          <w:numId w:val="121"/>
        </w:numPr>
        <w:bidi w:val="0"/>
        <w:spacing w:before="376" w:after="0" w:line="213" w:lineRule="atLeast"/>
        <w:ind w:right="-8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need for and feasibility of additional trade facilitation tools – and in particular for LDCs highly impacted by this Regulation  and  countries  or  parts  thereof  classified  as  standard  or  high  risk  –  to  support  the  achievement  of  the objectives  of  this  Regulation;</w:t>
      </w:r>
    </w:p>
    <w:p>
      <w:pPr>
        <w:sectPr>
          <w:headerReference w:type="even" r:id="rId78"/>
          <w:headerReference w:type="default" r:id="rId79"/>
          <w:pgSz w:w="11906" w:h="16838"/>
          <w:pgMar w:top="1300" w:right="689" w:bottom="640" w:left="850" w:header="840" w:footer="708"/>
          <w:cols w:space="708"/>
          <w:titlePg w:val="0"/>
        </w:sectPr>
      </w:pPr>
    </w:p>
    <w:p>
      <w:pPr>
        <w:numPr>
          <w:ilvl w:val="0"/>
          <w:numId w:val="122"/>
        </w:numPr>
        <w:bidi w:val="0"/>
        <w:spacing w:before="272" w:after="0" w:line="213" w:lineRule="atLeast"/>
        <w:ind w:right="3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impact of this Regulation on farmers, in particular smallholders, indigenous peoples and local communities and the possible need for additional support for the transition towards sustainable supply chains and for smallholders to meet  the  requirements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this  Regulation; </w:t>
      </w:r>
    </w:p>
    <w:p>
      <w:pPr>
        <w:numPr>
          <w:ilvl w:val="0"/>
          <w:numId w:val="122"/>
        </w:numPr>
        <w:bidi w:val="0"/>
        <w:spacing w:before="310" w:after="0" w:line="213" w:lineRule="atLeast"/>
        <w:ind w:right="23"/>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further  extension  of  the  definition  of  forest  degradation,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the  basis  of  an  in-depth  analysis,  and  taking  into account  progress  made  in international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discussions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the  matter; </w:t>
      </w:r>
    </w:p>
    <w:p>
      <w:pPr>
        <w:numPr>
          <w:ilvl w:val="0"/>
          <w:numId w:val="122"/>
        </w:numPr>
        <w:bidi w:val="0"/>
        <w:spacing w:before="309" w:after="0" w:line="213" w:lineRule="atLeast"/>
        <w:ind w:right="3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threshold for mandatory use of polygons as referred to in Article 2, point (28), taking into account its impact on tackling  deforestation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forest  degradation; </w:t>
      </w:r>
    </w:p>
    <w:p>
      <w:pPr>
        <w:numPr>
          <w:ilvl w:val="0"/>
          <w:numId w:val="122"/>
        </w:numPr>
        <w:bidi w:val="0"/>
        <w:spacing w:before="310" w:after="0" w:line="213" w:lineRule="atLeast"/>
        <w:ind w:right="5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changes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patterns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included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scope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when  those  changes  could  be  an  indication  of  a  practice  of  circumvention; </w:t>
      </w:r>
    </w:p>
    <w:p>
      <w:pPr>
        <w:numPr>
          <w:ilvl w:val="0"/>
          <w:numId w:val="122"/>
        </w:numPr>
        <w:bidi w:val="0"/>
        <w:spacing w:before="310" w:after="0" w:line="213" w:lineRule="atLeast"/>
        <w:ind w:right="17"/>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assessment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checks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have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been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effective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ensure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commodities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and relevant  products  made  available  on  the  market  or exported  comply  with  Article 3.</w:t>
      </w:r>
    </w:p>
    <w:p>
      <w:pPr>
        <w:bidi w:val="0"/>
        <w:spacing w:before="157" w:after="0" w:line="341" w:lineRule="atLeast"/>
        <w:ind w:left="4351" w:right="4158" w:firstLine="358"/>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CHAPTER 9</w:t>
      </w:r>
      <w:r>
        <w:rPr>
          <w:rFonts w:ascii="Times New Roman" w:eastAsia="Times New Roman" w:hAnsi="Times New Roman" w:cs="Times New Roman"/>
          <w:b/>
          <w:bCs/>
          <w:i w:val="0"/>
          <w:iCs w:val="0"/>
          <w:strike w:val="0"/>
          <w:color w:val="2E3238"/>
          <w:spacing w:val="0"/>
          <w:sz w:val="17"/>
          <w:szCs w:val="17"/>
          <w:u w:val="none"/>
          <w:rtl w:val="0"/>
        </w:rPr>
        <w:t xml:space="preserve">         FINAL  PROVISIONS</w:t>
      </w:r>
    </w:p>
    <w:p>
      <w:pPr>
        <w:bidi w:val="0"/>
        <w:spacing w:before="247"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35</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4029"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Exercise  of the  delegation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3"/>
        </w:numPr>
        <w:bidi w:val="0"/>
        <w:spacing w:before="110" w:after="0" w:line="213" w:lineRule="atLeast"/>
        <w:ind w:right="7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power  to  adopt  delegated  acts  is  conferred  on  the  Commission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subject  to  the  conditions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laid  down  in  this Article. </w:t>
      </w:r>
    </w:p>
    <w:p>
      <w:pPr>
        <w:numPr>
          <w:ilvl w:val="0"/>
          <w:numId w:val="123"/>
        </w:numPr>
        <w:bidi w:val="0"/>
        <w:spacing w:before="309" w:after="0" w:line="213" w:lineRule="atLeast"/>
        <w:ind w:right="-4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power to adopt delegated acts referred to in Article 34(5) shall be conferred on the Commission for a period of five years from 29 June 2023. The Commission  shall draw up a report in respect of the delegation of power at the latest six months before the end of the five-year period. The delegation of power shall be tacitly extended for periods of an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identical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duration,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unless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European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Parliament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Council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opposes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such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extension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later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three months  before  the  end  of  each  period. </w:t>
      </w:r>
    </w:p>
    <w:p>
      <w:pPr>
        <w:numPr>
          <w:ilvl w:val="0"/>
          <w:numId w:val="123"/>
        </w:numPr>
        <w:bidi w:val="0"/>
        <w:spacing w:before="309" w:after="0" w:line="213" w:lineRule="atLeast"/>
        <w:ind w:right="-36"/>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delegation of power referred to in Article 34(5) may be revoked at any time by the European Parliament or by the Council. A decision to revoke shall put an end to the delegation of the power specified in that decision. It shall take effect  the  day  following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publication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decision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the  Official  Journal  of  the  European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Union  or  at  a  later  date specified  therein.  It shall  not  affect  the  validity  of  any  delegated  acts  already  in force. </w:t>
      </w:r>
    </w:p>
    <w:p>
      <w:pPr>
        <w:numPr>
          <w:ilvl w:val="0"/>
          <w:numId w:val="123"/>
        </w:numPr>
        <w:bidi w:val="0"/>
        <w:spacing w:before="310" w:after="0" w:line="213" w:lineRule="atLeast"/>
        <w:ind w:right="-1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Before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adopting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delegated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act,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Commission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consult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experts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designated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each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Member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accordance  with the principles  laid down in the Interinstitutional  Agreement  of 13 April 2016 on Better Law-Making. </w:t>
      </w:r>
    </w:p>
    <w:p>
      <w:pPr>
        <w:numPr>
          <w:ilvl w:val="0"/>
          <w:numId w:val="123"/>
        </w:numPr>
        <w:bidi w:val="0"/>
        <w:spacing w:before="310" w:after="0" w:line="213" w:lineRule="atLeast"/>
        <w:ind w:right="25"/>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As  soon  as  it  adopts  a  delegated  act,  the  Commission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notify  it  simultaneously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the  European  Parliament and  to the  Council. </w:t>
      </w:r>
    </w:p>
    <w:p>
      <w:pPr>
        <w:numPr>
          <w:ilvl w:val="0"/>
          <w:numId w:val="123"/>
        </w:numPr>
        <w:bidi w:val="0"/>
        <w:spacing w:before="309" w:after="0" w:line="213" w:lineRule="atLeast"/>
        <w:ind w:right="15"/>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A delegated  act adopted  pursuant  to Article 34(5)  shall  enter  into  force  only  if no objection  has been  expressed either by the European  Parliament  or by the Council  within a period of two months  of notification  of that act to the European  Parliament  and the Council or if, before the expiry of that period, the European  Parliament  and the Council have  both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informed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Commission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they  will  not  object.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period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be  extended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two  months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at  the initiative  of  the  European  Parliament  or  of  the  Council. </w:t>
      </w:r>
    </w:p>
    <w:p>
      <w:pPr>
        <w:bidi w:val="0"/>
        <w:spacing w:before="163" w:after="0" w:line="341" w:lineRule="atLeast"/>
        <w:ind w:left="4205" w:right="4088" w:firstLine="559"/>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36</w:t>
      </w:r>
      <w:r>
        <w:rPr>
          <w:rFonts w:ascii="Times New Roman" w:eastAsia="Times New Roman" w:hAnsi="Times New Roman" w:cs="Times New Roman"/>
          <w:b/>
          <w:bCs/>
          <w:i w:val="0"/>
          <w:iCs w:val="0"/>
          <w:strike w:val="0"/>
          <w:color w:val="2E3238"/>
          <w:spacing w:val="0"/>
          <w:sz w:val="19"/>
          <w:szCs w:val="19"/>
          <w:u w:val="none"/>
          <w:rtl w:val="0"/>
        </w:rPr>
        <w:t xml:space="preserve">           Committee </w:t>
      </w:r>
      <w:r>
        <w:rPr>
          <w:rFonts w:ascii="Times New Roman" w:eastAsia="Times New Roman" w:hAnsi="Times New Roman" w:cs="Times New Roman"/>
          <w:b/>
          <w:bCs/>
          <w:i w:val="0"/>
          <w:iCs w:val="0"/>
          <w:strike w:val="0"/>
          <w:color w:val="2E3238"/>
          <w:spacing w:val="1"/>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procedure</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4"/>
        </w:numPr>
        <w:bidi w:val="0"/>
        <w:spacing w:before="110" w:after="0" w:line="213" w:lineRule="atLeast"/>
        <w:ind w:right="2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w:t>
      </w:r>
      <w:bookmarkStart w:id="51" w:name="_page35_x-5.00_y698.89"/>
      <w:bookmarkEnd w:id="51"/>
      <w:r>
        <w:rPr>
          <w:rFonts w:ascii="Times New Roman" w:eastAsia="Times New Roman" w:hAnsi="Times New Roman" w:cs="Times New Roman"/>
          <w:b w:val="0"/>
          <w:bCs w:val="0"/>
          <w:i w:val="0"/>
          <w:iCs w:val="0"/>
          <w:strike w:val="0"/>
          <w:color w:val="2E3238"/>
          <w:spacing w:val="0"/>
          <w:sz w:val="19"/>
          <w:szCs w:val="19"/>
          <w:u w:val="none"/>
          <w:rtl w:val="0"/>
        </w:rPr>
        <w:t xml:space="preserve"> Commission  shall  be  assisted  by  a committee.  That  committee  shall  be a committee  within  the  meaning  of Regulation  (EU)  No  182/2011  of  the  European  Parliament  and  of  the  </w:t>
      </w:r>
      <w:hyperlink w:anchor="_page35_x-5.00_y759.89" w:history="1">
        <w:r>
          <w:rPr>
            <w:rFonts w:ascii="Times New Roman" w:eastAsia="Times New Roman" w:hAnsi="Times New Roman" w:cs="Times New Roman"/>
            <w:b w:val="0"/>
            <w:bCs w:val="0"/>
            <w:i w:val="0"/>
            <w:iCs w:val="0"/>
            <w:strike w:val="0"/>
            <w:color w:val="2E3238"/>
            <w:spacing w:val="0"/>
            <w:sz w:val="19"/>
            <w:szCs w:val="19"/>
            <w:u w:val="none"/>
            <w:rtl w:val="0"/>
          </w:rPr>
          <w:t>Council (</w:t>
        </w:r>
        <w:r>
          <w:rPr>
            <w:rFonts w:ascii="Times New Roman" w:eastAsia="Times New Roman" w:hAnsi="Times New Roman" w:cs="Times New Roman"/>
            <w:b w:val="0"/>
            <w:bCs w:val="0"/>
            <w:i w:val="0"/>
            <w:iCs w:val="0"/>
            <w:strike w:val="0"/>
            <w:color w:val="2E3238"/>
            <w:spacing w:val="0"/>
            <w:sz w:val="12"/>
            <w:szCs w:val="12"/>
            <w:u w:val="none"/>
            <w:rtl w:val="0"/>
          </w:rPr>
          <w:t>27</w:t>
        </w:r>
        <w:r>
          <w:rPr>
            <w:rFonts w:ascii="Times New Roman" w:eastAsia="Times New Roman" w:hAnsi="Times New Roman" w:cs="Times New Roman"/>
            <w:b w:val="0"/>
            <w:bCs w:val="0"/>
            <w:i w:val="0"/>
            <w:iCs w:val="0"/>
            <w:strike w:val="0"/>
            <w:color w:val="2E3238"/>
            <w:spacing w:val="0"/>
            <w:sz w:val="19"/>
            <w:szCs w:val="19"/>
            <w:u w:val="none"/>
            <w:rtl w:val="0"/>
          </w:rPr>
          <w:t>).</w:t>
        </w:r>
      </w:hyperlink>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4"/>
        </w:numPr>
        <w:bidi w:val="0"/>
        <w:spacing w:before="309" w:after="0" w:line="213" w:lineRule="atLeast"/>
        <w:ind w:right="0"/>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Where reference  is made to this paragraph,  Article 5 of Regulation  (EU) No 182/2011  shall apply, having regard to  the  provisions  of  Article 11  thereof.</w:t>
      </w:r>
    </w:p>
    <w:p>
      <w:pPr>
        <w:bidi w:val="0"/>
        <w:spacing w:before="255" w:after="0" w:line="187" w:lineRule="atLeast"/>
        <w:ind w:left="510" w:right="-200" w:firstLine="0"/>
        <w:jc w:val="both"/>
        <w:outlineLvl w:val="9"/>
        <w:rPr>
          <w:rFonts w:ascii="Times New Roman" w:eastAsia="Times New Roman" w:hAnsi="Times New Roman" w:cs="Times New Roman"/>
          <w:sz w:val="17"/>
          <w:szCs w:val="17"/>
        </w:rPr>
      </w:pPr>
      <w:bookmarkStart w:id="52" w:name="_page35_x-5.00_y759.89"/>
      <w:bookmarkEnd w:id="52"/>
      <w:hyperlink w:anchor="_page35_x-5.00_y698.89" w:history="1">
        <w:r>
          <w:rPr>
            <w:rFonts w:ascii="Times New Roman" w:eastAsia="Times New Roman" w:hAnsi="Times New Roman" w:cs="Times New Roman"/>
            <w:b w:val="0"/>
            <w:bCs w:val="0"/>
            <w:i w:val="0"/>
            <w:iCs w:val="0"/>
            <w:strike w:val="0"/>
            <w:color w:val="2E3238"/>
            <w:spacing w:val="0"/>
            <w:sz w:val="17"/>
            <w:szCs w:val="17"/>
            <w:u w:val="none"/>
            <w:rtl w:val="0"/>
          </w:rPr>
          <w:t>(</w:t>
        </w:r>
        <w:r>
          <w:rPr>
            <w:rFonts w:ascii="Times New Roman" w:eastAsia="Times New Roman" w:hAnsi="Times New Roman" w:cs="Times New Roman"/>
            <w:b w:val="0"/>
            <w:bCs w:val="0"/>
            <w:i w:val="0"/>
            <w:iCs w:val="0"/>
            <w:strike w:val="0"/>
            <w:color w:val="2E3238"/>
            <w:spacing w:val="0"/>
            <w:sz w:val="11"/>
            <w:szCs w:val="11"/>
            <w:u w:val="none"/>
            <w:rtl w:val="0"/>
          </w:rPr>
          <w:t>27</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9"/>
            <w:sz w:val="17"/>
            <w:szCs w:val="17"/>
            <w:u w:val="none"/>
            <w:rtl w:val="0"/>
          </w:rPr>
          <w:t xml:space="preserve"> </w:t>
        </w:r>
      </w:hyperlink>
      <w:r>
        <w:rPr>
          <w:rFonts w:ascii="Times New Roman" w:eastAsia="Times New Roman" w:hAnsi="Times New Roman" w:cs="Times New Roman"/>
          <w:b w:val="0"/>
          <w:bCs w:val="0"/>
          <w:i w:val="0"/>
          <w:iCs w:val="0"/>
          <w:strike w:val="0"/>
          <w:color w:val="2E3238"/>
          <w:spacing w:val="0"/>
          <w:sz w:val="17"/>
          <w:szCs w:val="17"/>
          <w:u w:val="none"/>
          <w:rtl w:val="0"/>
        </w:rPr>
        <w:t xml:space="preserve">Regulation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(EU)  No  182/2011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the  European </w:t>
      </w:r>
      <w:r>
        <w:rPr>
          <w:rFonts w:ascii="Times New Roman" w:eastAsia="Times New Roman" w:hAnsi="Times New Roman" w:cs="Times New Roman"/>
          <w:b w:val="0"/>
          <w:bCs w:val="0"/>
          <w:i w:val="0"/>
          <w:iCs w:val="0"/>
          <w:strike w:val="0"/>
          <w:color w:val="2E3238"/>
          <w:spacing w:val="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Parliament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and  of  the  Council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16 February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2011  laying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down  the  rules  and </w:t>
      </w:r>
      <w:r>
        <w:pict>
          <v:shape id="PathGroup" o:spid="_x0000_s1040" type="#_x0000_t75" style="width:55pt;height:4pt;margin-top:9.2pt;margin-left:66pt;mso-position-horizontal-relative:page;position:absolute;z-index:-251642880" o:allowincell="f">
            <v:imagedata r:id="rId4" o:title=""/>
            <w10:anchorlock/>
          </v:shape>
        </w:pict>
      </w:r>
    </w:p>
    <w:p>
      <w:pPr>
        <w:bidi w:val="0"/>
        <w:spacing w:before="0" w:after="0" w:line="178" w:lineRule="atLeast"/>
        <w:ind w:left="805" w:right="32" w:firstLine="0"/>
        <w:jc w:val="left"/>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general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principles </w:t>
      </w:r>
      <w:r>
        <w:rPr>
          <w:rFonts w:ascii="Times New Roman" w:eastAsia="Times New Roman" w:hAnsi="Times New Roman" w:cs="Times New Roman"/>
          <w:b w:val="0"/>
          <w:bCs w:val="0"/>
          <w:i w:val="0"/>
          <w:iCs w:val="0"/>
          <w:strike w:val="0"/>
          <w:color w:val="2E3238"/>
          <w:spacing w:val="2"/>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concerning </w:t>
      </w:r>
      <w:r>
        <w:rPr>
          <w:rFonts w:ascii="Times New Roman" w:eastAsia="Times New Roman" w:hAnsi="Times New Roman" w:cs="Times New Roman"/>
          <w:b w:val="0"/>
          <w:bCs w:val="0"/>
          <w:i w:val="0"/>
          <w:iCs w:val="0"/>
          <w:strike w:val="0"/>
          <w:color w:val="2E3238"/>
          <w:spacing w:val="3"/>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mechanisms </w:t>
      </w:r>
      <w:r>
        <w:rPr>
          <w:rFonts w:ascii="Times New Roman" w:eastAsia="Times New Roman" w:hAnsi="Times New Roman" w:cs="Times New Roman"/>
          <w:b w:val="0"/>
          <w:bCs w:val="0"/>
          <w:i w:val="0"/>
          <w:iCs w:val="0"/>
          <w:strike w:val="0"/>
          <w:color w:val="2E3238"/>
          <w:spacing w:val="4"/>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for  control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by  Member </w:t>
      </w:r>
      <w:r>
        <w:rPr>
          <w:rFonts w:ascii="Times New Roman" w:eastAsia="Times New Roman" w:hAnsi="Times New Roman" w:cs="Times New Roman"/>
          <w:b w:val="0"/>
          <w:bCs w:val="0"/>
          <w:i w:val="0"/>
          <w:iCs w:val="0"/>
          <w:strike w:val="0"/>
          <w:color w:val="2E3238"/>
          <w:spacing w:val="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States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the  Commission’s  exercise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of  implementing </w:t>
      </w:r>
      <w:r>
        <w:rPr>
          <w:rFonts w:ascii="Times New Roman" w:eastAsia="Times New Roman" w:hAnsi="Times New Roman" w:cs="Times New Roman"/>
          <w:b w:val="0"/>
          <w:bCs w:val="0"/>
          <w:i w:val="0"/>
          <w:iCs w:val="0"/>
          <w:strike w:val="0"/>
          <w:color w:val="2E3238"/>
          <w:spacing w:val="5"/>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 xml:space="preserve">powers (OJ  L 55,  28.2.2011, </w:t>
      </w:r>
      <w:r>
        <w:rPr>
          <w:rFonts w:ascii="Times New Roman" w:eastAsia="Times New Roman" w:hAnsi="Times New Roman" w:cs="Times New Roman"/>
          <w:b w:val="0"/>
          <w:bCs w:val="0"/>
          <w:i w:val="0"/>
          <w:iCs w:val="0"/>
          <w:strike w:val="0"/>
          <w:color w:val="2E3238"/>
          <w:spacing w:val="0"/>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13).</w:t>
      </w:r>
    </w:p>
    <w:p>
      <w:pPr>
        <w:sectPr>
          <w:headerReference w:type="even" r:id="rId80"/>
          <w:headerReference w:type="default" r:id="rId81"/>
          <w:pgSz w:w="11906" w:h="16838"/>
          <w:pgMar w:top="1300" w:right="688" w:bottom="640" w:left="850" w:header="840" w:footer="708"/>
          <w:cols w:space="708"/>
          <w:titlePg w:val="0"/>
        </w:sectPr>
      </w:pPr>
    </w:p>
    <w:p>
      <w:pPr>
        <w:bidi w:val="0"/>
        <w:spacing w:before="275" w:after="0" w:line="210" w:lineRule="atLeast"/>
        <w:ind w:left="4765"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37</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484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Repeal</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5"/>
        </w:numPr>
        <w:bidi w:val="0"/>
        <w:spacing w:before="113" w:after="0" w:line="210" w:lineRule="atLeast"/>
        <w:ind w:right="-20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Regulation  (EU)  No  995/2010  is repealed  with  effect  from  30 December  2024. </w:t>
      </w:r>
    </w:p>
    <w:p>
      <w:pPr>
        <w:numPr>
          <w:ilvl w:val="0"/>
          <w:numId w:val="125"/>
        </w:numPr>
        <w:bidi w:val="0"/>
        <w:spacing w:before="257" w:after="0" w:line="213" w:lineRule="atLeast"/>
        <w:ind w:right="42"/>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However,  Regulation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No  995/2010  shall  continue  to  apply  until  31 December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2027  to  timber  and  timber products  as defined  in Article 2, point  (a), of Regulation  (EU)  No 995/2010  that  were  produced  before  29 June  2023 and  placed  on  the  market  from  30 December  2024. </w:t>
      </w:r>
    </w:p>
    <w:p>
      <w:pPr>
        <w:numPr>
          <w:ilvl w:val="0"/>
          <w:numId w:val="125"/>
        </w:numPr>
        <w:bidi w:val="0"/>
        <w:spacing w:before="254" w:after="0" w:line="214" w:lineRule="atLeast"/>
        <w:ind w:right="-3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By way of derogation from Article 1(2) of this Regulation, the timber and timber products as defined in Article 2, point  (a),  of  Regulation  (EU)  No  995/2010  that  were  produced  before  29 June  2023  and  placed  on  the  market  from 31 December  2027  shall  comply  with  Article 3 of  this  Regulation. </w:t>
      </w:r>
    </w:p>
    <w:p>
      <w:pPr>
        <w:bidi w:val="0"/>
        <w:spacing w:before="239" w:after="0" w:line="210" w:lineRule="atLeast"/>
        <w:ind w:left="476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Article 38</w:t>
      </w:r>
      <w:r>
        <w:rPr>
          <w:rFonts w:ascii="Times New Roman" w:eastAsia="Times New Roman" w:hAnsi="Times New Roman" w:cs="Times New Roman"/>
          <w:b/>
          <w:bCs/>
          <w:i w:val="0"/>
          <w:iCs w:val="0"/>
          <w:strike w:val="0"/>
          <w:color w:val="2E3238"/>
          <w:spacing w:val="0"/>
          <w:sz w:val="19"/>
          <w:szCs w:val="19"/>
          <w:u w:val="none"/>
          <w:rtl w:val="0"/>
        </w:rPr>
        <w:t xml:space="preserve"> </w:t>
      </w:r>
    </w:p>
    <w:p>
      <w:pPr>
        <w:bidi w:val="0"/>
        <w:spacing w:before="113" w:after="0" w:line="210" w:lineRule="atLeast"/>
        <w:ind w:left="3429"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Entry  into  force  and  date  of  application</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numPr>
          <w:ilvl w:val="0"/>
          <w:numId w:val="126"/>
        </w:numPr>
        <w:bidi w:val="0"/>
        <w:spacing w:before="110" w:after="0" w:line="213" w:lineRule="atLeast"/>
        <w:ind w:right="18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shall enter into force on the twentieth day following that of its publication in the Official Journal of the  European  Union. </w:t>
      </w:r>
    </w:p>
    <w:p>
      <w:pPr>
        <w:numPr>
          <w:ilvl w:val="0"/>
          <w:numId w:val="126"/>
        </w:numPr>
        <w:bidi w:val="0"/>
        <w:spacing w:before="256" w:after="0" w:line="213" w:lineRule="atLeast"/>
        <w:ind w:right="49"/>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Subject to paragraph 3 of this Article, Articles 3 to 13, Articles 16 to 24 and Articles 26, 31 and 32 shall apply from  30 December  2024. </w:t>
      </w:r>
    </w:p>
    <w:p>
      <w:pPr>
        <w:numPr>
          <w:ilvl w:val="0"/>
          <w:numId w:val="126"/>
        </w:numPr>
        <w:bidi w:val="0"/>
        <w:spacing w:before="256" w:after="0" w:line="213" w:lineRule="atLeast"/>
        <w:ind w:right="1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Except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regards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covered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Annex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995/2010,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by 31 December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2020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were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established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micro-undertakings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small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undertakings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pursuant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3(1)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Directive 2013/34/EU, respectively, the Articles referred to in paragraph 2 of this Article shall apply from 30 June 2025. </w:t>
      </w:r>
    </w:p>
    <w:p>
      <w:pPr>
        <w:bidi w:val="0"/>
        <w:spacing w:before="0" w:after="0" w:line="468" w:lineRule="atLeast"/>
        <w:ind w:left="1537" w:right="1037"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This Regulation  shall  be binding  in its entirety  and directly  applicable  in all Member  States. Done  at  Brussels,  31 May  2023. </w:t>
      </w:r>
    </w:p>
    <w:p>
      <w:pPr>
        <w:bidi w:val="0"/>
        <w:spacing w:before="517" w:after="0" w:line="210" w:lineRule="atLeast"/>
        <w:ind w:left="2280"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the European  Parliament </w:t>
      </w:r>
      <w:r>
        <w:rPr>
          <w:rFonts w:ascii="Times New Roman" w:eastAsia="Times New Roman" w:hAnsi="Times New Roman" w:cs="Times New Roman"/>
          <w:b w:val="0"/>
          <w:bCs w:val="0"/>
          <w:i w:val="0"/>
          <w:iCs w:val="0"/>
          <w:strike w:val="0"/>
          <w:color w:val="2E3238"/>
          <w:spacing w:val="177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the  Council </w:t>
      </w:r>
    </w:p>
    <w:p>
      <w:pPr>
        <w:bidi w:val="0"/>
        <w:spacing w:before="71" w:after="0" w:line="210" w:lineRule="atLeast"/>
        <w:ind w:left="2834"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The  President</w:t>
      </w:r>
      <w:r>
        <w:rPr>
          <w:rFonts w:ascii="Times New Roman" w:eastAsia="Times New Roman" w:hAnsi="Times New Roman" w:cs="Times New Roman"/>
          <w:b w:val="0"/>
          <w:bCs w:val="0"/>
          <w:i w:val="0"/>
          <w:iCs w:val="0"/>
          <w:strike w:val="0"/>
          <w:color w:val="2E3238"/>
          <w:spacing w:val="257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The  President</w:t>
      </w:r>
    </w:p>
    <w:p>
      <w:pPr>
        <w:bidi w:val="0"/>
        <w:spacing w:before="88" w:after="0" w:line="187" w:lineRule="atLeast"/>
        <w:ind w:left="2848"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R.  METSOLA</w:t>
      </w:r>
      <w:r>
        <w:rPr>
          <w:rFonts w:ascii="Times New Roman" w:eastAsia="Times New Roman" w:hAnsi="Times New Roman" w:cs="Times New Roman"/>
          <w:b w:val="0"/>
          <w:bCs w:val="0"/>
          <w:i w:val="0"/>
          <w:iCs w:val="0"/>
          <w:strike w:val="0"/>
          <w:color w:val="2E3238"/>
          <w:spacing w:val="260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P.  KULLGREN</w:t>
      </w:r>
      <w:r>
        <w:pict>
          <v:shape id="PathGroup" o:spid="_x0000_s1041" type="#_x0000_t75" style="width:23pt;height:4pt;margin-top:31.84pt;margin-left:287pt;mso-position-horizontal-relative:page;position:absolute;z-index:-251641856" o:allowincell="f">
            <v:imagedata r:id="rId82" o:title=""/>
            <w10:anchorlock/>
          </v:shape>
        </w:pict>
      </w:r>
    </w:p>
    <w:p>
      <w:pPr>
        <w:sectPr>
          <w:headerReference w:type="even" r:id="rId83"/>
          <w:headerReference w:type="default" r:id="rId84"/>
          <w:pgSz w:w="11906" w:h="16838"/>
          <w:pgMar w:top="1300" w:right="689" w:bottom="640" w:left="850" w:header="840" w:footer="708"/>
          <w:cols w:space="708"/>
          <w:titlePg w:val="0"/>
        </w:sectPr>
      </w:pPr>
    </w:p>
    <w:p>
      <w:pPr>
        <w:bidi w:val="0"/>
        <w:spacing w:before="294" w:after="0" w:line="187" w:lineRule="atLeast"/>
        <w:ind w:left="4787"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ANNEX  I</w:t>
      </w:r>
    </w:p>
    <w:p>
      <w:pPr>
        <w:bidi w:val="0"/>
        <w:spacing w:before="375" w:after="0" w:line="210" w:lineRule="atLeast"/>
        <w:ind w:left="210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 xml:space="preserve">Relevant  commodities </w:t>
      </w:r>
      <w:r>
        <w:rPr>
          <w:rFonts w:ascii="Times New Roman" w:eastAsia="Times New Roman" w:hAnsi="Times New Roman" w:cs="Times New Roman"/>
          <w:b/>
          <w:bCs/>
          <w:i w:val="0"/>
          <w:iCs w:val="0"/>
          <w:strike w:val="0"/>
          <w:color w:val="2E3238"/>
          <w:spacing w:val="2"/>
          <w:sz w:val="19"/>
          <w:szCs w:val="19"/>
          <w:u w:val="none"/>
          <w:rtl w:val="0"/>
        </w:rPr>
        <w:t xml:space="preserve"> </w:t>
      </w:r>
      <w:r>
        <w:rPr>
          <w:rFonts w:ascii="Times New Roman" w:eastAsia="Times New Roman" w:hAnsi="Times New Roman" w:cs="Times New Roman"/>
          <w:b/>
          <w:bCs/>
          <w:i w:val="0"/>
          <w:iCs w:val="0"/>
          <w:strike w:val="0"/>
          <w:color w:val="2E3238"/>
          <w:spacing w:val="0"/>
          <w:sz w:val="19"/>
          <w:szCs w:val="19"/>
          <w:u w:val="none"/>
          <w:rtl w:val="0"/>
        </w:rPr>
        <w:t>and  relevant  products  as  referred  to  in  Article 1</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237" w:after="0" w:line="213" w:lineRule="atLeast"/>
        <w:ind w:left="510" w:right="-111" w:firstLine="2"/>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following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table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lists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goods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classified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Combined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Nomenclature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set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Annex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Regulation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(EEC) No  2658/87  that  are  referred  to  in  Article 1 of  this  Regulation. </w:t>
      </w:r>
    </w:p>
    <w:p>
      <w:pPr>
        <w:bidi w:val="0"/>
        <w:spacing w:before="258" w:after="0" w:line="213" w:lineRule="atLeast"/>
        <w:ind w:left="510" w:right="-55" w:firstLine="2"/>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Except for by-products of a manufacturing process, where that process involved material that was not waste as defined in Article 3, point (1), of Directive  2008/98/EC,  this Regulation  does not apply to goods  if they are produced  entirely from material that has completed its lifecycle and would otherwise have been discarded as waste as defined in Article 3, point  (1),  of  that  Directive.</w:t>
      </w:r>
    </w:p>
    <w:p>
      <w:pPr>
        <w:bidi w:val="0"/>
        <w:spacing w:before="357" w:after="0" w:line="187" w:lineRule="atLeast"/>
        <w:ind w:left="78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 xml:space="preserve">Relevant  commodity </w:t>
      </w:r>
      <w:r>
        <w:rPr>
          <w:rFonts w:ascii="Times New Roman" w:eastAsia="Times New Roman" w:hAnsi="Times New Roman" w:cs="Times New Roman"/>
          <w:b w:val="0"/>
          <w:bCs w:val="0"/>
          <w:i w:val="0"/>
          <w:iCs w:val="0"/>
          <w:strike w:val="0"/>
          <w:color w:val="2E3238"/>
          <w:spacing w:val="3221"/>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none"/>
          <w:rtl w:val="0"/>
        </w:rPr>
        <w:t>Relevant  products</w:t>
      </w:r>
      <w:r>
        <w:pict>
          <v:shape id="PathGroup" o:spid="_x0000_s1042" type="#_x0000_t75" style="width:465pt;height:330pt;margin-top:11.4pt;margin-left:66pt;mso-position-horizontal-relative:page;position:absolute;z-index:-251640832" o:allowincell="f">
            <v:imagedata r:id="rId85" o:title=""/>
            <w10:anchorlock/>
          </v:shape>
        </w:pict>
      </w:r>
    </w:p>
    <w:p>
      <w:pPr>
        <w:bidi w:val="0"/>
        <w:spacing w:before="515"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Cattle </w:t>
      </w:r>
      <w:r>
        <w:rPr>
          <w:rFonts w:ascii="Times New Roman" w:eastAsia="Times New Roman" w:hAnsi="Times New Roman" w:cs="Times New Roman"/>
          <w:b w:val="0"/>
          <w:bCs w:val="0"/>
          <w:i w:val="0"/>
          <w:iCs w:val="0"/>
          <w:strike w:val="0"/>
          <w:color w:val="2E3238"/>
          <w:spacing w:val="154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0102 21,  0102 29  Live  cattle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0201  Meat  of  cattle,  fresh  or  chilled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0202  Meat  of  cattle,  frozen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0206 10  Edible  offal  of  cattle,  fresh  or chilled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0206 22  Edible  cattle  livers,  frozen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0206 29  Edible  cattle  offal  (excluding  tongues  and  livers),  frozen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1602 50  Other  prepared  or  preserved  meat,  meat  offal,  blood,  of  cattle </w:t>
      </w:r>
    </w:p>
    <w:p>
      <w:pPr>
        <w:bidi w:val="0"/>
        <w:spacing w:before="238" w:after="0" w:line="213" w:lineRule="atLeast"/>
        <w:ind w:left="2567" w:right="59"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4101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Raw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hides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skins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cattle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(fresh,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salted,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dried,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limed,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pickled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otherwise preserved,  but not tanned,  parchment-dressed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further prepared),  whether  or not dehaired or  split </w:t>
      </w:r>
    </w:p>
    <w:p>
      <w:pPr>
        <w:bidi w:val="0"/>
        <w:spacing w:before="238" w:after="0" w:line="213" w:lineRule="atLeast"/>
        <w:ind w:left="2567" w:right="16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4104 Tanned or crust hides and skins of cattle, without hair on, whether or not split, but not  further  prepared </w:t>
      </w:r>
    </w:p>
    <w:p>
      <w:pPr>
        <w:bidi w:val="0"/>
        <w:spacing w:before="237" w:after="0" w:line="213" w:lineRule="atLeast"/>
        <w:ind w:left="2567" w:right="176"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4107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Leather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cattle,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further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prepared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after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tanning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crusting,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parchment- dressed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leather,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without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hair  on,  whether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not  split,  other  than  leather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heading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4114 </w:t>
      </w:r>
    </w:p>
    <w:p>
      <w:pPr>
        <w:bidi w:val="0"/>
        <w:spacing w:before="841"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Cocoa </w:t>
      </w:r>
      <w:r>
        <w:rPr>
          <w:rFonts w:ascii="Times New Roman" w:eastAsia="Times New Roman" w:hAnsi="Times New Roman" w:cs="Times New Roman"/>
          <w:b w:val="0"/>
          <w:bCs w:val="0"/>
          <w:i w:val="0"/>
          <w:iCs w:val="0"/>
          <w:strike w:val="0"/>
          <w:color w:val="2E3238"/>
          <w:spacing w:val="150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1801  Cocoa  beans,  whole  or broken,  raw  or  roasted </w:t>
      </w:r>
      <w:r>
        <w:pict>
          <v:shape id="PathGroup" o:spid="_x0000_s1043" type="#_x0000_t75" style="width:465pt;height:239pt;margin-top:18.5pt;margin-left:66pt;mso-position-horizontal-relative:page;position:absolute;z-index:-251639808" o:allowincell="f">
            <v:imagedata r:id="rId86" o:title=""/>
            <w10:anchorlock/>
          </v:shape>
        </w:pic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1802  Cocoa  shells,  husks,  skins  and  other  cocoa  waste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1803  Cocoa  paste,  whether  or not  defatted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1804  Cocoa  butter,  fat and  oil </w:t>
      </w:r>
    </w:p>
    <w:p>
      <w:pPr>
        <w:bidi w:val="0"/>
        <w:spacing w:before="0" w:after="0" w:line="468" w:lineRule="atLeast"/>
        <w:ind w:left="2567" w:right="1361"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1805  Cocoa  powder,  not  containing  added  sugar  or other  sweetening  matter 1806  Chocolate  and  other  food  preparations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containing  cocoa </w:t>
      </w:r>
    </w:p>
    <w:p>
      <w:pPr>
        <w:bidi w:val="0"/>
        <w:spacing w:before="841"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Coffee </w:t>
      </w:r>
      <w:r>
        <w:rPr>
          <w:rFonts w:ascii="Times New Roman" w:eastAsia="Times New Roman" w:hAnsi="Times New Roman" w:cs="Times New Roman"/>
          <w:b w:val="0"/>
          <w:bCs w:val="0"/>
          <w:i w:val="0"/>
          <w:iCs w:val="0"/>
          <w:strike w:val="0"/>
          <w:color w:val="2E3238"/>
          <w:spacing w:val="149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0901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Coffee, </w:t>
      </w:r>
      <w:r>
        <w:rPr>
          <w:rFonts w:ascii="Times New Roman" w:eastAsia="Times New Roman" w:hAnsi="Times New Roman" w:cs="Times New Roman"/>
          <w:b w:val="0"/>
          <w:bCs w:val="0"/>
          <w:i w:val="0"/>
          <w:iCs w:val="0"/>
          <w:strike w:val="0"/>
          <w:color w:val="2E3238"/>
          <w:spacing w:val="4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3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roasted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decaffeinated; </w:t>
      </w:r>
      <w:r>
        <w:rPr>
          <w:rFonts w:ascii="Times New Roman" w:eastAsia="Times New Roman" w:hAnsi="Times New Roman" w:cs="Times New Roman"/>
          <w:b w:val="0"/>
          <w:bCs w:val="0"/>
          <w:i w:val="0"/>
          <w:iCs w:val="0"/>
          <w:strike w:val="0"/>
          <w:color w:val="2E3238"/>
          <w:spacing w:val="4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coffee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husks </w:t>
      </w:r>
      <w:r>
        <w:rPr>
          <w:rFonts w:ascii="Times New Roman" w:eastAsia="Times New Roman" w:hAnsi="Times New Roman" w:cs="Times New Roman"/>
          <w:b w:val="0"/>
          <w:bCs w:val="0"/>
          <w:i w:val="0"/>
          <w:iCs w:val="0"/>
          <w:strike w:val="0"/>
          <w:color w:val="2E3238"/>
          <w:spacing w:val="4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skins; </w:t>
      </w:r>
      <w:r>
        <w:rPr>
          <w:rFonts w:ascii="Times New Roman" w:eastAsia="Times New Roman" w:hAnsi="Times New Roman" w:cs="Times New Roman"/>
          <w:b w:val="0"/>
          <w:bCs w:val="0"/>
          <w:i w:val="0"/>
          <w:iCs w:val="0"/>
          <w:strike w:val="0"/>
          <w:color w:val="2E3238"/>
          <w:spacing w:val="3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coffee </w:t>
      </w:r>
    </w:p>
    <w:p>
      <w:pPr>
        <w:bidi w:val="0"/>
        <w:spacing w:before="3" w:after="0" w:line="210" w:lineRule="atLeast"/>
        <w:ind w:left="2567" w:right="-200" w:firstLine="0"/>
        <w:jc w:val="both"/>
        <w:outlineLvl w:val="1"/>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substitutes  containing  coffee  in  any  proportion</w:t>
      </w:r>
    </w:p>
    <w:p>
      <w:pPr>
        <w:sectPr>
          <w:headerReference w:type="even" r:id="rId87"/>
          <w:headerReference w:type="default" r:id="rId88"/>
          <w:pgSz w:w="11906" w:h="16838"/>
          <w:pgMar w:top="1300" w:right="688" w:bottom="640" w:left="850" w:header="840" w:footer="708"/>
          <w:cols w:space="708"/>
          <w:titlePg w:val="0"/>
        </w:sectPr>
      </w:pPr>
    </w:p>
    <w:p>
      <w:pPr>
        <w:bidi w:val="0"/>
        <w:spacing w:before="319" w:after="0" w:line="187" w:lineRule="atLeast"/>
        <w:ind w:left="78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shd w:val="clear" w:color="auto" w:fill="2E3238"/>
          <w:rtl w:val="0"/>
        </w:rPr>
        <w:t xml:space="preserve">Relevant  commodity </w:t>
      </w:r>
      <w:r>
        <w:rPr>
          <w:rFonts w:ascii="Times New Roman" w:eastAsia="Times New Roman" w:hAnsi="Times New Roman" w:cs="Times New Roman"/>
          <w:b w:val="0"/>
          <w:bCs w:val="0"/>
          <w:i w:val="0"/>
          <w:iCs w:val="0"/>
          <w:strike w:val="0"/>
          <w:color w:val="2E3238"/>
          <w:spacing w:val="3221"/>
          <w:sz w:val="17"/>
          <w:szCs w:val="17"/>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7"/>
          <w:szCs w:val="17"/>
          <w:u w:val="none"/>
          <w:shd w:val="clear" w:color="auto" w:fill="2E3238"/>
          <w:rtl w:val="0"/>
        </w:rPr>
        <w:t>Relevant  products</w:t>
      </w:r>
      <w:r>
        <w:pict>
          <v:shape id="PathGroup" o:spid="_x0000_s1044" type="#_x0000_t75" style="width:465pt;height:436pt;margin-top:10pt;margin-left:66pt;mso-position-horizontal-relative:page;position:absolute;z-index:-251638784" o:allowincell="f">
            <v:imagedata r:id="rId89" o:title=""/>
            <w10:anchorlock/>
          </v:shape>
        </w:pict>
      </w:r>
    </w:p>
    <w:p>
      <w:pPr>
        <w:bidi w:val="0"/>
        <w:spacing w:before="679"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Oil  palm </w:t>
      </w:r>
      <w:r>
        <w:rPr>
          <w:rFonts w:ascii="Times New Roman" w:eastAsia="Times New Roman" w:hAnsi="Times New Roman" w:cs="Times New Roman"/>
          <w:b w:val="0"/>
          <w:bCs w:val="0"/>
          <w:i w:val="0"/>
          <w:iCs w:val="0"/>
          <w:strike w:val="0"/>
          <w:color w:val="2E3238"/>
          <w:spacing w:val="128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1207 10  Palm  nuts  and  kernels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1511  Palm  oil  and  its  fractions,  whether  or not  refined,  but  not  chemically  modified </w:t>
      </w:r>
    </w:p>
    <w:p>
      <w:pPr>
        <w:bidi w:val="0"/>
        <w:spacing w:before="238" w:after="0" w:line="213" w:lineRule="atLeast"/>
        <w:ind w:left="2567" w:right="185"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1513 21  Crude  palm  kernel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babassu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oil  and  fractions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whether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not  refined, but  not  chemically  modified </w:t>
      </w:r>
    </w:p>
    <w:p>
      <w:pPr>
        <w:bidi w:val="0"/>
        <w:spacing w:before="238" w:after="0" w:line="213" w:lineRule="atLeast"/>
        <w:ind w:left="2567" w:right="194"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1513 29  Palm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kernel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babassu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oil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fractions,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refined,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chemically  modified  (excluding  crude  oil) </w:t>
      </w:r>
    </w:p>
    <w:p>
      <w:pPr>
        <w:bidi w:val="0"/>
        <w:spacing w:before="238" w:after="0" w:line="213" w:lineRule="atLeast"/>
        <w:ind w:left="2567" w:right="19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2306 60 Oilcake and other solid residues of palm nuts or kernels, whether or not ground or in  the  form  of  pellets,  resulting  from  the  extraction  of  palm  nut  or  kernel  fats  or oils </w:t>
      </w:r>
    </w:p>
    <w:p>
      <w:pPr>
        <w:bidi w:val="0"/>
        <w:spacing w:before="235" w:after="0" w:line="214" w:lineRule="atLeast"/>
        <w:ind w:left="2567" w:right="104"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2905 45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Glycerol,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purity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95 %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more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(calculated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weight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dry product) </w:t>
      </w:r>
    </w:p>
    <w:p>
      <w:pPr>
        <w:bidi w:val="0"/>
        <w:spacing w:before="239"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2915 70  Palmitic  acid,  stearic  acid,  their  salts  and  esters </w:t>
      </w:r>
    </w:p>
    <w:p>
      <w:pPr>
        <w:bidi w:val="0"/>
        <w:spacing w:before="238" w:after="0" w:line="213" w:lineRule="atLeast"/>
        <w:ind w:left="2567" w:right="84"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2915 90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Saturated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acyclic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monocarboxylic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anhydrides,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halides,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peroxides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peroxyacids;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their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halogenated,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sulphonated, </w:t>
      </w:r>
      <w:r>
        <w:rPr>
          <w:rFonts w:ascii="Times New Roman" w:eastAsia="Times New Roman" w:hAnsi="Times New Roman" w:cs="Times New Roman"/>
          <w:b w:val="0"/>
          <w:bCs w:val="0"/>
          <w:i w:val="0"/>
          <w:iCs w:val="0"/>
          <w:strike w:val="0"/>
          <w:color w:val="2E3238"/>
          <w:spacing w:val="3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nitrated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nitrosated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derivatives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(excluding formic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  acetic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  mono-,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di-  or  trichloroacetic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acids,  propionic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butanoic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acids, pentanoic  acids,  palmitic  acid,  stearic  acid,  their  salts  and  esters,  and  acetic  anhydride) </w:t>
      </w:r>
    </w:p>
    <w:p>
      <w:pPr>
        <w:bidi w:val="0"/>
        <w:spacing w:before="0" w:after="0" w:line="469" w:lineRule="atLeast"/>
        <w:ind w:left="2567" w:right="5042"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3823 11  Stearic  acid,  industrial 3823 12  Oleic  acid,  industrial </w:t>
      </w:r>
    </w:p>
    <w:p>
      <w:pPr>
        <w:bidi w:val="0"/>
        <w:spacing w:before="237" w:after="0" w:line="213" w:lineRule="atLeast"/>
        <w:ind w:left="2567" w:right="76"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3823 19 Industrial monocarboxylic fatty acids; acid oils from refining (excluding stearic acid, oleic  acid  and  tall  oil  fatty  acids)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3823 70  Industrial  fatty  alcohols </w:t>
      </w:r>
    </w:p>
    <w:p>
      <w:pPr>
        <w:bidi w:val="0"/>
        <w:spacing w:before="1172"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Rubber </w:t>
      </w:r>
      <w:r>
        <w:rPr>
          <w:rFonts w:ascii="Times New Roman" w:eastAsia="Times New Roman" w:hAnsi="Times New Roman" w:cs="Times New Roman"/>
          <w:b w:val="0"/>
          <w:bCs w:val="0"/>
          <w:i w:val="0"/>
          <w:iCs w:val="0"/>
          <w:strike w:val="0"/>
          <w:color w:val="2E3238"/>
          <w:spacing w:val="14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4001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Natural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rubber,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balata,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gutta-percha, </w:t>
      </w:r>
      <w:r>
        <w:rPr>
          <w:rFonts w:ascii="Times New Roman" w:eastAsia="Times New Roman" w:hAnsi="Times New Roman" w:cs="Times New Roman"/>
          <w:b w:val="0"/>
          <w:bCs w:val="0"/>
          <w:i w:val="0"/>
          <w:iCs w:val="0"/>
          <w:strike w:val="0"/>
          <w:color w:val="2E3238"/>
          <w:spacing w:val="3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guayule,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chicle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similar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natural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gums,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pict>
          <v:shape id="PathGroup" o:spid="_x0000_s1045" type="#_x0000_t75" style="width:367pt;height:281pt;margin-top:26.22pt;margin-left:164pt;mso-position-horizontal-relative:page;position:absolute;z-index:-251637760" o:allowincell="f">
            <v:imagedata r:id="rId90" o:title=""/>
            <w10:anchorlock/>
          </v:shape>
        </w:pict>
      </w:r>
    </w:p>
    <w:p>
      <w:pPr>
        <w:bidi w:val="0"/>
        <w:spacing w:before="3"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primary  forms  or in  plates,  sheets  or  strip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4005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Compounded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rubber,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unvulcanised,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primary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forms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plates,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sheets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strip </w:t>
      </w:r>
    </w:p>
    <w:p>
      <w:pPr>
        <w:bidi w:val="0"/>
        <w:spacing w:before="238" w:after="0" w:line="213" w:lineRule="atLeast"/>
        <w:ind w:left="2567" w:right="9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4006 Unvulcanised rubber in other forms (e.g. rods, tubes and profile shapes) and articles (e.g.  discs  and  rings)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4007  Vulcanised  rubber  thread  and  cord </w:t>
      </w:r>
    </w:p>
    <w:p>
      <w:pPr>
        <w:bidi w:val="0"/>
        <w:spacing w:before="238" w:after="0" w:line="213" w:lineRule="atLeast"/>
        <w:ind w:left="2567" w:right="124"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4008  Plates,  sheets,  strips,  rods  and profile  shapes,  of vulcanised  rubber  other  than  hard rubber </w:t>
      </w:r>
    </w:p>
    <w:p>
      <w:pPr>
        <w:bidi w:val="0"/>
        <w:spacing w:before="0" w:after="0" w:line="469" w:lineRule="atLeast"/>
        <w:ind w:left="2567" w:right="169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4010  Conveyer  or  transmission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belts  or  belting,  of  vulcanised  rubber ex 4011  New  pneumatic  tyres,  of  rubber </w:t>
      </w:r>
    </w:p>
    <w:p>
      <w:pPr>
        <w:bidi w:val="0"/>
        <w:spacing w:before="238" w:after="0" w:line="213" w:lineRule="atLeast"/>
        <w:ind w:left="2567" w:right="126"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ex 4012 Retreaded or used pneumatic tyres of rubber; solid or cushion tyres, tyre treads and tyre  flaps,  of  rubber</w:t>
      </w:r>
    </w:p>
    <w:p>
      <w:pPr>
        <w:sectPr>
          <w:headerReference w:type="even" r:id="rId91"/>
          <w:headerReference w:type="default" r:id="rId92"/>
          <w:pgSz w:w="11906" w:h="16838"/>
          <w:pgMar w:top="1300" w:right="689" w:bottom="640" w:left="850" w:header="840" w:footer="708"/>
          <w:cols w:space="708"/>
          <w:titlePg w:val="0"/>
        </w:sectPr>
      </w:pPr>
    </w:p>
    <w:p>
      <w:pPr>
        <w:bidi w:val="0"/>
        <w:spacing w:before="319" w:after="0" w:line="187" w:lineRule="atLeast"/>
        <w:ind w:left="78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single"/>
          <w:shd w:val="clear" w:color="auto" w:fill="2E3238"/>
          <w:rtl w:val="0"/>
        </w:rPr>
        <w:t xml:space="preserve">Relevant  commodity </w:t>
      </w:r>
      <w:r>
        <w:rPr>
          <w:rFonts w:ascii="Times New Roman" w:eastAsia="Times New Roman" w:hAnsi="Times New Roman" w:cs="Times New Roman"/>
          <w:b w:val="0"/>
          <w:bCs w:val="0"/>
          <w:i w:val="0"/>
          <w:iCs w:val="0"/>
          <w:strike w:val="0"/>
          <w:color w:val="2E3238"/>
          <w:spacing w:val="3221"/>
          <w:sz w:val="17"/>
          <w:szCs w:val="17"/>
          <w:u w:val="singl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7"/>
          <w:szCs w:val="17"/>
          <w:u w:val="single"/>
          <w:shd w:val="clear" w:color="auto" w:fill="2E3238"/>
          <w:rtl w:val="0"/>
        </w:rPr>
        <w:t>Relevant  products</w:t>
      </w:r>
      <w:r>
        <w:pict>
          <v:shape id="PathGroup" o:spid="_x0000_s1046" type="#_x0000_t75" style="width:465pt;height:283pt;margin-top:10pt;margin-left:66pt;mso-position-horizontal-relative:page;position:absolute;z-index:-251636736" o:allowincell="f">
            <v:imagedata r:id="rId93" o:title=""/>
            <w10:anchorlock/>
          </v:shape>
        </w:pict>
      </w:r>
    </w:p>
    <w:p>
      <w:pPr>
        <w:bidi w:val="0"/>
        <w:spacing w:before="186"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shd w:val="clear" w:color="auto" w:fill="2E3238"/>
          <w:rtl w:val="0"/>
        </w:rPr>
        <w:t xml:space="preserve">ex 4013  Inner  tubes,  of  rubber </w:t>
      </w:r>
    </w:p>
    <w:p>
      <w:pPr>
        <w:bidi w:val="0"/>
        <w:spacing w:before="238" w:after="0" w:line="213" w:lineRule="atLeast"/>
        <w:ind w:left="2567" w:right="71"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4015 Articles of apparel and clothing accessories (including gloves, mittens and mitts), for all  purposes,  of  vulcanised  rubber  other  than  hard  rubber </w:t>
      </w:r>
    </w:p>
    <w:p>
      <w:pPr>
        <w:bidi w:val="0"/>
        <w:spacing w:before="237" w:after="0" w:line="213" w:lineRule="atLeast"/>
        <w:ind w:left="2567" w:right="15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4016 Other articles  of vulcanised  rubber other than hard rubber, not elsewhere  specified in  chapter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40 </w:t>
      </w:r>
    </w:p>
    <w:p>
      <w:pPr>
        <w:bidi w:val="0"/>
        <w:spacing w:before="238" w:after="0" w:line="213" w:lineRule="atLeast"/>
        <w:ind w:left="2567" w:right="73"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4017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Hard  rubber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(e.g.  ebonite)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all  forms  including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waste  and  scrap;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hard rubber </w:t>
      </w:r>
    </w:p>
    <w:p>
      <w:pPr>
        <w:bidi w:val="0"/>
        <w:spacing w:before="542"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Soya </w:t>
      </w:r>
      <w:r>
        <w:rPr>
          <w:rFonts w:ascii="Times New Roman" w:eastAsia="Times New Roman" w:hAnsi="Times New Roman" w:cs="Times New Roman"/>
          <w:b w:val="0"/>
          <w:bCs w:val="0"/>
          <w:i w:val="0"/>
          <w:iCs w:val="0"/>
          <w:strike w:val="0"/>
          <w:color w:val="2E3238"/>
          <w:spacing w:val="16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1201  Soya  beans,  whether  or  not  broken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1208 10  Soya  bean  flour  and  meal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1507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Soya-bean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oil  and  its  fractions,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not  refined,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chemically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modified </w:t>
      </w:r>
    </w:p>
    <w:p>
      <w:pPr>
        <w:bidi w:val="0"/>
        <w:spacing w:before="238" w:after="0" w:line="213" w:lineRule="atLeast"/>
        <w:ind w:left="2567" w:right="183"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2304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Oilcake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solid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residues,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ground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form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pellets, resulting  from  the  extraction  of  soya-bean  oil </w:t>
      </w:r>
    </w:p>
    <w:p>
      <w:pPr>
        <w:bidi w:val="0"/>
        <w:spacing w:before="899" w:after="0" w:line="210" w:lineRule="atLeast"/>
        <w:ind w:left="511"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50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4401 Fuel wood, in logs, in billets, in twigs, in faggots or in similar forms; wood in chips or </w:t>
      </w:r>
      <w:r>
        <w:pict>
          <v:shape id="PathGroup" o:spid="_x0000_s1047" type="#_x0000_t75" style="width:5pt;height:433pt;margin-top:20.2pt;margin-left:164pt;mso-position-horizontal-relative:page;position:absolute;z-index:251680768" o:allowincell="f">
            <v:imagedata r:id="rId94" o:title=""/>
            <w10:anchorlock/>
          </v:shape>
        </w:pict>
      </w:r>
    </w:p>
    <w:p>
      <w:pPr>
        <w:bidi w:val="0"/>
        <w:spacing w:before="0" w:after="0" w:line="213" w:lineRule="atLeast"/>
        <w:ind w:left="2567" w:right="153"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particles; </w:t>
      </w:r>
      <w:r>
        <w:rPr>
          <w:rFonts w:ascii="Times New Roman" w:eastAsia="Times New Roman" w:hAnsi="Times New Roman" w:cs="Times New Roman"/>
          <w:b w:val="0"/>
          <w:bCs w:val="0"/>
          <w:i w:val="0"/>
          <w:iCs w:val="0"/>
          <w:strike w:val="0"/>
          <w:color w:val="2E3238"/>
          <w:spacing w:val="4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sawdust </w:t>
      </w:r>
      <w:r>
        <w:rPr>
          <w:rFonts w:ascii="Times New Roman" w:eastAsia="Times New Roman" w:hAnsi="Times New Roman" w:cs="Times New Roman"/>
          <w:b w:val="0"/>
          <w:bCs w:val="0"/>
          <w:i w:val="0"/>
          <w:iCs w:val="0"/>
          <w:strike w:val="0"/>
          <w:color w:val="2E3238"/>
          <w:spacing w:val="4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waste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scrap,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4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4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agglomerated </w:t>
      </w:r>
      <w:r>
        <w:rPr>
          <w:rFonts w:ascii="Times New Roman" w:eastAsia="Times New Roman" w:hAnsi="Times New Roman" w:cs="Times New Roman"/>
          <w:b w:val="0"/>
          <w:bCs w:val="0"/>
          <w:i w:val="0"/>
          <w:iCs w:val="0"/>
          <w:strike w:val="0"/>
          <w:color w:val="2E3238"/>
          <w:spacing w:val="5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4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logs, briquettes,  pellets  or  similar  forms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4402  Wood  charcoal  (including  shell  or nut  charcoal),  whether  or  not  agglomerated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4403 Wood in the rough, whether or not stripped of bark or sapwood,  or roughly squared </w:t>
      </w:r>
    </w:p>
    <w:p>
      <w:pPr>
        <w:bidi w:val="0"/>
        <w:spacing w:before="238" w:after="0" w:line="213" w:lineRule="atLeast"/>
        <w:ind w:left="2567" w:right="112"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4404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Hoopwood;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split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poles;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piles,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pickets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stakes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pointed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sawn lengthwise;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wooden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sticks,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roughly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trimmed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but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turned,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bent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otherwise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worked, suitable </w:t>
      </w:r>
      <w:r>
        <w:rPr>
          <w:rFonts w:ascii="Times New Roman" w:eastAsia="Times New Roman" w:hAnsi="Times New Roman" w:cs="Times New Roman"/>
          <w:b w:val="0"/>
          <w:bCs w:val="0"/>
          <w:i w:val="0"/>
          <w:iCs w:val="0"/>
          <w:strike w:val="0"/>
          <w:color w:val="2E3238"/>
          <w:spacing w:val="5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manufacture </w:t>
      </w:r>
      <w:r>
        <w:rPr>
          <w:rFonts w:ascii="Times New Roman" w:eastAsia="Times New Roman" w:hAnsi="Times New Roman" w:cs="Times New Roman"/>
          <w:b w:val="0"/>
          <w:bCs w:val="0"/>
          <w:i w:val="0"/>
          <w:iCs w:val="0"/>
          <w:strike w:val="0"/>
          <w:color w:val="2E3238"/>
          <w:spacing w:val="6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walking </w:t>
      </w:r>
      <w:r>
        <w:rPr>
          <w:rFonts w:ascii="Times New Roman" w:eastAsia="Times New Roman" w:hAnsi="Times New Roman" w:cs="Times New Roman"/>
          <w:b w:val="0"/>
          <w:bCs w:val="0"/>
          <w:i w:val="0"/>
          <w:iCs w:val="0"/>
          <w:strike w:val="0"/>
          <w:color w:val="2E3238"/>
          <w:spacing w:val="5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sticks, </w:t>
      </w:r>
      <w:r>
        <w:rPr>
          <w:rFonts w:ascii="Times New Roman" w:eastAsia="Times New Roman" w:hAnsi="Times New Roman" w:cs="Times New Roman"/>
          <w:b w:val="0"/>
          <w:bCs w:val="0"/>
          <w:i w:val="0"/>
          <w:iCs w:val="0"/>
          <w:strike w:val="0"/>
          <w:color w:val="2E3238"/>
          <w:spacing w:val="5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umbrellas, </w:t>
      </w:r>
      <w:r>
        <w:rPr>
          <w:rFonts w:ascii="Times New Roman" w:eastAsia="Times New Roman" w:hAnsi="Times New Roman" w:cs="Times New Roman"/>
          <w:b w:val="0"/>
          <w:bCs w:val="0"/>
          <w:i w:val="0"/>
          <w:iCs w:val="0"/>
          <w:strike w:val="0"/>
          <w:color w:val="2E3238"/>
          <w:spacing w:val="5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tool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handles </w:t>
      </w:r>
      <w:r>
        <w:rPr>
          <w:rFonts w:ascii="Times New Roman" w:eastAsia="Times New Roman" w:hAnsi="Times New Roman" w:cs="Times New Roman"/>
          <w:b w:val="0"/>
          <w:bCs w:val="0"/>
          <w:i w:val="0"/>
          <w:iCs w:val="0"/>
          <w:strike w:val="0"/>
          <w:color w:val="2E3238"/>
          <w:spacing w:val="5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5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like; chipwood  and  the  like </w:t>
      </w:r>
    </w:p>
    <w:p>
      <w:pPr>
        <w:bidi w:val="0"/>
        <w:spacing w:before="239"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4405  Wood  wool;  wood  flour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4406  Railway  or  tramway  sleepers  (cross-ties)  of  wood </w:t>
      </w:r>
    </w:p>
    <w:p>
      <w:pPr>
        <w:bidi w:val="0"/>
        <w:spacing w:before="238" w:after="0" w:line="213" w:lineRule="atLeast"/>
        <w:ind w:left="2567" w:right="167"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4407 Wood sawn or chipped lengthwise, sliced or peeled, whether or not planed, sanded or end-jointed,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a  thickness  exceeding  6 mm </w:t>
      </w:r>
    </w:p>
    <w:p>
      <w:pPr>
        <w:bidi w:val="0"/>
        <w:spacing w:before="238" w:after="0" w:line="213" w:lineRule="atLeast"/>
        <w:ind w:left="2567" w:right="114"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4408 Sheets for veneering (including those obtained by slicing laminated wood), for plywood or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similar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laminated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sawn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lengthwise,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sliced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peeled, whether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not  planed,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sanded,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spliced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end-jointed,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a  thickness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exceeding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6 mm </w:t>
      </w:r>
    </w:p>
    <w:p>
      <w:pPr>
        <w:bidi w:val="0"/>
        <w:spacing w:before="238" w:after="0" w:line="213" w:lineRule="atLeast"/>
        <w:ind w:left="2567" w:right="86"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4409  Wood  (including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strips  and  friezes  for  parquet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flooring,  not  assembled)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continuously shaped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(tongued,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grooved,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rebated,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chamfered,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V-jointed,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beaded,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moulded,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rounded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the like)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along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any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its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edges,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ends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faces,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planed,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sanded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end-jointed </w:t>
      </w:r>
    </w:p>
    <w:p>
      <w:pPr>
        <w:bidi w:val="0"/>
        <w:spacing w:before="235" w:after="0" w:line="214" w:lineRule="atLeast"/>
        <w:ind w:left="2567" w:right="87"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4410 Particle board, oriented strand board (OSB) and similar board (for example, waferboard) of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ligneous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materials,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whether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not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agglomerated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resins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organic  binding  substances </w:t>
      </w:r>
    </w:p>
    <w:p>
      <w:pPr>
        <w:bidi w:val="0"/>
        <w:spacing w:before="237" w:after="0" w:line="213" w:lineRule="atLeast"/>
        <w:ind w:left="2567" w:right="196"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4411 Fibreboard of wood or other ligneous materials, whether or not bonded with resins or other  organic  substances</w:t>
      </w:r>
    </w:p>
    <w:p>
      <w:pPr>
        <w:sectPr>
          <w:headerReference w:type="even" r:id="rId95"/>
          <w:headerReference w:type="default" r:id="rId96"/>
          <w:pgSz w:w="11906" w:h="16838"/>
          <w:pgMar w:top="1300" w:right="688" w:bottom="640" w:left="850" w:header="840" w:footer="708"/>
          <w:cols w:space="708"/>
          <w:titlePg w:val="0"/>
        </w:sectPr>
      </w:pPr>
    </w:p>
    <w:p>
      <w:pPr>
        <w:bidi w:val="0"/>
        <w:spacing w:before="79" w:after="0" w:line="187" w:lineRule="atLeast"/>
        <w:ind w:left="785"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shd w:val="clear" w:color="auto" w:fill="2E3238"/>
          <w:rtl w:val="0"/>
        </w:rPr>
        <w:t xml:space="preserve">Relevant  commodity </w:t>
      </w:r>
      <w:r>
        <w:rPr>
          <w:rFonts w:ascii="Times New Roman" w:eastAsia="Times New Roman" w:hAnsi="Times New Roman" w:cs="Times New Roman"/>
          <w:b w:val="0"/>
          <w:bCs w:val="0"/>
          <w:i w:val="0"/>
          <w:iCs w:val="0"/>
          <w:strike w:val="0"/>
          <w:color w:val="2E3238"/>
          <w:spacing w:val="3221"/>
          <w:sz w:val="17"/>
          <w:szCs w:val="17"/>
          <w:u w:val="none"/>
          <w:shd w:val="clear" w:color="auto" w:fill="2E3238"/>
          <w:rtl w:val="0"/>
        </w:rPr>
        <w:t xml:space="preserve"> </w:t>
      </w:r>
      <w:r>
        <w:rPr>
          <w:rFonts w:ascii="Times New Roman" w:eastAsia="Times New Roman" w:hAnsi="Times New Roman" w:cs="Times New Roman"/>
          <w:b w:val="0"/>
          <w:bCs w:val="0"/>
          <w:i w:val="0"/>
          <w:iCs w:val="0"/>
          <w:strike w:val="0"/>
          <w:color w:val="2E3238"/>
          <w:spacing w:val="0"/>
          <w:sz w:val="17"/>
          <w:szCs w:val="17"/>
          <w:u w:val="none"/>
          <w:shd w:val="clear" w:color="auto" w:fill="2E3238"/>
          <w:rtl w:val="0"/>
        </w:rPr>
        <w:t>Relevant  products</w:t>
      </w:r>
      <w:r>
        <w:pict>
          <v:shape id="PathGroup" o:spid="_x0000_s1048" type="#_x0000_t75" style="width:465pt;height:526pt;margin-top:-2pt;margin-left:66pt;mso-position-horizontal-relative:page;position:absolute;z-index:-251634688" o:allowincell="f">
            <v:imagedata r:id="rId97" o:title=""/>
            <w10:anchorlock/>
          </v:shape>
        </w:pict>
      </w:r>
    </w:p>
    <w:p>
      <w:pPr>
        <w:bidi w:val="0"/>
        <w:spacing w:before="194"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4412  Plywood,  veneered  panels  and  similar  laminated  wood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4413  Densified  wood,  in  blocks,  plates,  strips  or profile  shapes </w:t>
      </w:r>
    </w:p>
    <w:p>
      <w:pPr>
        <w:bidi w:val="0"/>
        <w:spacing w:before="241"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4414  Wooden  frames  for  paintings,  photographs,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mirrors  or similar  objects </w:t>
      </w:r>
    </w:p>
    <w:p>
      <w:pPr>
        <w:bidi w:val="0"/>
        <w:spacing w:before="238" w:after="0" w:line="213" w:lineRule="atLeast"/>
        <w:ind w:left="2567" w:right="89"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4415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Packing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boxes,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crates,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drums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similar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packings,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cable-drums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wood;  pallets,  box  pallets  and  other  load  boards,  of  wood; </w:t>
      </w:r>
    </w:p>
    <w:p>
      <w:pPr>
        <w:bidi w:val="0"/>
        <w:spacing w:before="239"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pallet  collars  of  wood </w:t>
      </w:r>
    </w:p>
    <w:p>
      <w:pPr>
        <w:bidi w:val="0"/>
        <w:spacing w:before="238" w:after="0" w:line="213" w:lineRule="atLeast"/>
        <w:ind w:left="2567" w:right="119"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(not  including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packing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material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used  exclusively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packing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material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support,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protect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carry  another  product  placed  on  the  market) </w:t>
      </w:r>
    </w:p>
    <w:p>
      <w:pPr>
        <w:bidi w:val="0"/>
        <w:spacing w:before="238" w:after="0" w:line="213" w:lineRule="atLeast"/>
        <w:ind w:left="2567" w:right="152"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4416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Casks,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barrels,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vats,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tubs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coopers’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including  staves </w:t>
      </w:r>
    </w:p>
    <w:p>
      <w:pPr>
        <w:bidi w:val="0"/>
        <w:spacing w:before="238" w:after="0" w:line="213" w:lineRule="atLeast"/>
        <w:ind w:left="2567" w:right="188"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4417 Tools, tool bodies, tool handles, broom or brush bodies and handles, of wood; boot or shoe  lasts  and  trees,  of  wood </w:t>
      </w:r>
    </w:p>
    <w:p>
      <w:pPr>
        <w:bidi w:val="0"/>
        <w:spacing w:before="235" w:after="0" w:line="214" w:lineRule="atLeast"/>
        <w:ind w:left="2567" w:right="97"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4418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Builders’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joinery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carpentry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cellular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panels,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assembled flooring  panels,  shingles  and  shakes </w:t>
      </w:r>
    </w:p>
    <w:p>
      <w:pPr>
        <w:bidi w:val="0"/>
        <w:spacing w:before="239"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4419  Tableware  and  kitchenware,  of  wood </w:t>
      </w:r>
    </w:p>
    <w:p>
      <w:pPr>
        <w:bidi w:val="0"/>
        <w:spacing w:before="238" w:after="0" w:line="213" w:lineRule="atLeast"/>
        <w:ind w:left="2567" w:right="128"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4420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marquetry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6"/>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inlaid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caskets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cases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for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jewellery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cutlery,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similar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articles,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statuettes </w:t>
      </w:r>
      <w:r>
        <w:rPr>
          <w:rFonts w:ascii="Times New Roman" w:eastAsia="Times New Roman" w:hAnsi="Times New Roman" w:cs="Times New Roman"/>
          <w:b w:val="0"/>
          <w:bCs w:val="0"/>
          <w:i w:val="0"/>
          <w:iCs w:val="0"/>
          <w:strike w:val="0"/>
          <w:color w:val="2E3238"/>
          <w:spacing w:val="3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2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ornaments, </w:t>
      </w:r>
      <w:r>
        <w:rPr>
          <w:rFonts w:ascii="Times New Roman" w:eastAsia="Times New Roman" w:hAnsi="Times New Roman" w:cs="Times New Roman"/>
          <w:b w:val="0"/>
          <w:bCs w:val="0"/>
          <w:i w:val="0"/>
          <w:iCs w:val="0"/>
          <w:strike w:val="0"/>
          <w:color w:val="2E3238"/>
          <w:spacing w:val="3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 </w:t>
      </w:r>
      <w:r>
        <w:rPr>
          <w:rFonts w:ascii="Times New Roman" w:eastAsia="Times New Roman" w:hAnsi="Times New Roman" w:cs="Times New Roman"/>
          <w:b w:val="0"/>
          <w:bCs w:val="0"/>
          <w:i w:val="0"/>
          <w:iCs w:val="0"/>
          <w:strike w:val="0"/>
          <w:color w:val="2E3238"/>
          <w:spacing w:val="3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wooden </w:t>
      </w:r>
      <w:r>
        <w:rPr>
          <w:rFonts w:ascii="Times New Roman" w:eastAsia="Times New Roman" w:hAnsi="Times New Roman" w:cs="Times New Roman"/>
          <w:b w:val="0"/>
          <w:bCs w:val="0"/>
          <w:i w:val="0"/>
          <w:iCs w:val="0"/>
          <w:strike w:val="0"/>
          <w:color w:val="2E3238"/>
          <w:spacing w:val="3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articles </w:t>
      </w:r>
      <w:r>
        <w:rPr>
          <w:rFonts w:ascii="Times New Roman" w:eastAsia="Times New Roman" w:hAnsi="Times New Roman" w:cs="Times New Roman"/>
          <w:b w:val="0"/>
          <w:bCs w:val="0"/>
          <w:i w:val="0"/>
          <w:iCs w:val="0"/>
          <w:strike w:val="0"/>
          <w:color w:val="2E3238"/>
          <w:spacing w:val="3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furniture  not  falling  in Chapter </w:t>
      </w:r>
      <w:r>
        <w:rPr>
          <w:rFonts w:ascii="Times New Roman" w:eastAsia="Times New Roman" w:hAnsi="Times New Roman" w:cs="Times New Roman"/>
          <w:b w:val="0"/>
          <w:bCs w:val="0"/>
          <w:i w:val="0"/>
          <w:iCs w:val="0"/>
          <w:strike w:val="0"/>
          <w:color w:val="2E3238"/>
          <w:spacing w:val="4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94 </w:t>
      </w:r>
    </w:p>
    <w:p>
      <w:pPr>
        <w:bidi w:val="0"/>
        <w:spacing w:before="240" w:after="0" w:line="210" w:lineRule="atLeast"/>
        <w:ind w:left="2567"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4421  Other  articles  of  wood </w:t>
      </w:r>
    </w:p>
    <w:p>
      <w:pPr>
        <w:bidi w:val="0"/>
        <w:spacing w:before="238" w:after="0" w:line="213" w:lineRule="atLeast"/>
        <w:ind w:left="2567" w:right="160"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Pulp and paper of Chapters 47 and 48 of the Combined Nomenclature, with the exception of bamboo-based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recovered  (waste  and  scrap)  products </w:t>
      </w:r>
    </w:p>
    <w:p>
      <w:pPr>
        <w:bidi w:val="0"/>
        <w:spacing w:before="237" w:after="0" w:line="213" w:lineRule="atLeast"/>
        <w:ind w:left="2567" w:right="200"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49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Printed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books,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newspapers, </w:t>
      </w:r>
      <w:r>
        <w:rPr>
          <w:rFonts w:ascii="Times New Roman" w:eastAsia="Times New Roman" w:hAnsi="Times New Roman" w:cs="Times New Roman"/>
          <w:b w:val="0"/>
          <w:bCs w:val="0"/>
          <w:i w:val="0"/>
          <w:iCs w:val="0"/>
          <w:strike w:val="0"/>
          <w:color w:val="2E3238"/>
          <w:spacing w:val="2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pictures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other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products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printing </w:t>
      </w:r>
      <w:r>
        <w:rPr>
          <w:rFonts w:ascii="Times New Roman" w:eastAsia="Times New Roman" w:hAnsi="Times New Roman" w:cs="Times New Roman"/>
          <w:b w:val="0"/>
          <w:bCs w:val="0"/>
          <w:i w:val="0"/>
          <w:iCs w:val="0"/>
          <w:strike w:val="0"/>
          <w:color w:val="2E3238"/>
          <w:spacing w:val="2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industry, manuscripts,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typescripts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plans,  of  paper </w:t>
      </w:r>
    </w:p>
    <w:p>
      <w:pPr>
        <w:bidi w:val="0"/>
        <w:spacing w:before="238" w:after="0" w:line="213" w:lineRule="atLeast"/>
        <w:ind w:left="2567" w:right="187"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ex 9401 Seats (other than those of heading 9402), whether or not convertible into beds, and parts  thereof,  of  wood </w:t>
      </w:r>
    </w:p>
    <w:p>
      <w:pPr>
        <w:bidi w:val="0"/>
        <w:spacing w:before="0" w:after="0" w:line="469" w:lineRule="atLeast"/>
        <w:ind w:left="2567" w:right="400" w:firstLine="0"/>
        <w:jc w:val="left"/>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9403 30, </w:t>
      </w:r>
      <w:r>
        <w:rPr>
          <w:rFonts w:ascii="Times New Roman" w:eastAsia="Times New Roman" w:hAnsi="Times New Roman" w:cs="Times New Roman"/>
          <w:b w:val="0"/>
          <w:bCs w:val="0"/>
          <w:i w:val="0"/>
          <w:iCs w:val="0"/>
          <w:strike w:val="0"/>
          <w:color w:val="2E3238"/>
          <w:spacing w:val="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9403 40,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9403 50, </w:t>
      </w:r>
      <w:r>
        <w:rPr>
          <w:rFonts w:ascii="Times New Roman" w:eastAsia="Times New Roman" w:hAnsi="Times New Roman" w:cs="Times New Roman"/>
          <w:b w:val="0"/>
          <w:bCs w:val="0"/>
          <w:i w:val="0"/>
          <w:iCs w:val="0"/>
          <w:strike w:val="0"/>
          <w:color w:val="2E3238"/>
          <w:spacing w:val="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9403 60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9403 91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Wooden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furniture,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parts </w:t>
      </w:r>
      <w:r>
        <w:rPr>
          <w:rFonts w:ascii="Times New Roman" w:eastAsia="Times New Roman" w:hAnsi="Times New Roman" w:cs="Times New Roman"/>
          <w:b w:val="0"/>
          <w:bCs w:val="0"/>
          <w:i w:val="0"/>
          <w:iCs w:val="0"/>
          <w:strike w:val="0"/>
          <w:color w:val="2E3238"/>
          <w:spacing w:val="1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thereof 9406 10  Prefabricated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buildings  of  wood</w:t>
      </w:r>
    </w:p>
    <w:p>
      <w:pPr>
        <w:bidi w:val="0"/>
        <w:spacing w:before="54" w:after="0" w:line="187" w:lineRule="atLeast"/>
        <w:ind w:left="4763" w:right="-200" w:firstLine="0"/>
        <w:jc w:val="both"/>
        <w:outlineLvl w:val="9"/>
        <w:rPr>
          <w:rFonts w:ascii="Times New Roman" w:eastAsia="Times New Roman" w:hAnsi="Times New Roman" w:cs="Times New Roman"/>
          <w:sz w:val="17"/>
          <w:szCs w:val="17"/>
        </w:rPr>
      </w:pPr>
      <w:r>
        <w:rPr>
          <w:rFonts w:ascii="Times New Roman" w:eastAsia="Times New Roman" w:hAnsi="Times New Roman" w:cs="Times New Roman"/>
          <w:b w:val="0"/>
          <w:bCs w:val="0"/>
          <w:i w:val="0"/>
          <w:iCs w:val="0"/>
          <w:strike w:val="0"/>
          <w:color w:val="2E3238"/>
          <w:spacing w:val="0"/>
          <w:sz w:val="17"/>
          <w:szCs w:val="17"/>
          <w:u w:val="none"/>
          <w:rtl w:val="0"/>
        </w:rPr>
        <w:t>ANNEX  II</w:t>
      </w:r>
    </w:p>
    <w:p>
      <w:pPr>
        <w:bidi w:val="0"/>
        <w:spacing w:before="375" w:after="0" w:line="210" w:lineRule="atLeast"/>
        <w:ind w:left="4108"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bCs/>
          <w:i w:val="0"/>
          <w:iCs w:val="0"/>
          <w:strike w:val="0"/>
          <w:color w:val="2E3238"/>
          <w:spacing w:val="0"/>
          <w:sz w:val="19"/>
          <w:szCs w:val="19"/>
          <w:u w:val="none"/>
          <w:rtl w:val="0"/>
        </w:rPr>
        <w:t>Due  diligence  statement</w:t>
      </w:r>
      <w:r>
        <w:rPr>
          <w:rFonts w:ascii="Times New Roman" w:eastAsia="Times New Roman" w:hAnsi="Times New Roman" w:cs="Times New Roman"/>
          <w:b w:val="0"/>
          <w:bCs w:val="0"/>
          <w:i w:val="0"/>
          <w:iCs w:val="0"/>
          <w:strike w:val="0"/>
          <w:color w:val="2E3238"/>
          <w:spacing w:val="0"/>
          <w:sz w:val="19"/>
          <w:szCs w:val="19"/>
          <w:u w:val="none"/>
          <w:rtl w:val="0"/>
        </w:rPr>
        <w:t xml:space="preserve"> </w:t>
      </w:r>
    </w:p>
    <w:p>
      <w:pPr>
        <w:bidi w:val="0"/>
        <w:spacing w:before="240" w:after="0" w:line="210" w:lineRule="atLeast"/>
        <w:ind w:left="512" w:right="-200" w:firstLine="0"/>
        <w:jc w:val="both"/>
        <w:outlineLvl w:val="9"/>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Information  to  be  contained  in  the  due  diligence  statement  in accordance  with  Article 4(2): </w:t>
      </w:r>
    </w:p>
    <w:p>
      <w:pPr>
        <w:numPr>
          <w:ilvl w:val="0"/>
          <w:numId w:val="127"/>
        </w:numPr>
        <w:bidi w:val="0"/>
        <w:spacing w:before="110" w:after="0" w:line="213" w:lineRule="atLeast"/>
        <w:ind w:right="2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Operator’s  name,  address  and,  in  the  event  of  relevant  commodities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relevant  products  entering  or  leaving  the market,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Economic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Operators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Registration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Identification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(EORI)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number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accordance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w:t>
      </w:r>
      <w:r>
        <w:rPr>
          <w:rFonts w:ascii="Times New Roman" w:eastAsia="Times New Roman" w:hAnsi="Times New Roman" w:cs="Times New Roman"/>
          <w:b w:val="0"/>
          <w:bCs w:val="0"/>
          <w:i w:val="0"/>
          <w:iCs w:val="0"/>
          <w:strike w:val="0"/>
          <w:color w:val="2E3238"/>
          <w:spacing w:val="15"/>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Article 9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Regulation  (EU)  No  952/2013. </w:t>
      </w:r>
    </w:p>
    <w:p>
      <w:pPr>
        <w:numPr>
          <w:ilvl w:val="0"/>
          <w:numId w:val="127"/>
        </w:numPr>
        <w:bidi w:val="0"/>
        <w:spacing w:before="128" w:after="0" w:line="213" w:lineRule="atLeast"/>
        <w:ind w:right="-21"/>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Harmonised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System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code,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free-text </w:t>
      </w:r>
      <w:r>
        <w:rPr>
          <w:rFonts w:ascii="Times New Roman" w:eastAsia="Times New Roman" w:hAnsi="Times New Roman" w:cs="Times New Roman"/>
          <w:b w:val="0"/>
          <w:bCs w:val="0"/>
          <w:i w:val="0"/>
          <w:iCs w:val="0"/>
          <w:strike w:val="0"/>
          <w:color w:val="2E3238"/>
          <w:spacing w:val="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description, </w:t>
      </w:r>
      <w:r>
        <w:rPr>
          <w:rFonts w:ascii="Times New Roman" w:eastAsia="Times New Roman" w:hAnsi="Times New Roman" w:cs="Times New Roman"/>
          <w:b w:val="0"/>
          <w:bCs w:val="0"/>
          <w:i w:val="0"/>
          <w:iCs w:val="0"/>
          <w:strike w:val="0"/>
          <w:color w:val="2E3238"/>
          <w:spacing w:val="2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including </w:t>
      </w:r>
      <w:r>
        <w:rPr>
          <w:rFonts w:ascii="Times New Roman" w:eastAsia="Times New Roman" w:hAnsi="Times New Roman" w:cs="Times New Roman"/>
          <w:b w:val="0"/>
          <w:bCs w:val="0"/>
          <w:i w:val="0"/>
          <w:iCs w:val="0"/>
          <w:strike w:val="0"/>
          <w:color w:val="2E3238"/>
          <w:spacing w:val="2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trade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name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well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as,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w:t>
      </w:r>
      <w:r>
        <w:rPr>
          <w:rFonts w:ascii="Times New Roman" w:eastAsia="Times New Roman" w:hAnsi="Times New Roman" w:cs="Times New Roman"/>
          <w:b w:val="0"/>
          <w:bCs w:val="0"/>
          <w:i w:val="0"/>
          <w:iCs w:val="0"/>
          <w:strike w:val="0"/>
          <w:color w:val="2E3238"/>
          <w:spacing w:val="2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applicable, </w:t>
      </w:r>
      <w:r>
        <w:rPr>
          <w:rFonts w:ascii="Times New Roman" w:eastAsia="Times New Roman" w:hAnsi="Times New Roman" w:cs="Times New Roman"/>
          <w:b w:val="0"/>
          <w:bCs w:val="0"/>
          <w:i w:val="0"/>
          <w:iCs w:val="0"/>
          <w:strike w:val="0"/>
          <w:color w:val="2E3238"/>
          <w:spacing w:val="2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full scientific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name,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quantity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  the  relevant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product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the  operator </w:t>
      </w:r>
      <w:r>
        <w:rPr>
          <w:rFonts w:ascii="Times New Roman" w:eastAsia="Times New Roman" w:hAnsi="Times New Roman" w:cs="Times New Roman"/>
          <w:b w:val="0"/>
          <w:bCs w:val="0"/>
          <w:i w:val="0"/>
          <w:iCs w:val="0"/>
          <w:strike w:val="0"/>
          <w:color w:val="2E3238"/>
          <w:spacing w:val="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intends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to  place  on  the  market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export. For relevant products entering or leaving the market, the quantity is to be expressed  in kilograms  of net mass and, where applicable, in the supplementary unit set out in Annex I to Regulation (EEC) No 2658/87 against the indicated Harmonised  System code or, in all other cases, expressed  in net mass specifying  a percentage  estimate or deviation or, where applicable, volume or number of items. A supplementary unit is applicable where it is defined consistently for  all  possible  subheadings  under  the  Harmonised  System  code  referred  to  in  the  due  diligence  statement. </w:t>
      </w:r>
    </w:p>
    <w:p>
      <w:pPr>
        <w:numPr>
          <w:ilvl w:val="0"/>
          <w:numId w:val="127"/>
        </w:numPr>
        <w:bidi w:val="0"/>
        <w:spacing w:before="128" w:after="0" w:line="213" w:lineRule="atLeast"/>
        <w:ind w:right="47"/>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Country of production  and the geolocation  of all plots of land where the relevant commodities  were produced. For relevant  products  that  contain  or  have  been  made  using  cattle,  and  for  such  relevant  products  that  have  been  fed with  relevant  products,  the  geolocation </w:t>
      </w:r>
      <w:r>
        <w:rPr>
          <w:rFonts w:ascii="Times New Roman" w:eastAsia="Times New Roman" w:hAnsi="Times New Roman" w:cs="Times New Roman"/>
          <w:b w:val="0"/>
          <w:bCs w:val="0"/>
          <w:i w:val="0"/>
          <w:iCs w:val="0"/>
          <w:strike w:val="0"/>
          <w:color w:val="2E3238"/>
          <w:spacing w:val="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shall  refer  to  all  the  establishments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where  the  cattle  were  kept.  Where  the relevant product contains or has been made using commodities  produced in different plots of land, the geolocation of  all  plots  of  land  shall  be  included  in  accordance </w:t>
      </w:r>
      <w:r>
        <w:rPr>
          <w:rFonts w:ascii="Times New Roman" w:eastAsia="Times New Roman" w:hAnsi="Times New Roman" w:cs="Times New Roman"/>
          <w:b w:val="0"/>
          <w:bCs w:val="0"/>
          <w:i w:val="0"/>
          <w:iCs w:val="0"/>
          <w:strike w:val="0"/>
          <w:color w:val="2E3238"/>
          <w:spacing w:val="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Article 9(1),  point  (d). </w:t>
      </w:r>
    </w:p>
    <w:p>
      <w:pPr>
        <w:numPr>
          <w:ilvl w:val="0"/>
          <w:numId w:val="127"/>
        </w:numPr>
        <w:bidi w:val="0"/>
        <w:spacing w:before="128" w:after="0" w:line="213" w:lineRule="atLeast"/>
        <w:ind w:right="24"/>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For operators referring to an existing due diligence statement pursuant to Article 4(8) and (9), the reference number of  such  due  diligence  statement. </w:t>
      </w:r>
    </w:p>
    <w:p>
      <w:pPr>
        <w:numPr>
          <w:ilvl w:val="0"/>
          <w:numId w:val="127"/>
        </w:numPr>
        <w:bidi w:val="0"/>
        <w:spacing w:before="128" w:after="0" w:line="213" w:lineRule="atLeast"/>
        <w:ind w:right="-3"/>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The  text:  ‘By  submitting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this  due  diligence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statement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operator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confirms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due  diligence </w:t>
      </w:r>
      <w:r>
        <w:rPr>
          <w:rFonts w:ascii="Times New Roman" w:eastAsia="Times New Roman" w:hAnsi="Times New Roman" w:cs="Times New Roman"/>
          <w:b w:val="0"/>
          <w:bCs w:val="0"/>
          <w:i w:val="0"/>
          <w:iCs w:val="0"/>
          <w:strike w:val="0"/>
          <w:color w:val="2E3238"/>
          <w:spacing w:val="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in  accordance </w:t>
      </w:r>
      <w:r>
        <w:rPr>
          <w:rFonts w:ascii="Times New Roman" w:eastAsia="Times New Roman" w:hAnsi="Times New Roman" w:cs="Times New Roman"/>
          <w:b w:val="0"/>
          <w:bCs w:val="0"/>
          <w:i w:val="0"/>
          <w:iCs w:val="0"/>
          <w:strike w:val="0"/>
          <w:color w:val="2E3238"/>
          <w:spacing w:val="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with Regulation </w:t>
      </w:r>
      <w:r>
        <w:rPr>
          <w:rFonts w:ascii="Times New Roman" w:eastAsia="Times New Roman" w:hAnsi="Times New Roman" w:cs="Times New Roman"/>
          <w:b w:val="0"/>
          <w:bCs w:val="0"/>
          <w:i w:val="0"/>
          <w:iCs w:val="0"/>
          <w:strike w:val="0"/>
          <w:color w:val="2E3238"/>
          <w:spacing w:val="18"/>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(EU)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2023/1115 </w:t>
      </w:r>
      <w:r>
        <w:rPr>
          <w:rFonts w:ascii="Times New Roman" w:eastAsia="Times New Roman" w:hAnsi="Times New Roman" w:cs="Times New Roman"/>
          <w:b w:val="0"/>
          <w:bCs w:val="0"/>
          <w:i w:val="0"/>
          <w:iCs w:val="0"/>
          <w:strike w:val="0"/>
          <w:color w:val="2E3238"/>
          <w:spacing w:val="19"/>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carried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out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and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no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or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only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a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negligible </w:t>
      </w:r>
      <w:r>
        <w:rPr>
          <w:rFonts w:ascii="Times New Roman" w:eastAsia="Times New Roman" w:hAnsi="Times New Roman" w:cs="Times New Roman"/>
          <w:b w:val="0"/>
          <w:bCs w:val="0"/>
          <w:i w:val="0"/>
          <w:iCs w:val="0"/>
          <w:strike w:val="0"/>
          <w:color w:val="2E3238"/>
          <w:spacing w:val="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risk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was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found </w:t>
      </w:r>
      <w:r>
        <w:rPr>
          <w:rFonts w:ascii="Times New Roman" w:eastAsia="Times New Roman" w:hAnsi="Times New Roman" w:cs="Times New Roman"/>
          <w:b w:val="0"/>
          <w:bCs w:val="0"/>
          <w:i w:val="0"/>
          <w:iCs w:val="0"/>
          <w:strike w:val="0"/>
          <w:color w:val="2E3238"/>
          <w:spacing w:val="14"/>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that </w:t>
      </w:r>
      <w:r>
        <w:rPr>
          <w:rFonts w:ascii="Times New Roman" w:eastAsia="Times New Roman" w:hAnsi="Times New Roman" w:cs="Times New Roman"/>
          <w:b w:val="0"/>
          <w:bCs w:val="0"/>
          <w:i w:val="0"/>
          <w:iCs w:val="0"/>
          <w:strike w:val="0"/>
          <w:color w:val="2E3238"/>
          <w:spacing w:val="12"/>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the </w:t>
      </w:r>
      <w:r>
        <w:rPr>
          <w:rFonts w:ascii="Times New Roman" w:eastAsia="Times New Roman" w:hAnsi="Times New Roman" w:cs="Times New Roman"/>
          <w:b w:val="0"/>
          <w:bCs w:val="0"/>
          <w:i w:val="0"/>
          <w:iCs w:val="0"/>
          <w:strike w:val="0"/>
          <w:color w:val="2E3238"/>
          <w:spacing w:val="13"/>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relevant products  do  not  comply  with  Article 3,  point  (a)  or (b),  of  that  Regulation.’. </w:t>
      </w:r>
    </w:p>
    <w:p>
      <w:pPr>
        <w:numPr>
          <w:ilvl w:val="0"/>
          <w:numId w:val="127"/>
        </w:numPr>
        <w:bidi w:val="0"/>
        <w:spacing w:before="0" w:after="0" w:line="341" w:lineRule="atLeast"/>
        <w:ind w:right="6591"/>
        <w:jc w:val="left"/>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Signature  in  the  following  format: ‘Signed  for  and  on  behalf  of: Date: </w:t>
      </w:r>
    </w:p>
    <w:p>
      <w:pPr>
        <w:bidi w:val="0"/>
        <w:spacing w:before="112" w:after="0" w:line="210" w:lineRule="atLeast"/>
        <w:ind w:left="752" w:right="-200" w:firstLine="0"/>
        <w:jc w:val="both"/>
        <w:outlineLvl w:val="1"/>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Name  and  function:  Signature:’.</w:t>
      </w:r>
      <w:r>
        <w:pict>
          <v:shape id="PathGroup" o:spid="_x0000_s1049" type="#_x0000_t75" style="width:155pt;height:4pt;margin-top:53.13pt;margin-left:221pt;mso-position-horizontal-relative:page;position:absolute;z-index:-251633664" o:allowincell="f">
            <v:imagedata r:id="rId98" o:title=""/>
            <w10:anchorlock/>
          </v:shape>
        </w:pict>
      </w:r>
    </w:p>
    <w:sectPr>
      <w:headerReference w:type="even" r:id="rId99"/>
      <w:headerReference w:type="default" r:id="rId100"/>
      <w:pgSz w:w="11906" w:h="16838"/>
      <w:pgMar w:top="1540" w:right="688" w:bottom="1120" w:left="850" w:header="840" w:footer="708"/>
      <w:cols w:space="708"/>
      <w:titlePg w:val="0"/>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150/206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rPr>
        <w:rFonts w:ascii="Times New Roman" w:eastAsia="Times New Roman" w:hAnsi="Times New Roman" w:cs="Times New Roman"/>
        <w:b/>
        <w:bCs/>
        <w:i w:val="0"/>
        <w:iCs w:val="0"/>
        <w:strike w:val="0"/>
        <w:color w:val="2E3238"/>
        <w:spacing w:val="0"/>
        <w:sz w:val="19"/>
        <w:szCs w:val="19"/>
        <w:u w:val="none"/>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0" type="#_x0000_t75" style="width:515pt;height:22pt;margin-top:-2.65pt;margin-left:41pt;mso-position-horizontal-relative:page;position:absolute;z-index:-251657216" o:allowincell="f">
          <v:imagedata r:id="rId1" o:title=""/>
          <w10:anchorlock/>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150/206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rPr>
        <w:rFonts w:ascii="Times New Roman" w:eastAsia="Times New Roman" w:hAnsi="Times New Roman" w:cs="Times New Roman"/>
        <w:b/>
        <w:bCs/>
        <w:i w:val="0"/>
        <w:iCs w:val="0"/>
        <w:strike w:val="0"/>
        <w:color w:val="2E3238"/>
        <w:spacing w:val="0"/>
        <w:sz w:val="19"/>
        <w:szCs w:val="19"/>
        <w:u w:val="none"/>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49" type="#_x0000_t75" style="width:515pt;height:22pt;margin-top:-2.65pt;margin-left:41pt;mso-position-horizontal-relative:page;position:absolute;z-index:-251658240" o:allowincell="f">
          <v:imagedata r:id="rId1" o:title=""/>
          <w10:anchorlock/>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150/207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1" type="#_x0000_t75" style="width:515pt;height:22pt;margin-top:-2.65pt;margin-left:41pt;mso-position-horizontal-relative:page;position:absolute;z-index:-251656192" o:allowincell="f">
          <v:imagedata r:id="rId1" o:title=""/>
          <w10:anchorlock/>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150/207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2" type="#_x0000_t75" style="width:515pt;height:22pt;margin-top:-2.65pt;margin-left:41pt;mso-position-horizontal-relative:page;position:absolute;z-index:-251655168" o:allowincell="f">
          <v:imagedata r:id="rId1" o:title=""/>
          <w10:anchorlock/>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150/208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4" type="#_x0000_t75" style="width:515pt;height:22pt;margin-top:-2.65pt;margin-left:41pt;mso-position-horizontal-relative:page;position:absolute;z-index:-251653120" o:allowincell="f">
          <v:imagedata r:id="rId1" o:title=""/>
          <w10:anchorlock/>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150/208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3" type="#_x0000_t75" style="width:515pt;height:22pt;margin-top:-2.65pt;margin-left:41pt;mso-position-horizontal-relative:page;position:absolute;z-index:-251654144" o:allowincell="f">
          <v:imagedata r:id="rId1" o:title=""/>
          <w10:anchorlock/>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150/209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5" type="#_x0000_t75" style="width:515pt;height:22pt;margin-top:-2.65pt;margin-left:41pt;mso-position-horizontal-relative:page;position:absolute;z-index:-251652096" o:allowincell="f">
          <v:imagedata r:id="rId1" o:title=""/>
          <w10:anchorlock/>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150/209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6" type="#_x0000_t75" style="width:515pt;height:22pt;margin-top:-2.65pt;margin-left:41pt;mso-position-horizontal-relative:page;position:absolute;z-index:-251651072" o:allowincell="f">
          <v:imagedata r:id="rId1" o:title=""/>
          <w10:anchorlock/>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8" type="#_x0000_t75" style="width:515pt;height:22pt;margin-top:-2.65pt;margin-left:41pt;mso-position-horizontal-relative:page;position:absolute;z-index:-251649024" o:allowincell="f">
          <v:imagedata r:id="rId1" o:title=""/>
          <w10:anchorlock/>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7" type="#_x0000_t75" style="width:515pt;height:22pt;margin-top:-2.65pt;margin-left:41pt;mso-position-horizontal-relative:page;position:absolute;z-index:-251650048" o:allowincell="f">
          <v:imagedata r:id="rId1" o:title=""/>
          <w10:anchorlock/>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59" type="#_x0000_t75" style="width:515pt;height:22pt;margin-top:-2.65pt;margin-left:41pt;mso-position-horizontal-relative:page;position:absolute;z-index:-251648000" o:allowincell="f">
          <v:imagedata r:id="rId1" o:title=""/>
          <w10:anchorlock/>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0" type="#_x0000_t75" style="width:515pt;height:22pt;margin-top:-2.65pt;margin-left:41pt;mso-position-horizontal-relative:page;position:absolute;z-index:-251646976" o:allowincell="f">
          <v:imagedata r:id="rId1" o:title=""/>
          <w10:anchorlock/>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2" type="#_x0000_t75" style="width:515pt;height:22pt;margin-top:-2.65pt;margin-left:41pt;mso-position-horizontal-relative:page;position:absolute;z-index:-251644928" o:allowincell="f">
          <v:imagedata r:id="rId1" o:title=""/>
          <w10:anchorlock/>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1" type="#_x0000_t75" style="width:515pt;height:22pt;margin-top:-2.65pt;margin-left:41pt;mso-position-horizontal-relative:page;position:absolute;z-index:-251645952" o:allowincell="f">
          <v:imagedata r:id="rId1" o:title=""/>
          <w10:anchorlock/>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3" type="#_x0000_t75" style="width:515pt;height:22pt;margin-top:-2.65pt;margin-left:41pt;mso-position-horizontal-relative:page;position:absolute;z-index:-251643904" o:allowincell="f">
          <v:imagedata r:id="rId1" o:title=""/>
          <w10:anchorlock/>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4" type="#_x0000_t75" style="width:515pt;height:22pt;margin-top:-2.65pt;margin-left:41pt;mso-position-horizontal-relative:page;position:absolute;z-index:-251642880" o:allowincell="f">
          <v:imagedata r:id="rId1" o:title=""/>
          <w10:anchorlock/>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6" type="#_x0000_t75" style="width:515pt;height:22pt;margin-top:-2.65pt;margin-left:41pt;mso-position-horizontal-relative:page;position:absolute;z-index:-251640832" o:allowincell="f">
          <v:imagedata r:id="rId1" o:title=""/>
          <w10:anchorlock/>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5" type="#_x0000_t75" style="width:515pt;height:22pt;margin-top:-2.65pt;margin-left:41pt;mso-position-horizontal-relative:page;position:absolute;z-index:-251641856" o:allowincell="f">
          <v:imagedata r:id="rId1" o:title=""/>
          <w10:anchorlock/>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150/215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7" type="#_x0000_t75" style="width:515pt;height:22pt;margin-top:-2.65pt;margin-left:41pt;mso-position-horizontal-relative:page;position:absolute;z-index:-251639808" o:allowincell="f">
          <v:imagedata r:id="rId1" o:title=""/>
          <w10:anchorlock/>
        </v:shape>
      </w:pict>
    </w: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150/215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8" type="#_x0000_t75" style="width:515pt;height:22pt;margin-top:-2.65pt;margin-left:41pt;mso-position-horizontal-relative:page;position:absolute;z-index:-251638784" o:allowincell="f">
          <v:imagedata r:id="rId1" o:title=""/>
          <w10:anchorlock/>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0" type="#_x0000_t75" style="width:515pt;height:22pt;margin-top:-2.65pt;margin-left:41pt;mso-position-horizontal-relative:page;position:absolute;z-index:-251636736" o:allowincell="f">
          <v:imagedata r:id="rId1" o:title=""/>
          <w10:anchorlock/>
        </v:shape>
      </w:pict>
    </w: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69" type="#_x0000_t75" style="width:515pt;height:22pt;margin-top:-2.65pt;margin-left:41pt;mso-position-horizontal-relative:page;position:absolute;z-index:-251637760" o:allowincell="f">
          <v:imagedata r:id="rId1" o:title=""/>
          <w10:anchorlock/>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1" type="#_x0000_t75" style="width:515pt;height:22pt;margin-top:-2.65pt;margin-left:41pt;mso-position-horizontal-relative:page;position:absolute;z-index:-251635712" o:allowincell="f">
          <v:imagedata r:id="rId1" o:title=""/>
          <w10:anchorlock/>
        </v:shape>
      </w:pict>
    </w:r>
  </w:p>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2" type="#_x0000_t75" style="width:515pt;height:22pt;margin-top:-2.65pt;margin-left:41pt;mso-position-horizontal-relative:page;position:absolute;z-index:-251634688" o:allowincell="f">
          <v:imagedata r:id="rId1" o:title=""/>
          <w10:anchorlock/>
        </v:shape>
      </w:pict>
    </w: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4" type="#_x0000_t75" style="width:515pt;height:22pt;margin-top:-2.65pt;margin-left:41pt;mso-position-horizontal-relative:page;position:absolute;z-index:-251632640" o:allowincell="f">
          <v:imagedata r:id="rId1" o:title=""/>
          <w10:anchorlock/>
        </v:shape>
      </w:pict>
    </w: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150/218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3" type="#_x0000_t75" style="width:515pt;height:22pt;margin-top:-2.65pt;margin-left:41pt;mso-position-horizontal-relative:page;position:absolute;z-index:-251633664" o:allowincell="f">
          <v:imagedata r:id="rId1" o:title=""/>
          <w10:anchorlock/>
        </v:shape>
      </w:pict>
    </w:r>
  </w:p>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5" type="#_x0000_t75" style="width:515pt;height:22pt;margin-top:-2.65pt;margin-left:41pt;mso-position-horizontal-relative:page;position:absolute;z-index:-251631616" o:allowincell="f">
          <v:imagedata r:id="rId1" o:title=""/>
          <w10:anchorlock/>
        </v:shape>
      </w:pict>
    </w: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150/219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6" type="#_x0000_t75" style="width:515pt;height:22pt;margin-top:-2.65pt;margin-left:41pt;mso-position-horizontal-relative:page;position:absolute;z-index:-251630592" o:allowincell="f">
          <v:imagedata r:id="rId1" o:title=""/>
          <w10:anchorlock/>
        </v:shape>
      </w:pict>
    </w: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150/220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8" type="#_x0000_t75" style="width:30pt;height:15pt;margin-top:-2.65pt;margin-left:111pt;mso-position-horizontal-relative:page;position:absolute;z-index:-251628544" o:allowincell="f">
          <v:imagedata r:id="rId1" o:title=""/>
          <w10:anchorlock/>
        </v:shape>
      </w:pict>
    </w:r>
  </w:p>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150/220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7" type="#_x0000_t75" style="width:30pt;height:15pt;margin-top:-2.65pt;margin-left:111pt;mso-position-horizontal-relative:page;position:absolute;z-index:-251629568" o:allowincell="f">
          <v:imagedata r:id="rId1" o:title=""/>
          <w10:anchorlock/>
        </v:shape>
      </w:pict>
    </w: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150/221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79" type="#_x0000_t75" style="width:515pt;height:22pt;margin-top:-2.65pt;margin-left:41pt;mso-position-horizontal-relative:page;position:absolute;z-index:-251627520" o:allowincell="f">
          <v:imagedata r:id="rId1" o:title=""/>
          <w10:anchorlock/>
        </v:shape>
      </w:pict>
    </w: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150/221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0" type="#_x0000_t75" style="width:515pt;height:22pt;margin-top:-2.65pt;margin-left:41pt;mso-position-horizontal-relative:page;position:absolute;z-index:-251626496" o:allowincell="f">
          <v:imagedata r:id="rId1" o:title=""/>
          <w10:anchorlock/>
        </v:shape>
      </w:pict>
    </w:r>
  </w:p>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2" type="#_x0000_t75" style="width:515pt;height:22pt;margin-top:-2.65pt;margin-left:41pt;mso-position-horizontal-relative:page;position:absolute;z-index:-251624448" o:allowincell="f">
          <v:imagedata r:id="rId1" o:title=""/>
          <w10:anchorlock/>
        </v:shape>
      </w:pict>
    </w: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1" type="#_x0000_t75" style="width:515pt;height:22pt;margin-top:-2.65pt;margin-left:41pt;mso-position-horizontal-relative:page;position:absolute;z-index:-251625472" o:allowincell="f">
          <v:imagedata r:id="rId1" o:title=""/>
          <w10:anchorlock/>
        </v:shape>
      </w:pict>
    </w: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3" type="#_x0000_t75" style="width:515pt;height:22pt;margin-top:-2.65pt;margin-left:41pt;mso-position-horizontal-relative:page;position:absolute;z-index:-251623424" o:allowincell="f">
          <v:imagedata r:id="rId1" o:title=""/>
          <w10:anchorlock/>
        </v:shape>
      </w:pict>
    </w:r>
  </w:p>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4" type="#_x0000_t75" style="width:515pt;height:22pt;margin-top:-2.65pt;margin-left:41pt;mso-position-horizontal-relative:page;position:absolute;z-index:-251622400" o:allowincell="f">
          <v:imagedata r:id="rId1" o:title=""/>
          <w10:anchorlock/>
        </v:shape>
      </w:pict>
    </w: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6" type="#_x0000_t75" style="width:515pt;height:22pt;margin-top:-2.65pt;margin-left:41pt;mso-position-horizontal-relative:page;position:absolute;z-index:-251620352" o:allowincell="f">
          <v:imagedata r:id="rId1" o:title=""/>
          <w10:anchorlock/>
        </v:shape>
      </w:pict>
    </w: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5" type="#_x0000_t75" style="width:515pt;height:22pt;margin-top:-2.65pt;margin-left:41pt;mso-position-horizontal-relative:page;position:absolute;z-index:-251621376" o:allowincell="f">
          <v:imagedata r:id="rId1" o:title=""/>
          <w10:anchorlock/>
        </v:shape>
      </w:pict>
    </w:r>
  </w:p>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150/225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7" type="#_x0000_t75" style="width:515pt;height:22pt;margin-top:-2.65pt;margin-left:41pt;mso-position-horizontal-relative:page;position:absolute;z-index:-251619328" o:allowincell="f">
          <v:imagedata r:id="rId1" o:title=""/>
          <w10:anchorlock/>
        </v:shape>
      </w:pict>
    </w: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150/225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8" type="#_x0000_t75" style="width:515pt;height:22pt;margin-top:-2.65pt;margin-left:41pt;mso-position-horizontal-relative:page;position:absolute;z-index:-251618304" o:allowincell="f">
          <v:imagedata r:id="rId1" o:title=""/>
          <w10:anchorlock/>
        </v:shape>
      </w:pict>
    </w: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0" type="#_x0000_t75" style="width:515pt;height:22pt;margin-top:-2.65pt;margin-left:41pt;mso-position-horizontal-relative:page;position:absolute;z-index:-251616256" o:allowincell="f">
          <v:imagedata r:id="rId1" o:title=""/>
          <w10:anchorlock/>
        </v:shape>
      </w:pict>
    </w:r>
  </w:p>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89" type="#_x0000_t75" style="width:515pt;height:22pt;margin-top:-2.65pt;margin-left:41pt;mso-position-horizontal-relative:page;position:absolute;z-index:-251617280" o:allowincell="f">
          <v:imagedata r:id="rId1" o:title=""/>
          <w10:anchorlock/>
        </v:shape>
      </w:pict>
    </w: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150/227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1" type="#_x0000_t75" style="width:30pt;height:15pt;margin-top:-2.65pt;margin-left:111pt;mso-position-horizontal-relative:page;position:absolute;z-index:-251615232" o:allowincell="f">
          <v:imagedata r:id="rId1" o:title=""/>
          <w10:anchorlock/>
        </v:shape>
      </w:pict>
    </w: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150/227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2" type="#_x0000_t75" style="width:30pt;height:15pt;margin-top:-2.65pt;margin-left:111pt;mso-position-horizontal-relative:page;position:absolute;z-index:-251614208" o:allowincell="f">
          <v:imagedata r:id="rId1" o:title=""/>
          <w10:anchorlock/>
        </v:shape>
      </w:pict>
    </w:r>
  </w:p>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4" type="#_x0000_t75" style="width:515pt;height:22pt;margin-top:-2.65pt;margin-left:41pt;mso-position-horizontal-relative:page;position:absolute;z-index:-251612160" o:allowincell="f">
          <v:imagedata r:id="rId1" o:title=""/>
          <w10:anchorlock/>
        </v:shape>
      </w:pict>
    </w: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3" type="#_x0000_t75" style="width:515pt;height:22pt;margin-top:-2.65pt;margin-left:41pt;mso-position-horizontal-relative:page;position:absolute;z-index:-251613184" o:allowincell="f">
          <v:imagedata r:id="rId1" o:title=""/>
          <w10:anchorlock/>
        </v:shape>
      </w:pict>
    </w: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150/229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5" type="#_x0000_t75" style="width:515pt;height:22pt;margin-top:-2.65pt;margin-left:41pt;mso-position-horizontal-relative:page;position:absolute;z-index:-251611136" o:allowincell="f">
          <v:imagedata r:id="rId1" o:title=""/>
          <w10:anchorlock/>
        </v:shape>
      </w:pict>
    </w:r>
  </w:p>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150/229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6" type="#_x0000_t75" style="width:515pt;height:22pt;margin-top:-2.65pt;margin-left:41pt;mso-position-horizontal-relative:page;position:absolute;z-index:-251610112" o:allowincell="f">
          <v:imagedata r:id="rId1" o:title=""/>
          <w10:anchorlock/>
        </v:shape>
      </w:pict>
    </w: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8" type="#_x0000_t75" style="width:515pt;height:22pt;margin-top:-2.65pt;margin-left:41pt;mso-position-horizontal-relative:page;position:absolute;z-index:-251608064" o:allowincell="f">
          <v:imagedata r:id="rId1" o:title=""/>
          <w10:anchorlock/>
        </v:shape>
      </w:pict>
    </w: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7" type="#_x0000_t75" style="width:515pt;height:22pt;margin-top:-2.65pt;margin-left:41pt;mso-position-horizontal-relative:page;position:absolute;z-index:-251609088" o:allowincell="f">
          <v:imagedata r:id="rId1" o:title=""/>
          <w10:anchorlock/>
        </v:shape>
      </w:pict>
    </w:r>
  </w:p>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099" type="#_x0000_t75" style="width:515pt;height:22pt;margin-top:-2.65pt;margin-left:41pt;mso-position-horizontal-relative:page;position:absolute;z-index:-251607040" o:allowincell="f">
          <v:imagedata r:id="rId1" o:title=""/>
          <w10:anchorlock/>
        </v:shape>
      </w:pict>
    </w: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0" type="#_x0000_t75" style="width:515pt;height:22pt;margin-top:-2.65pt;margin-left:41pt;mso-position-horizontal-relative:page;position:absolute;z-index:-251606016" o:allowincell="f">
          <v:imagedata r:id="rId1" o:title=""/>
          <w10:anchorlock/>
        </v:shape>
      </w:pict>
    </w: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2" type="#_x0000_t75" style="width:515pt;height:22pt;margin-top:-2.65pt;margin-left:41pt;mso-position-horizontal-relative:page;position:absolute;z-index:-251603968" o:allowincell="f">
          <v:imagedata r:id="rId1" o:title=""/>
          <w10:anchorlock/>
        </v:shape>
      </w:pict>
    </w:r>
  </w:p>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1" type="#_x0000_t75" style="width:515pt;height:22pt;margin-top:-2.65pt;margin-left:41pt;mso-position-horizontal-relative:page;position:absolute;z-index:-251604992" o:allowincell="f">
          <v:imagedata r:id="rId1" o:title=""/>
          <w10:anchorlock/>
        </v:shape>
      </w:pict>
    </w: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150/233</w:t>
    </w:r>
    <w:r>
      <w:rPr>
        <w:rFonts w:ascii="Times New Roman" w:eastAsia="Times New Roman" w:hAnsi="Times New Roman" w:cs="Times New Roman"/>
        <w:b w:val="0"/>
        <w:bCs w:val="0"/>
        <w:i w:val="0"/>
        <w:iCs w:val="0"/>
        <w:strike w:val="0"/>
        <w:color w:val="2E3238"/>
        <w:spacing w:val="0"/>
        <w:sz w:val="19"/>
        <w:szCs w:val="19"/>
        <w:u w:val="none"/>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3" type="#_x0000_t75" style="width:30pt;height:15pt;margin-top:-2.65pt;margin-left:111pt;mso-position-horizontal-relative:page;position:absolute;z-index:-251602944" o:allowincell="f">
          <v:imagedata r:id="rId1" o:title=""/>
          <w10:anchorlock/>
        </v:shape>
      </w:pict>
    </w: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150/233</w:t>
    </w:r>
    <w:r>
      <w:rPr>
        <w:rFonts w:ascii="Times New Roman" w:eastAsia="Times New Roman" w:hAnsi="Times New Roman" w:cs="Times New Roman"/>
        <w:b w:val="0"/>
        <w:bCs w:val="0"/>
        <w:i w:val="0"/>
        <w:iCs w:val="0"/>
        <w:strike w:val="0"/>
        <w:color w:val="2E3238"/>
        <w:spacing w:val="0"/>
        <w:sz w:val="19"/>
        <w:szCs w:val="19"/>
        <w:u w:val="none"/>
        <w:rtl w:val="0"/>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4" type="#_x0000_t75" style="width:30pt;height:15pt;margin-top:-2.65pt;margin-left:111pt;mso-position-horizontal-relative:page;position:absolute;z-index:-251601920" o:allowincell="f">
          <v:imagedata r:id="rId1" o:title=""/>
          <w10:anchorlock/>
        </v:shape>
      </w:pict>
    </w:r>
  </w:p>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6" type="#_x0000_t75" style="width:515pt;height:22pt;margin-top:-2.65pt;margin-left:41pt;mso-position-horizontal-relative:page;position:absolute;z-index:-251599872" o:allowincell="f">
          <v:imagedata r:id="rId1" o:title=""/>
          <w10:anchorlock/>
        </v:shape>
      </w:pict>
    </w: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5" type="#_x0000_t75" style="width:515pt;height:22pt;margin-top:-2.65pt;margin-left:41pt;mso-position-horizontal-relative:page;position:absolute;z-index:-251600896" o:allowincell="f">
          <v:imagedata r:id="rId1" o:title=""/>
          <w10:anchorlock/>
        </v:shape>
      </w:pict>
    </w: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150/235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7" type="#_x0000_t75" style="width:515pt;height:22pt;margin-top:-2.65pt;margin-left:41pt;mso-position-horizontal-relative:page;position:absolute;z-index:-251598848" o:allowincell="f">
          <v:imagedata r:id="rId1" o:title=""/>
          <w10:anchorlock/>
        </v:shape>
      </w:pict>
    </w:r>
  </w:p>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150/235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8" type="#_x0000_t75" style="width:515pt;height:22pt;margin-top:-2.65pt;margin-left:41pt;mso-position-horizontal-relative:page;position:absolute;z-index:-251597824" o:allowincell="f">
          <v:imagedata r:id="rId1" o:title=""/>
          <w10:anchorlock/>
        </v:shape>
      </w:pict>
    </w: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0" type="#_x0000_t75" style="width:515pt;height:22pt;margin-top:-2.65pt;margin-left:41pt;mso-position-horizontal-relative:page;position:absolute;z-index:-251595776" o:allowincell="f">
          <v:imagedata r:id="rId1" o:title=""/>
          <w10:anchorlock/>
        </v:shape>
      </w:pict>
    </w: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09" type="#_x0000_t75" style="width:515pt;height:22pt;margin-top:-2.65pt;margin-left:41pt;mso-position-horizontal-relative:page;position:absolute;z-index:-251596800" o:allowincell="f">
          <v:imagedata r:id="rId1" o:title=""/>
          <w10:anchorlock/>
        </v:shape>
      </w:pict>
    </w:r>
  </w:p>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1" type="#_x0000_t75" style="width:515pt;height:22pt;margin-top:-2.65pt;margin-left:41pt;mso-position-horizontal-relative:page;position:absolute;z-index:-251594752" o:allowincell="f">
          <v:imagedata r:id="rId1" o:title=""/>
          <w10:anchorlock/>
        </v:shape>
      </w:pict>
    </w: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2" type="#_x0000_t75" style="width:515pt;height:22pt;margin-top:-2.65pt;margin-left:41pt;mso-position-horizontal-relative:page;position:absolute;z-index:-251593728" o:allowincell="f">
          <v:imagedata r:id="rId1" o:title=""/>
          <w10:anchorlock/>
        </v:shape>
      </w:pict>
    </w: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4" type="#_x0000_t75" style="width:515pt;height:22pt;margin-top:-2.65pt;margin-left:41pt;mso-position-horizontal-relative:page;position:absolute;z-index:-251591680" o:allowincell="f">
          <v:imagedata r:id="rId1" o:title=""/>
          <w10:anchorlock/>
        </v:shape>
      </w:pict>
    </w:r>
  </w:p>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150/238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3" type="#_x0000_t75" style="width:515pt;height:22pt;margin-top:-2.65pt;margin-left:41pt;mso-position-horizontal-relative:page;position:absolute;z-index:-251592704" o:allowincell="f">
          <v:imagedata r:id="rId1" o:title=""/>
          <w10:anchorlock/>
        </v:shape>
      </w:pict>
    </w: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5" type="#_x0000_t75" style="width:515pt;height:22pt;margin-top:-2.65pt;margin-left:41pt;mso-position-horizontal-relative:page;position:absolute;z-index:-251590656" o:allowincell="f">
          <v:imagedata r:id="rId1" o:title=""/>
          <w10:anchorlock/>
        </v:shape>
      </w:pict>
    </w: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150/239</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6" type="#_x0000_t75" style="width:515pt;height:22pt;margin-top:-2.65pt;margin-left:41pt;mso-position-horizontal-relative:page;position:absolute;z-index:-251589632" o:allowincell="f">
          <v:imagedata r:id="rId1" o:title=""/>
          <w10:anchorlock/>
        </v:shape>
      </w:pict>
    </w:r>
  </w:p>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150/240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8" type="#_x0000_t75" style="width:515pt;height:22pt;margin-top:-2.65pt;margin-left:41pt;mso-position-horizontal-relative:page;position:absolute;z-index:-251587584" o:allowincell="f">
          <v:imagedata r:id="rId1" o:title=""/>
          <w10:anchorlock/>
        </v:shape>
      </w:pict>
    </w: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150/240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7" type="#_x0000_t75" style="width:515pt;height:22pt;margin-top:-2.65pt;margin-left:41pt;mso-position-horizontal-relative:page;position:absolute;z-index:-251588608" o:allowincell="f">
          <v:imagedata r:id="rId1" o:title=""/>
          <w10:anchorlock/>
        </v:shape>
      </w:pict>
    </w: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150/241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19" type="#_x0000_t75" style="width:515pt;height:22pt;margin-top:-2.65pt;margin-left:41pt;mso-position-horizontal-relative:page;position:absolute;z-index:-251586560" o:allowincell="f">
          <v:imagedata r:id="rId1" o:title=""/>
          <w10:anchorlock/>
        </v:shape>
      </w:pict>
    </w:r>
  </w:p>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150/241</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0" type="#_x0000_t75" style="width:515pt;height:22pt;margin-top:-2.65pt;margin-left:41pt;mso-position-horizontal-relative:page;position:absolute;z-index:-251585536" o:allowincell="f">
          <v:imagedata r:id="rId1" o:title=""/>
          <w10:anchorlock/>
        </v:shape>
      </w:pict>
    </w: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150/242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2" type="#_x0000_t75" style="width:515pt;height:22pt;margin-top:-2.65pt;margin-left:41pt;mso-position-horizontal-relative:page;position:absolute;z-index:-251583488" o:allowincell="f">
          <v:imagedata r:id="rId1" o:title=""/>
          <w10:anchorlock/>
        </v:shape>
      </w:pict>
    </w: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150/242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1" type="#_x0000_t75" style="width:515pt;height:22pt;margin-top:-2.65pt;margin-left:41pt;mso-position-horizontal-relative:page;position:absolute;z-index:-251584512" o:allowincell="f">
          <v:imagedata r:id="rId1" o:title=""/>
          <w10:anchorlock/>
        </v:shape>
      </w:pict>
    </w:r>
  </w:p>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150/243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3" type="#_x0000_t75" style="width:515pt;height:22pt;margin-top:-2.65pt;margin-left:41pt;mso-position-horizontal-relative:page;position:absolute;z-index:-251582464" o:allowincell="f">
          <v:imagedata r:id="rId1" o:title=""/>
          <w10:anchorlock/>
        </v:shape>
      </w:pict>
    </w: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150/243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4" type="#_x0000_t75" style="width:515pt;height:22pt;margin-top:-2.65pt;margin-left:41pt;mso-position-horizontal-relative:page;position:absolute;z-index:-251581440" o:allowincell="f">
          <v:imagedata r:id="rId1" o:title=""/>
          <w10:anchorlock/>
        </v:shape>
      </w:pict>
    </w: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150/244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6" type="#_x0000_t75" style="width:30pt;height:15pt;margin-top:-2.65pt;margin-left:111pt;mso-position-horizontal-relative:page;position:absolute;z-index:-251579392" o:allowincell="f">
          <v:imagedata r:id="rId1" o:title=""/>
          <w10:anchorlock/>
        </v:shape>
      </w:pict>
    </w:r>
  </w:p>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150/244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5" type="#_x0000_t75" style="width:30pt;height:15pt;margin-top:-2.65pt;margin-left:111pt;mso-position-horizontal-relative:page;position:absolute;z-index:-251580416" o:allowincell="f">
          <v:imagedata r:id="rId1" o:title=""/>
          <w10:anchorlock/>
        </v:shape>
      </w:pict>
    </w: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150/245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7" type="#_x0000_t75" style="width:30pt;height:15pt;margin-top:-2.65pt;margin-left:111pt;mso-position-horizontal-relative:page;position:absolute;z-index:-251578368" o:allowincell="f">
          <v:imagedata r:id="rId1" o:title=""/>
          <w10:anchorlock/>
        </v:shape>
      </w:pict>
    </w: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1"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150/245</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8" type="#_x0000_t75" style="width:30pt;height:15pt;margin-top:-2.65pt;margin-left:111pt;mso-position-horizontal-relative:page;position:absolute;z-index:-251577344" o:allowincell="f">
          <v:imagedata r:id="rId1" o:title=""/>
          <w10:anchorlock/>
        </v:shape>
      </w:pict>
    </w:r>
  </w:p>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none"/>
        <w:rtl w:val="0"/>
      </w:rPr>
      <w:t xml:space="preserve">9.6.2023 </w:t>
    </w:r>
    <w:r>
      <w:rPr>
        <w:rFonts w:ascii="Times New Roman" w:eastAsia="Times New Roman" w:hAnsi="Times New Roman" w:cs="Times New Roman"/>
        <w:b w:val="0"/>
        <w:bCs w:val="0"/>
        <w:i w:val="0"/>
        <w:iCs w:val="0"/>
        <w:strike w:val="0"/>
        <w:color w:val="2E3238"/>
        <w:spacing w:val="81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797"/>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Official </w:t>
    </w:r>
    <w:r>
      <w:rPr>
        <w:rFonts w:ascii="Times New Roman" w:eastAsia="Times New Roman" w:hAnsi="Times New Roman" w:cs="Times New Roman"/>
        <w:b w:val="0"/>
        <w:bCs w:val="0"/>
        <w:i w:val="0"/>
        <w:iCs w:val="0"/>
        <w:strike w:val="0"/>
        <w:color w:val="2E3238"/>
        <w:spacing w:val="1"/>
        <w:sz w:val="19"/>
        <w:szCs w:val="19"/>
        <w:u w:val="none"/>
        <w:rtl w:val="0"/>
      </w:rPr>
      <w:t>Journal</w:t>
    </w:r>
    <w:r>
      <w:rPr>
        <w:rFonts w:ascii="Times New Roman" w:eastAsia="Times New Roman" w:hAnsi="Times New Roman" w:cs="Times New Roman"/>
        <w:b w:val="0"/>
        <w:bCs w:val="0"/>
        <w:i w:val="0"/>
        <w:iCs w:val="0"/>
        <w:strike w:val="0"/>
        <w:color w:val="2E3238"/>
        <w:spacing w:val="0"/>
        <w:sz w:val="19"/>
        <w:szCs w:val="19"/>
        <w:u w:val="none"/>
        <w:rtl w:val="0"/>
      </w:rPr>
      <w:t xml:space="preserve"> of the European Union </w:t>
    </w:r>
    <w:r>
      <w:rPr>
        <w:rFonts w:ascii="Times New Roman" w:eastAsia="Times New Roman" w:hAnsi="Times New Roman" w:cs="Times New Roman"/>
        <w:b w:val="0"/>
        <w:bCs w:val="0"/>
        <w:i w:val="0"/>
        <w:iCs w:val="0"/>
        <w:strike w:val="0"/>
        <w:color w:val="2E3238"/>
        <w:spacing w:val="272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 xml:space="preserve">L </w:t>
    </w:r>
    <w:r>
      <w:rPr>
        <w:rFonts w:ascii="Times New Roman" w:eastAsia="Times New Roman" w:hAnsi="Times New Roman" w:cs="Times New Roman"/>
        <w:b w:val="0"/>
        <w:bCs w:val="0"/>
        <w:i w:val="0"/>
        <w:iCs w:val="0"/>
        <w:strike w:val="0"/>
        <w:color w:val="2E3238"/>
        <w:spacing w:val="11"/>
        <w:sz w:val="19"/>
        <w:szCs w:val="19"/>
        <w:u w:val="none"/>
        <w:rtl w:val="0"/>
      </w:rPr>
      <w:t xml:space="preserve"> </w:t>
    </w:r>
    <w:r>
      <w:rPr>
        <w:rFonts w:ascii="Times New Roman" w:eastAsia="Times New Roman" w:hAnsi="Times New Roman" w:cs="Times New Roman"/>
        <w:b w:val="0"/>
        <w:bCs w:val="0"/>
        <w:i w:val="0"/>
        <w:iCs w:val="0"/>
        <w:strike w:val="0"/>
        <w:color w:val="2E3238"/>
        <w:spacing w:val="0"/>
        <w:sz w:val="19"/>
        <w:szCs w:val="19"/>
        <w:u w:val="none"/>
        <w:rtl w:val="0"/>
      </w:rPr>
      <w:t>150/247</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30" type="#_x0000_t75" style="width:515pt;height:22pt;margin-top:-2.65pt;margin-left:41pt;mso-position-horizontal-relative:page;position:absolute;z-index:-251575296" o:allowincell="f">
          <v:imagedata r:id="rId1" o:title=""/>
          <w10:anchorlock/>
        </v:shape>
      </w:pict>
    </w: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bidi w:val="0"/>
      <w:spacing w:before="0" w:after="0" w:line="217" w:lineRule="exact"/>
      <w:ind w:left="0" w:right="-200" w:firstLine="0"/>
      <w:jc w:val="both"/>
      <w:rPr>
        <w:rFonts w:ascii="Times New Roman" w:eastAsia="Times New Roman" w:hAnsi="Times New Roman" w:cs="Times New Roman"/>
        <w:sz w:val="19"/>
        <w:szCs w:val="19"/>
      </w:rPr>
    </w:pPr>
    <w:r>
      <w:rPr>
        <w:rFonts w:ascii="Times New Roman" w:eastAsia="Times New Roman" w:hAnsi="Times New Roman" w:cs="Times New Roman"/>
        <w:b w:val="0"/>
        <w:bCs w:val="0"/>
        <w:i w:val="0"/>
        <w:iCs w:val="0"/>
        <w:strike w:val="0"/>
        <w:color w:val="2E3238"/>
        <w:spacing w:val="0"/>
        <w:sz w:val="19"/>
        <w:szCs w:val="19"/>
        <w:u w:val="single"/>
        <w:rtl w:val="0"/>
      </w:rPr>
      <w:t xml:space="preserve">L </w:t>
    </w:r>
    <w:r>
      <w:rPr>
        <w:rFonts w:ascii="Times New Roman" w:eastAsia="Times New Roman" w:hAnsi="Times New Roman" w:cs="Times New Roman"/>
        <w:b w:val="0"/>
        <w:bCs w:val="0"/>
        <w:i w:val="0"/>
        <w:iCs w:val="0"/>
        <w:strike w:val="0"/>
        <w:color w:val="2E3238"/>
        <w:spacing w:val="11"/>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150/246 </w:t>
    </w:r>
    <w:r>
      <w:rPr>
        <w:rFonts w:ascii="Times New Roman" w:eastAsia="Times New Roman" w:hAnsi="Times New Roman" w:cs="Times New Roman"/>
        <w:b w:val="0"/>
        <w:bCs w:val="0"/>
        <w:i w:val="0"/>
        <w:iCs w:val="0"/>
        <w:strike w:val="0"/>
        <w:color w:val="2E3238"/>
        <w:spacing w:val="639"/>
        <w:sz w:val="17"/>
        <w:szCs w:val="17"/>
        <w:u w:val="none"/>
        <w:rtl w:val="0"/>
      </w:rPr>
      <w:t xml:space="preserve"> </w:t>
    </w:r>
    <w:r>
      <w:rPr>
        <w:rFonts w:ascii="Times New Roman" w:eastAsia="Times New Roman" w:hAnsi="Times New Roman" w:cs="Times New Roman"/>
        <w:b w:val="0"/>
        <w:bCs w:val="0"/>
        <w:i w:val="0"/>
        <w:iCs w:val="0"/>
        <w:strike w:val="0"/>
        <w:color w:val="2E3238"/>
        <w:spacing w:val="0"/>
        <w:sz w:val="17"/>
        <w:szCs w:val="17"/>
        <w:u w:val="single"/>
        <w:rtl w:val="0"/>
      </w:rPr>
      <w:t>EN</w:t>
    </w:r>
    <w:r>
      <w:rPr>
        <w:rFonts w:ascii="Times New Roman" w:eastAsia="Times New Roman" w:hAnsi="Times New Roman" w:cs="Times New Roman"/>
        <w:b w:val="0"/>
        <w:bCs w:val="0"/>
        <w:i w:val="0"/>
        <w:iCs w:val="0"/>
        <w:strike w:val="0"/>
        <w:color w:val="2E3238"/>
        <w:spacing w:val="1817"/>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 xml:space="preserve">Official </w:t>
    </w:r>
    <w:r>
      <w:rPr>
        <w:rFonts w:ascii="Times New Roman" w:eastAsia="Times New Roman" w:hAnsi="Times New Roman" w:cs="Times New Roman"/>
        <w:b w:val="0"/>
        <w:bCs w:val="0"/>
        <w:i w:val="0"/>
        <w:iCs w:val="0"/>
        <w:strike w:val="0"/>
        <w:color w:val="2E3238"/>
        <w:spacing w:val="1"/>
        <w:sz w:val="19"/>
        <w:szCs w:val="19"/>
        <w:u w:val="single"/>
        <w:rtl w:val="0"/>
      </w:rPr>
      <w:t>Journal</w:t>
    </w:r>
    <w:r>
      <w:rPr>
        <w:rFonts w:ascii="Times New Roman" w:eastAsia="Times New Roman" w:hAnsi="Times New Roman" w:cs="Times New Roman"/>
        <w:b w:val="0"/>
        <w:bCs w:val="0"/>
        <w:i w:val="0"/>
        <w:iCs w:val="0"/>
        <w:strike w:val="0"/>
        <w:color w:val="2E3238"/>
        <w:spacing w:val="0"/>
        <w:sz w:val="19"/>
        <w:szCs w:val="19"/>
        <w:u w:val="single"/>
        <w:rtl w:val="0"/>
      </w:rPr>
      <w:t xml:space="preserve"> of the European Union </w:t>
    </w:r>
    <w:r>
      <w:rPr>
        <w:rFonts w:ascii="Times New Roman" w:eastAsia="Times New Roman" w:hAnsi="Times New Roman" w:cs="Times New Roman"/>
        <w:b w:val="0"/>
        <w:bCs w:val="0"/>
        <w:i w:val="0"/>
        <w:iCs w:val="0"/>
        <w:strike w:val="0"/>
        <w:color w:val="2E3238"/>
        <w:spacing w:val="2880"/>
        <w:sz w:val="19"/>
        <w:szCs w:val="19"/>
        <w:u w:val="single"/>
        <w:rtl w:val="0"/>
      </w:rPr>
      <w:t xml:space="preserve"> </w:t>
    </w:r>
    <w:r>
      <w:rPr>
        <w:rFonts w:ascii="Times New Roman" w:eastAsia="Times New Roman" w:hAnsi="Times New Roman" w:cs="Times New Roman"/>
        <w:b w:val="0"/>
        <w:bCs w:val="0"/>
        <w:i w:val="0"/>
        <w:iCs w:val="0"/>
        <w:strike w:val="0"/>
        <w:color w:val="2E3238"/>
        <w:spacing w:val="0"/>
        <w:sz w:val="19"/>
        <w:szCs w:val="19"/>
        <w:u w:val="single"/>
        <w:rtl w:val="0"/>
      </w:rPr>
      <w:t>9.6.2023</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athGroup" o:spid="_x0000_s2129" type="#_x0000_t75" style="width:30pt;height:15pt;margin-top:-2.65pt;margin-left:111pt;mso-position-horizontal-relative:page;position:absolute;z-index:-251576320" o:allowincell="f">
          <v:imagedata r:id="rId1" o:title=""/>
          <w10:anchorlock/>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
    <w:nsid w:val="00000002"/>
    <w:multiLevelType w:val="multilevel"/>
    <w:tmpl w:val="00000002"/>
    <w:lvl w:ilvl="0">
      <w:start w:val="5"/>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
    <w:nsid w:val="00000003"/>
    <w:multiLevelType w:val="multilevel"/>
    <w:tmpl w:val="00000003"/>
    <w:lvl w:ilvl="0">
      <w:start w:val="11"/>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
    <w:nsid w:val="00000004"/>
    <w:multiLevelType w:val="multilevel"/>
    <w:tmpl w:val="00000004"/>
    <w:lvl w:ilvl="0">
      <w:start w:val="14"/>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nsid w:val="00000005"/>
    <w:multiLevelType w:val="multilevel"/>
    <w:tmpl w:val="00000005"/>
    <w:lvl w:ilvl="0">
      <w:start w:val="18"/>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
    <w:nsid w:val="00000006"/>
    <w:multiLevelType w:val="multilevel"/>
    <w:tmpl w:val="00000006"/>
    <w:lvl w:ilvl="0">
      <w:start w:val="24"/>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nsid w:val="00000007"/>
    <w:multiLevelType w:val="multilevel"/>
    <w:tmpl w:val="00000007"/>
    <w:lvl w:ilvl="0">
      <w:start w:val="30"/>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
    <w:nsid w:val="00000008"/>
    <w:multiLevelType w:val="multilevel"/>
    <w:tmpl w:val="00000008"/>
    <w:lvl w:ilvl="0">
      <w:start w:val="36"/>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
    <w:nsid w:val="00000009"/>
    <w:multiLevelType w:val="multilevel"/>
    <w:tmpl w:val="00000009"/>
    <w:lvl w:ilvl="0">
      <w:start w:val="41"/>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
    <w:nsid w:val="0000000A"/>
    <w:multiLevelType w:val="multilevel"/>
    <w:tmpl w:val="0000000A"/>
    <w:lvl w:ilvl="0">
      <w:start w:val="43"/>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
    <w:nsid w:val="0000000B"/>
    <w:multiLevelType w:val="multilevel"/>
    <w:tmpl w:val="0000000B"/>
    <w:lvl w:ilvl="0">
      <w:start w:val="49"/>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
    <w:nsid w:val="0000000C"/>
    <w:multiLevelType w:val="multilevel"/>
    <w:tmpl w:val="0000000C"/>
    <w:lvl w:ilvl="0">
      <w:start w:val="58"/>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
    <w:nsid w:val="0000000D"/>
    <w:multiLevelType w:val="multilevel"/>
    <w:tmpl w:val="0000000D"/>
    <w:lvl w:ilvl="0">
      <w:start w:val="65"/>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3">
    <w:nsid w:val="0000000E"/>
    <w:multiLevelType w:val="multilevel"/>
    <w:tmpl w:val="0000000E"/>
    <w:lvl w:ilvl="0">
      <w:start w:val="69"/>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4">
    <w:nsid w:val="0000000F"/>
    <w:multiLevelType w:val="multilevel"/>
    <w:tmpl w:val="0000000F"/>
    <w:lvl w:ilvl="0">
      <w:start w:val="76"/>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5">
    <w:nsid w:val="00000010"/>
    <w:multiLevelType w:val="multilevel"/>
    <w:tmpl w:val="00000010"/>
    <w:lvl w:ilvl="0">
      <w:start w:val="82"/>
      <w:numFmt w:val="decimal"/>
      <w:lvlText w:val="(%1)"/>
      <w:lvlJc w:val="left"/>
      <w:pPr>
        <w:tabs>
          <w:tab w:val="num" w:pos="1030"/>
        </w:tabs>
        <w:ind w:left="1020" w:hanging="507"/>
      </w:pPr>
      <w:rPr>
        <w:rFonts w:ascii="Times New Roman" w:eastAsia="Times New Roman" w:hAnsi="Times New Roman" w:cs="Times New Roman"/>
        <w:b w:val="0"/>
        <w:bCs w:val="0"/>
        <w:i w:val="0"/>
        <w:iCs w:val="0"/>
        <w:sz w:val="17"/>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00000011"/>
    <w:multiLevelType w:val="multilevel"/>
    <w:tmpl w:val="00000011"/>
    <w:lvl w:ilvl="0">
      <w:start w:val="1"/>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7">
    <w:nsid w:val="00000012"/>
    <w:multiLevelType w:val="multilevel"/>
    <w:tmpl w:val="00000012"/>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8">
    <w:nsid w:val="00000013"/>
    <w:multiLevelType w:val="multilevel"/>
    <w:tmpl w:val="00000013"/>
    <w:lvl w:ilvl="0">
      <w:start w:val="2"/>
      <w:numFmt w:val="lowerLetter"/>
      <w:lvlText w:val="(%1)"/>
      <w:lvlJc w:val="left"/>
      <w:pPr>
        <w:tabs>
          <w:tab w:val="num" w:pos="839"/>
        </w:tabs>
        <w:ind w:left="839" w:hanging="326"/>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nsid w:val="00000014"/>
    <w:multiLevelType w:val="multilevel"/>
    <w:tmpl w:val="00000014"/>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0">
    <w:nsid w:val="00000015"/>
    <w:multiLevelType w:val="multilevel"/>
    <w:tmpl w:val="00000015"/>
    <w:lvl w:ilvl="0">
      <w:start w:val="1"/>
      <w:numFmt w:val="decimal"/>
      <w:lvlText w:val="(%1)"/>
      <w:lvlJc w:val="left"/>
      <w:pPr>
        <w:tabs>
          <w:tab w:val="num" w:pos="942"/>
        </w:tabs>
        <w:ind w:left="942" w:hanging="430"/>
      </w:pPr>
      <w:rPr>
        <w:rFonts w:ascii="Times New Roman" w:eastAsia="Times New Roman" w:hAnsi="Times New Roman" w:cs="Times New Roman"/>
        <w:b w:val="0"/>
        <w:bCs w:val="0"/>
        <w:i w:val="0"/>
        <w:iCs w:val="0"/>
        <w:sz w:val="19"/>
      </w:rPr>
    </w:lvl>
    <w:lvl w:ilvl="1">
      <w:start w:val="1"/>
      <w:numFmt w:val="lowerLetter"/>
      <w:lvlText w:val="(%2)"/>
      <w:lvlJc w:val="left"/>
      <w:pPr>
        <w:tabs>
          <w:tab w:val="num" w:pos="1243"/>
        </w:tabs>
        <w:ind w:left="1243" w:hanging="330"/>
      </w:pPr>
      <w:rPr>
        <w:rFonts w:ascii="Times New Roman" w:eastAsia="Times New Roman" w:hAnsi="Times New Roman" w:cs="Times New Roman"/>
        <w:b w:val="0"/>
        <w:bCs w:val="0"/>
        <w:i w:val="0"/>
        <w:iCs w:val="0"/>
        <w:sz w:val="19"/>
      </w:r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00000016"/>
    <w:multiLevelType w:val="multilevel"/>
    <w:tmpl w:val="00000016"/>
    <w:lvl w:ilvl="0">
      <w:start w:val="1"/>
      <w:numFmt w:val="lowerLetter"/>
      <w:lvlText w:val="(%1)"/>
      <w:lvlJc w:val="left"/>
      <w:pPr>
        <w:tabs>
          <w:tab w:val="num" w:pos="1243"/>
        </w:tabs>
        <w:ind w:left="12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2">
    <w:nsid w:val="00000017"/>
    <w:multiLevelType w:val="multilevel"/>
    <w:tmpl w:val="00000017"/>
    <w:lvl w:ilvl="0">
      <w:start w:val="10"/>
      <w:numFmt w:val="decimal"/>
      <w:lvlText w:val="(%1)"/>
      <w:lvlJc w:val="left"/>
      <w:pPr>
        <w:tabs>
          <w:tab w:val="num" w:pos="936"/>
        </w:tabs>
        <w:ind w:left="912" w:hanging="40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00000018"/>
    <w:multiLevelType w:val="multilevel"/>
    <w:tmpl w:val="00000018"/>
    <w:lvl w:ilvl="0">
      <w:start w:val="12"/>
      <w:numFmt w:val="decimal"/>
      <w:lvlText w:val="(%1)"/>
      <w:lvlJc w:val="left"/>
      <w:pPr>
        <w:tabs>
          <w:tab w:val="num" w:pos="936"/>
        </w:tabs>
        <w:ind w:left="912" w:hanging="40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4">
    <w:nsid w:val="00000019"/>
    <w:multiLevelType w:val="multilevel"/>
    <w:tmpl w:val="00000019"/>
    <w:lvl w:ilvl="0">
      <w:start w:val="1"/>
      <w:numFmt w:val="lowerLetter"/>
      <w:lvlText w:val="(%1)"/>
      <w:lvlJc w:val="left"/>
      <w:pPr>
        <w:tabs>
          <w:tab w:val="num" w:pos="1243"/>
        </w:tabs>
        <w:ind w:left="12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5">
    <w:nsid w:val="0000001A"/>
    <w:multiLevelType w:val="multilevel"/>
    <w:tmpl w:val="0000001A"/>
    <w:lvl w:ilvl="0">
      <w:start w:val="14"/>
      <w:numFmt w:val="decimal"/>
      <w:lvlText w:val="(%1)"/>
      <w:lvlJc w:val="left"/>
      <w:pPr>
        <w:tabs>
          <w:tab w:val="num" w:pos="936"/>
        </w:tabs>
        <w:ind w:left="912" w:hanging="40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nsid w:val="0000001B"/>
    <w:multiLevelType w:val="multilevel"/>
    <w:tmpl w:val="0000001B"/>
    <w:lvl w:ilvl="0">
      <w:start w:val="1"/>
      <w:numFmt w:val="lowerLetter"/>
      <w:lvlText w:val="(%1)"/>
      <w:lvlJc w:val="left"/>
      <w:pPr>
        <w:tabs>
          <w:tab w:val="num" w:pos="1243"/>
        </w:tabs>
        <w:ind w:left="12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7">
    <w:nsid w:val="0000001C"/>
    <w:multiLevelType w:val="multilevel"/>
    <w:tmpl w:val="0000001C"/>
    <w:lvl w:ilvl="0">
      <w:start w:val="22"/>
      <w:numFmt w:val="decimal"/>
      <w:lvlText w:val="(%1)"/>
      <w:lvlJc w:val="left"/>
      <w:pPr>
        <w:tabs>
          <w:tab w:val="num" w:pos="936"/>
        </w:tabs>
        <w:ind w:left="912" w:hanging="40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8">
    <w:nsid w:val="0000001D"/>
    <w:multiLevelType w:val="multilevel"/>
    <w:tmpl w:val="0000001D"/>
    <w:lvl w:ilvl="0">
      <w:start w:val="30"/>
      <w:numFmt w:val="decimal"/>
      <w:lvlText w:val="(%1)"/>
      <w:lvlJc w:val="left"/>
      <w:pPr>
        <w:tabs>
          <w:tab w:val="num" w:pos="936"/>
        </w:tabs>
        <w:ind w:left="912" w:hanging="40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9">
    <w:nsid w:val="0000001E"/>
    <w:multiLevelType w:val="multilevel"/>
    <w:tmpl w:val="0000001E"/>
    <w:lvl w:ilvl="0">
      <w:start w:val="1"/>
      <w:numFmt w:val="lowerLetter"/>
      <w:lvlText w:val="(%1)"/>
      <w:lvlJc w:val="left"/>
      <w:pPr>
        <w:tabs>
          <w:tab w:val="num" w:pos="1247"/>
        </w:tabs>
        <w:ind w:left="1247" w:hanging="334"/>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nsid w:val="0000001F"/>
    <w:multiLevelType w:val="multilevel"/>
    <w:tmpl w:val="0000001F"/>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1">
    <w:nsid w:val="00000020"/>
    <w:multiLevelType w:val="multilevel"/>
    <w:tmpl w:val="00000020"/>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2">
    <w:nsid w:val="00000021"/>
    <w:multiLevelType w:val="multilevel"/>
    <w:tmpl w:val="00000021"/>
    <w:lvl w:ilvl="0">
      <w:start w:val="2"/>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3">
    <w:nsid w:val="00000022"/>
    <w:multiLevelType w:val="multilevel"/>
    <w:tmpl w:val="00000022"/>
    <w:lvl w:ilvl="0">
      <w:start w:val="1"/>
      <w:numFmt w:val="lowerLetter"/>
      <w:lvlText w:val="(%1)"/>
      <w:lvlJc w:val="left"/>
      <w:pPr>
        <w:tabs>
          <w:tab w:val="num" w:pos="843"/>
        </w:tabs>
        <w:ind w:left="8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4">
    <w:nsid w:val="00000023"/>
    <w:multiLevelType w:val="multilevel"/>
    <w:tmpl w:val="00000023"/>
    <w:lvl w:ilvl="0">
      <w:start w:val="5"/>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nsid w:val="00000024"/>
    <w:multiLevelType w:val="multilevel"/>
    <w:tmpl w:val="00000024"/>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6">
    <w:nsid w:val="00000025"/>
    <w:multiLevelType w:val="multilevel"/>
    <w:tmpl w:val="00000025"/>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7">
    <w:nsid w:val="00000026"/>
    <w:multiLevelType w:val="multilevel"/>
    <w:tmpl w:val="00000026"/>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8">
    <w:nsid w:val="00000027"/>
    <w:multiLevelType w:val="multilevel"/>
    <w:tmpl w:val="00000027"/>
    <w:lvl w:ilvl="0">
      <w:start w:val="4"/>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9">
    <w:nsid w:val="00000028"/>
    <w:multiLevelType w:val="multilevel"/>
    <w:tmpl w:val="00000028"/>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0">
    <w:nsid w:val="00000029"/>
    <w:multiLevelType w:val="multilevel"/>
    <w:tmpl w:val="00000029"/>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1">
    <w:nsid w:val="0000002A"/>
    <w:multiLevelType w:val="multilevel"/>
    <w:tmpl w:val="0000002A"/>
    <w:lvl w:ilvl="0">
      <w:start w:val="1"/>
      <w:numFmt w:val="lowerLetter"/>
      <w:lvlText w:val="(%1)"/>
      <w:lvlJc w:val="left"/>
      <w:pPr>
        <w:tabs>
          <w:tab w:val="num" w:pos="843"/>
        </w:tabs>
        <w:ind w:left="8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2">
    <w:nsid w:val="0000002B"/>
    <w:multiLevelType w:val="multilevel"/>
    <w:tmpl w:val="0000002B"/>
    <w:lvl w:ilvl="0">
      <w:start w:val="3"/>
      <w:numFmt w:val="lowerLetter"/>
      <w:lvlText w:val="(%1)"/>
      <w:lvlJc w:val="left"/>
      <w:pPr>
        <w:tabs>
          <w:tab w:val="num" w:pos="845"/>
        </w:tabs>
        <w:ind w:left="845" w:hanging="33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3">
    <w:nsid w:val="0000002C"/>
    <w:multiLevelType w:val="multilevel"/>
    <w:tmpl w:val="0000002C"/>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4">
    <w:nsid w:val="0000002D"/>
    <w:multiLevelType w:val="multilevel"/>
    <w:tmpl w:val="0000002D"/>
    <w:lvl w:ilvl="0">
      <w:start w:val="1"/>
      <w:numFmt w:val="lowerLetter"/>
      <w:lvlText w:val="(%1)"/>
      <w:lvlJc w:val="left"/>
      <w:pPr>
        <w:tabs>
          <w:tab w:val="num" w:pos="847"/>
        </w:tabs>
        <w:ind w:left="806" w:hanging="29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5">
    <w:nsid w:val="0000002E"/>
    <w:multiLevelType w:val="multilevel"/>
    <w:tmpl w:val="0000002E"/>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6">
    <w:nsid w:val="0000002F"/>
    <w:multiLevelType w:val="multilevel"/>
    <w:tmpl w:val="0000002F"/>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7">
    <w:nsid w:val="00000030"/>
    <w:multiLevelType w:val="multilevel"/>
    <w:tmpl w:val="00000030"/>
    <w:lvl w:ilvl="0">
      <w:start w:val="2"/>
      <w:numFmt w:val="decimal"/>
      <w:lvlText w:val="%1."/>
      <w:lvlJc w:val="left"/>
      <w:pPr>
        <w:tabs>
          <w:tab w:val="num" w:pos="954"/>
        </w:tabs>
        <w:ind w:left="954" w:hanging="44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8">
    <w:nsid w:val="00000031"/>
    <w:multiLevelType w:val="multilevel"/>
    <w:tmpl w:val="00000031"/>
    <w:lvl w:ilvl="0">
      <w:start w:val="1"/>
      <w:numFmt w:val="lowerLetter"/>
      <w:lvlText w:val="(%1)"/>
      <w:lvlJc w:val="left"/>
      <w:pPr>
        <w:tabs>
          <w:tab w:val="num" w:pos="900"/>
        </w:tabs>
        <w:ind w:left="900" w:hanging="388"/>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9">
    <w:nsid w:val="00000032"/>
    <w:multiLevelType w:val="multilevel"/>
    <w:tmpl w:val="00000032"/>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0">
    <w:nsid w:val="00000033"/>
    <w:multiLevelType w:val="multilevel"/>
    <w:tmpl w:val="00000033"/>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1">
    <w:nsid w:val="00000034"/>
    <w:multiLevelType w:val="multilevel"/>
    <w:tmpl w:val="00000034"/>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2">
    <w:nsid w:val="00000035"/>
    <w:multiLevelType w:val="multilevel"/>
    <w:tmpl w:val="00000035"/>
    <w:lvl w:ilvl="0">
      <w:start w:val="2"/>
      <w:numFmt w:val="lowerLetter"/>
      <w:lvlText w:val="(%1)"/>
      <w:lvlJc w:val="left"/>
      <w:pPr>
        <w:tabs>
          <w:tab w:val="num" w:pos="839"/>
        </w:tabs>
        <w:ind w:left="839" w:hanging="327"/>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3">
    <w:nsid w:val="00000036"/>
    <w:multiLevelType w:val="multilevel"/>
    <w:tmpl w:val="00000036"/>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4">
    <w:nsid w:val="00000037"/>
    <w:multiLevelType w:val="multilevel"/>
    <w:tmpl w:val="00000037"/>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5">
    <w:nsid w:val="00000038"/>
    <w:multiLevelType w:val="multilevel"/>
    <w:tmpl w:val="00000038"/>
    <w:lvl w:ilvl="0">
      <w:start w:val="3"/>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6">
    <w:nsid w:val="00000039"/>
    <w:multiLevelType w:val="multilevel"/>
    <w:tmpl w:val="00000039"/>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7">
    <w:nsid w:val="0000003A"/>
    <w:multiLevelType w:val="multilevel"/>
    <w:tmpl w:val="0000003A"/>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8">
    <w:nsid w:val="0000003B"/>
    <w:multiLevelType w:val="multilevel"/>
    <w:tmpl w:val="0000003B"/>
    <w:lvl w:ilvl="0">
      <w:start w:val="5"/>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59">
    <w:nsid w:val="0000003C"/>
    <w:multiLevelType w:val="multilevel"/>
    <w:tmpl w:val="0000003C"/>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0">
    <w:nsid w:val="0000003D"/>
    <w:multiLevelType w:val="multilevel"/>
    <w:tmpl w:val="0000003D"/>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1">
    <w:nsid w:val="0000003E"/>
    <w:multiLevelType w:val="multilevel"/>
    <w:tmpl w:val="0000003E"/>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2">
    <w:nsid w:val="0000003F"/>
    <w:multiLevelType w:val="multilevel"/>
    <w:tmpl w:val="0000003F"/>
    <w:lvl w:ilvl="0">
      <w:start w:val="4"/>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3">
    <w:nsid w:val="00000040"/>
    <w:multiLevelType w:val="multilevel"/>
    <w:tmpl w:val="00000040"/>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4">
    <w:nsid w:val="00000041"/>
    <w:multiLevelType w:val="multilevel"/>
    <w:tmpl w:val="00000041"/>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5">
    <w:nsid w:val="00000042"/>
    <w:multiLevelType w:val="multilevel"/>
    <w:tmpl w:val="00000042"/>
    <w:lvl w:ilvl="0">
      <w:start w:val="6"/>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6">
    <w:nsid w:val="00000043"/>
    <w:multiLevelType w:val="multilevel"/>
    <w:tmpl w:val="00000043"/>
    <w:lvl w:ilvl="0">
      <w:start w:val="9"/>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7">
    <w:nsid w:val="00000044"/>
    <w:multiLevelType w:val="multilevel"/>
    <w:tmpl w:val="00000044"/>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8">
    <w:nsid w:val="00000045"/>
    <w:multiLevelType w:val="multilevel"/>
    <w:tmpl w:val="00000045"/>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9">
    <w:nsid w:val="00000046"/>
    <w:multiLevelType w:val="multilevel"/>
    <w:tmpl w:val="00000046"/>
    <w:lvl w:ilvl="0">
      <w:start w:val="3"/>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0">
    <w:nsid w:val="00000047"/>
    <w:multiLevelType w:val="multilevel"/>
    <w:tmpl w:val="00000047"/>
    <w:lvl w:ilvl="0">
      <w:start w:val="1"/>
      <w:numFmt w:val="decimal"/>
      <w:lvlText w:val="%1."/>
      <w:lvlJc w:val="left"/>
      <w:pPr>
        <w:tabs>
          <w:tab w:val="num" w:pos="954"/>
        </w:tabs>
        <w:ind w:left="954" w:hanging="44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1">
    <w:nsid w:val="00000048"/>
    <w:multiLevelType w:val="multilevel"/>
    <w:tmpl w:val="00000048"/>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2">
    <w:nsid w:val="00000049"/>
    <w:multiLevelType w:val="multilevel"/>
    <w:tmpl w:val="00000049"/>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3">
    <w:nsid w:val="0000004A"/>
    <w:multiLevelType w:val="multilevel"/>
    <w:tmpl w:val="0000004A"/>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4">
    <w:nsid w:val="0000004B"/>
    <w:multiLevelType w:val="multilevel"/>
    <w:tmpl w:val="0000004B"/>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5">
    <w:nsid w:val="0000004C"/>
    <w:multiLevelType w:val="multilevel"/>
    <w:tmpl w:val="0000004C"/>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6">
    <w:nsid w:val="0000004D"/>
    <w:multiLevelType w:val="multilevel"/>
    <w:tmpl w:val="0000004D"/>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7">
    <w:nsid w:val="0000004E"/>
    <w:multiLevelType w:val="multilevel"/>
    <w:tmpl w:val="0000004E"/>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8">
    <w:nsid w:val="0000004F"/>
    <w:multiLevelType w:val="multilevel"/>
    <w:tmpl w:val="0000004F"/>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9">
    <w:nsid w:val="00000050"/>
    <w:multiLevelType w:val="multilevel"/>
    <w:tmpl w:val="00000050"/>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0">
    <w:nsid w:val="00000051"/>
    <w:multiLevelType w:val="multilevel"/>
    <w:tmpl w:val="00000051"/>
    <w:lvl w:ilvl="0">
      <w:start w:val="2"/>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1">
    <w:nsid w:val="00000052"/>
    <w:multiLevelType w:val="multilevel"/>
    <w:tmpl w:val="00000052"/>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2">
    <w:nsid w:val="00000053"/>
    <w:multiLevelType w:val="multilevel"/>
    <w:tmpl w:val="00000053"/>
    <w:lvl w:ilvl="0">
      <w:start w:val="3"/>
      <w:numFmt w:val="lowerLetter"/>
      <w:lvlText w:val="(%1)"/>
      <w:lvlJc w:val="left"/>
      <w:pPr>
        <w:tabs>
          <w:tab w:val="num" w:pos="845"/>
        </w:tabs>
        <w:ind w:left="845" w:hanging="33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3">
    <w:nsid w:val="00000054"/>
    <w:multiLevelType w:val="multilevel"/>
    <w:tmpl w:val="00000054"/>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4">
    <w:nsid w:val="00000055"/>
    <w:multiLevelType w:val="multilevel"/>
    <w:tmpl w:val="00000055"/>
    <w:lvl w:ilvl="0">
      <w:start w:val="1"/>
      <w:numFmt w:val="lowerLetter"/>
      <w:lvlText w:val="(%1)"/>
      <w:lvlJc w:val="left"/>
      <w:pPr>
        <w:tabs>
          <w:tab w:val="num" w:pos="843"/>
        </w:tabs>
        <w:ind w:left="8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5">
    <w:nsid w:val="00000056"/>
    <w:multiLevelType w:val="multilevel"/>
    <w:tmpl w:val="00000056"/>
    <w:lvl w:ilvl="0">
      <w:start w:val="3"/>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6">
    <w:nsid w:val="00000057"/>
    <w:multiLevelType w:val="multilevel"/>
    <w:tmpl w:val="00000057"/>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7">
    <w:nsid w:val="00000058"/>
    <w:multiLevelType w:val="multilevel"/>
    <w:tmpl w:val="00000058"/>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8">
    <w:nsid w:val="00000059"/>
    <w:multiLevelType w:val="multilevel"/>
    <w:tmpl w:val="00000059"/>
    <w:lvl w:ilvl="0">
      <w:start w:val="4"/>
      <w:numFmt w:val="lowerLetter"/>
      <w:lvlText w:val="(%1)"/>
      <w:lvlJc w:val="left"/>
      <w:pPr>
        <w:tabs>
          <w:tab w:val="num" w:pos="841"/>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89">
    <w:nsid w:val="0000005A"/>
    <w:multiLevelType w:val="multilevel"/>
    <w:tmpl w:val="0000005A"/>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0">
    <w:nsid w:val="0000005B"/>
    <w:multiLevelType w:val="multilevel"/>
    <w:tmpl w:val="0000005B"/>
    <w:lvl w:ilvl="0">
      <w:start w:val="1"/>
      <w:numFmt w:val="lowerLetter"/>
      <w:lvlText w:val="(%1)"/>
      <w:lvlJc w:val="left"/>
      <w:pPr>
        <w:tabs>
          <w:tab w:val="num" w:pos="843"/>
        </w:tabs>
        <w:ind w:left="843" w:hanging="33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1">
    <w:nsid w:val="0000005C"/>
    <w:multiLevelType w:val="multilevel"/>
    <w:tmpl w:val="0000005C"/>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2">
    <w:nsid w:val="0000005D"/>
    <w:multiLevelType w:val="multilevel"/>
    <w:tmpl w:val="0000005D"/>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3">
    <w:nsid w:val="0000005E"/>
    <w:multiLevelType w:val="multilevel"/>
    <w:tmpl w:val="0000005E"/>
    <w:lvl w:ilvl="0">
      <w:start w:val="6"/>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4">
    <w:nsid w:val="0000005F"/>
    <w:multiLevelType w:val="multilevel"/>
    <w:tmpl w:val="0000005F"/>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5">
    <w:nsid w:val="00000060"/>
    <w:multiLevelType w:val="multilevel"/>
    <w:tmpl w:val="00000060"/>
    <w:lvl w:ilvl="0">
      <w:start w:val="9"/>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6">
    <w:nsid w:val="00000061"/>
    <w:multiLevelType w:val="multilevel"/>
    <w:tmpl w:val="00000061"/>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7">
    <w:nsid w:val="00000062"/>
    <w:multiLevelType w:val="multilevel"/>
    <w:tmpl w:val="00000062"/>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8">
    <w:nsid w:val="00000063"/>
    <w:multiLevelType w:val="multilevel"/>
    <w:tmpl w:val="00000063"/>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99">
    <w:nsid w:val="00000064"/>
    <w:multiLevelType w:val="multilevel"/>
    <w:tmpl w:val="00000064"/>
    <w:lvl w:ilvl="0">
      <w:start w:val="1"/>
      <w:numFmt w:val="lowerLetter"/>
      <w:lvlText w:val="(%1)"/>
      <w:lvlJc w:val="left"/>
      <w:pPr>
        <w:tabs>
          <w:tab w:val="num" w:pos="843"/>
        </w:tabs>
        <w:ind w:left="803" w:hanging="290"/>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0">
    <w:nsid w:val="00000065"/>
    <w:multiLevelType w:val="multilevel"/>
    <w:tmpl w:val="00000065"/>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1">
    <w:nsid w:val="00000066"/>
    <w:multiLevelType w:val="multilevel"/>
    <w:tmpl w:val="00000066"/>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2">
    <w:nsid w:val="00000067"/>
    <w:multiLevelType w:val="multilevel"/>
    <w:tmpl w:val="00000067"/>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3">
    <w:nsid w:val="00000068"/>
    <w:multiLevelType w:val="multilevel"/>
    <w:tmpl w:val="00000068"/>
    <w:lvl w:ilvl="0">
      <w:start w:val="2"/>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4">
    <w:nsid w:val="00000069"/>
    <w:multiLevelType w:val="multilevel"/>
    <w:tmpl w:val="00000069"/>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5">
    <w:nsid w:val="0000006A"/>
    <w:multiLevelType w:val="multilevel"/>
    <w:tmpl w:val="0000006A"/>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6">
    <w:nsid w:val="0000006B"/>
    <w:multiLevelType w:val="multilevel"/>
    <w:tmpl w:val="0000006B"/>
    <w:lvl w:ilvl="0">
      <w:start w:val="4"/>
      <w:numFmt w:val="decimal"/>
      <w:lvlText w:val="%1."/>
      <w:lvlJc w:val="left"/>
      <w:pPr>
        <w:tabs>
          <w:tab w:val="num" w:pos="954"/>
        </w:tabs>
        <w:ind w:left="954" w:hanging="44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7">
    <w:nsid w:val="0000006C"/>
    <w:multiLevelType w:val="multilevel"/>
    <w:tmpl w:val="0000006C"/>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8">
    <w:nsid w:val="0000006D"/>
    <w:multiLevelType w:val="multilevel"/>
    <w:tmpl w:val="0000006D"/>
    <w:lvl w:ilvl="0">
      <w:start w:val="5"/>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9">
    <w:nsid w:val="0000006E"/>
    <w:multiLevelType w:val="multilevel"/>
    <w:tmpl w:val="0000006E"/>
    <w:lvl w:ilvl="0">
      <w:start w:val="1"/>
      <w:numFmt w:val="lowerLetter"/>
      <w:lvlText w:val="(%1)"/>
      <w:lvlJc w:val="left"/>
      <w:pPr>
        <w:tabs>
          <w:tab w:val="num" w:pos="843"/>
        </w:tabs>
        <w:ind w:left="843" w:hanging="33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0">
    <w:nsid w:val="0000006F"/>
    <w:multiLevelType w:val="multilevel"/>
    <w:tmpl w:val="0000006F"/>
    <w:lvl w:ilvl="0">
      <w:start w:val="7"/>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1">
    <w:nsid w:val="00000070"/>
    <w:multiLevelType w:val="multilevel"/>
    <w:tmpl w:val="00000070"/>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2">
    <w:nsid w:val="00000071"/>
    <w:multiLevelType w:val="multilevel"/>
    <w:tmpl w:val="00000071"/>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3">
    <w:nsid w:val="00000072"/>
    <w:multiLevelType w:val="multilevel"/>
    <w:tmpl w:val="00000072"/>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4">
    <w:nsid w:val="00000073"/>
    <w:multiLevelType w:val="multilevel"/>
    <w:tmpl w:val="00000073"/>
    <w:lvl w:ilvl="0">
      <w:start w:val="1"/>
      <w:numFmt w:val="decimal"/>
      <w:lvlText w:val="%1."/>
      <w:lvlJc w:val="left"/>
      <w:pPr>
        <w:tabs>
          <w:tab w:val="num" w:pos="954"/>
        </w:tabs>
        <w:ind w:left="510" w:firstLine="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5">
    <w:nsid w:val="00000074"/>
    <w:multiLevelType w:val="multilevel"/>
    <w:tmpl w:val="00000074"/>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6">
    <w:nsid w:val="00000075"/>
    <w:multiLevelType w:val="multilevel"/>
    <w:tmpl w:val="00000075"/>
    <w:lvl w:ilvl="0">
      <w:start w:val="1"/>
      <w:numFmt w:val="lowerLetter"/>
      <w:lvlText w:val="(%1)"/>
      <w:lvlJc w:val="left"/>
      <w:pPr>
        <w:tabs>
          <w:tab w:val="num" w:pos="847"/>
        </w:tabs>
        <w:ind w:left="806" w:hanging="29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7">
    <w:nsid w:val="00000076"/>
    <w:multiLevelType w:val="multilevel"/>
    <w:tmpl w:val="00000076"/>
    <w:lvl w:ilvl="0">
      <w:start w:val="9"/>
      <w:numFmt w:val="lowerLetter"/>
      <w:lvlText w:val="(%1)"/>
      <w:lvlJc w:val="left"/>
      <w:pPr>
        <w:tabs>
          <w:tab w:val="num" w:pos="849"/>
        </w:tabs>
        <w:ind w:left="806" w:hanging="293"/>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8">
    <w:nsid w:val="00000077"/>
    <w:multiLevelType w:val="multilevel"/>
    <w:tmpl w:val="00000077"/>
    <w:lvl w:ilvl="0">
      <w:start w:val="3"/>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19">
    <w:nsid w:val="00000078"/>
    <w:multiLevelType w:val="multilevel"/>
    <w:tmpl w:val="00000078"/>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0">
    <w:nsid w:val="00000079"/>
    <w:multiLevelType w:val="multilevel"/>
    <w:tmpl w:val="00000079"/>
    <w:lvl w:ilvl="0">
      <w:start w:val="1"/>
      <w:numFmt w:val="lowerLetter"/>
      <w:lvlText w:val="(%1)"/>
      <w:lvlJc w:val="left"/>
      <w:pPr>
        <w:tabs>
          <w:tab w:val="num" w:pos="843"/>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1">
    <w:nsid w:val="0000007A"/>
    <w:multiLevelType w:val="multilevel"/>
    <w:tmpl w:val="0000007A"/>
    <w:lvl w:ilvl="0">
      <w:start w:val="2"/>
      <w:numFmt w:val="lowerLetter"/>
      <w:lvlText w:val="(%1)"/>
      <w:lvlJc w:val="left"/>
      <w:pPr>
        <w:tabs>
          <w:tab w:val="num" w:pos="839"/>
        </w:tabs>
        <w:ind w:left="803" w:hanging="291"/>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2">
    <w:nsid w:val="0000007B"/>
    <w:multiLevelType w:val="multilevel"/>
    <w:tmpl w:val="0000007B"/>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3">
    <w:nsid w:val="0000007C"/>
    <w:multiLevelType w:val="multilevel"/>
    <w:tmpl w:val="0000007C"/>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4">
    <w:nsid w:val="0000007D"/>
    <w:multiLevelType w:val="multilevel"/>
    <w:tmpl w:val="0000007D"/>
    <w:lvl w:ilvl="0">
      <w:start w:val="1"/>
      <w:numFmt w:val="decimal"/>
      <w:lvlText w:val="%1."/>
      <w:lvlJc w:val="left"/>
      <w:pPr>
        <w:tabs>
          <w:tab w:val="num" w:pos="954"/>
        </w:tabs>
        <w:ind w:left="954" w:hanging="44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5">
    <w:nsid w:val="0000007E"/>
    <w:multiLevelType w:val="multilevel"/>
    <w:tmpl w:val="0000007E"/>
    <w:lvl w:ilvl="0">
      <w:start w:val="1"/>
      <w:numFmt w:val="decimal"/>
      <w:lvlText w:val="%1."/>
      <w:lvlJc w:val="left"/>
      <w:pPr>
        <w:tabs>
          <w:tab w:val="num" w:pos="954"/>
        </w:tabs>
        <w:ind w:left="510" w:firstLine="2"/>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26">
    <w:nsid w:val="0000007F"/>
    <w:multiLevelType w:val="multilevel"/>
    <w:tmpl w:val="0000007F"/>
    <w:lvl w:ilvl="0">
      <w:start w:val="1"/>
      <w:numFmt w:val="decimal"/>
      <w:lvlText w:val="%1."/>
      <w:lvlJc w:val="left"/>
      <w:pPr>
        <w:tabs>
          <w:tab w:val="num" w:pos="760"/>
        </w:tabs>
        <w:ind w:left="751" w:hanging="239"/>
      </w:pPr>
      <w:rPr>
        <w:rFonts w:ascii="Times New Roman" w:eastAsia="Times New Roman" w:hAnsi="Times New Roman" w:cs="Times New Roman"/>
        <w:b w:val="0"/>
        <w:bCs w:val="0"/>
        <w:i w:val="0"/>
        <w:iCs w:val="0"/>
        <w:sz w:val="19"/>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evenAndOddHeaders/>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5.xml" /><Relationship Id="rId100" Type="http://schemas.openxmlformats.org/officeDocument/2006/relationships/header" Target="header82.xml" /><Relationship Id="rId101" Type="http://schemas.openxmlformats.org/officeDocument/2006/relationships/theme" Target="theme/theme1.xml" /><Relationship Id="rId102" Type="http://schemas.openxmlformats.org/officeDocument/2006/relationships/numbering" Target="numbering.xml" /><Relationship Id="rId103" Type="http://schemas.openxmlformats.org/officeDocument/2006/relationships/styles" Target="styles.xml" /><Relationship Id="rId11" Type="http://schemas.openxmlformats.org/officeDocument/2006/relationships/header" Target="header6.xml" /><Relationship Id="rId12" Type="http://schemas.openxmlformats.org/officeDocument/2006/relationships/header" Target="header7.xml" /><Relationship Id="rId13" Type="http://schemas.openxmlformats.org/officeDocument/2006/relationships/header" Target="header8.xml" /><Relationship Id="rId14" Type="http://schemas.openxmlformats.org/officeDocument/2006/relationships/header" Target="header9.xml" /><Relationship Id="rId15" Type="http://schemas.openxmlformats.org/officeDocument/2006/relationships/header" Target="header10.xml" /><Relationship Id="rId16" Type="http://schemas.openxmlformats.org/officeDocument/2006/relationships/image" Target="media/image4.png" /><Relationship Id="rId17" Type="http://schemas.openxmlformats.org/officeDocument/2006/relationships/header" Target="header11.xml" /><Relationship Id="rId18" Type="http://schemas.openxmlformats.org/officeDocument/2006/relationships/header" Target="header12.xml" /><Relationship Id="rId19" Type="http://schemas.openxmlformats.org/officeDocument/2006/relationships/header" Target="header13.xml" /><Relationship Id="rId2" Type="http://schemas.openxmlformats.org/officeDocument/2006/relationships/webSettings" Target="webSettings.xml" /><Relationship Id="rId20" Type="http://schemas.openxmlformats.org/officeDocument/2006/relationships/header" Target="header14.xml" /><Relationship Id="rId21" Type="http://schemas.openxmlformats.org/officeDocument/2006/relationships/header" Target="header15.xml" /><Relationship Id="rId22" Type="http://schemas.openxmlformats.org/officeDocument/2006/relationships/header" Target="header16.xml" /><Relationship Id="rId23" Type="http://schemas.openxmlformats.org/officeDocument/2006/relationships/header" Target="header17.xml" /><Relationship Id="rId24" Type="http://schemas.openxmlformats.org/officeDocument/2006/relationships/header" Target="header18.xml" /><Relationship Id="rId25" Type="http://schemas.openxmlformats.org/officeDocument/2006/relationships/image" Target="media/image5.png" /><Relationship Id="rId26" Type="http://schemas.openxmlformats.org/officeDocument/2006/relationships/header" Target="header19.xml" /><Relationship Id="rId27" Type="http://schemas.openxmlformats.org/officeDocument/2006/relationships/header" Target="header20.xml" /><Relationship Id="rId28" Type="http://schemas.openxmlformats.org/officeDocument/2006/relationships/image" Target="media/image6.png" /><Relationship Id="rId29" Type="http://schemas.openxmlformats.org/officeDocument/2006/relationships/header" Target="header21.xml" /><Relationship Id="rId3" Type="http://schemas.openxmlformats.org/officeDocument/2006/relationships/fontTable" Target="fontTable.xml" /><Relationship Id="rId30" Type="http://schemas.openxmlformats.org/officeDocument/2006/relationships/header" Target="header22.xml" /><Relationship Id="rId31" Type="http://schemas.openxmlformats.org/officeDocument/2006/relationships/header" Target="header23.xml" /><Relationship Id="rId32" Type="http://schemas.openxmlformats.org/officeDocument/2006/relationships/header" Target="header24.xml" /><Relationship Id="rId33" Type="http://schemas.openxmlformats.org/officeDocument/2006/relationships/image" Target="media/image7.png" /><Relationship Id="rId34" Type="http://schemas.openxmlformats.org/officeDocument/2006/relationships/header" Target="header25.xml" /><Relationship Id="rId35" Type="http://schemas.openxmlformats.org/officeDocument/2006/relationships/header" Target="header26.xml" /><Relationship Id="rId36" Type="http://schemas.openxmlformats.org/officeDocument/2006/relationships/header" Target="header27.xml" /><Relationship Id="rId37" Type="http://schemas.openxmlformats.org/officeDocument/2006/relationships/header" Target="header28.xml" /><Relationship Id="rId38" Type="http://schemas.openxmlformats.org/officeDocument/2006/relationships/header" Target="header29.xml" /><Relationship Id="rId39" Type="http://schemas.openxmlformats.org/officeDocument/2006/relationships/header" Target="header30.xml" /><Relationship Id="rId4" Type="http://schemas.openxmlformats.org/officeDocument/2006/relationships/image" Target="media/image1.png" /><Relationship Id="rId40" Type="http://schemas.openxmlformats.org/officeDocument/2006/relationships/header" Target="header31.xml" /><Relationship Id="rId41" Type="http://schemas.openxmlformats.org/officeDocument/2006/relationships/header" Target="header32.xml" /><Relationship Id="rId42" Type="http://schemas.openxmlformats.org/officeDocument/2006/relationships/header" Target="header33.xml" /><Relationship Id="rId43" Type="http://schemas.openxmlformats.org/officeDocument/2006/relationships/header" Target="header34.xml" /><Relationship Id="rId44" Type="http://schemas.openxmlformats.org/officeDocument/2006/relationships/header" Target="header35.xml" /><Relationship Id="rId45" Type="http://schemas.openxmlformats.org/officeDocument/2006/relationships/header" Target="header36.xml" /><Relationship Id="rId46" Type="http://schemas.openxmlformats.org/officeDocument/2006/relationships/header" Target="header37.xml" /><Relationship Id="rId47" Type="http://schemas.openxmlformats.org/officeDocument/2006/relationships/header" Target="header38.xml" /><Relationship Id="rId48" Type="http://schemas.openxmlformats.org/officeDocument/2006/relationships/header" Target="header39.xml" /><Relationship Id="rId49" Type="http://schemas.openxmlformats.org/officeDocument/2006/relationships/header" Target="header40.xml" /><Relationship Id="rId5" Type="http://schemas.openxmlformats.org/officeDocument/2006/relationships/header" Target="header1.xml" /><Relationship Id="rId50" Type="http://schemas.openxmlformats.org/officeDocument/2006/relationships/header" Target="header41.xml" /><Relationship Id="rId51" Type="http://schemas.openxmlformats.org/officeDocument/2006/relationships/header" Target="header42.xml" /><Relationship Id="rId52" Type="http://schemas.openxmlformats.org/officeDocument/2006/relationships/header" Target="header43.xml" /><Relationship Id="rId53" Type="http://schemas.openxmlformats.org/officeDocument/2006/relationships/header" Target="header44.xml" /><Relationship Id="rId54" Type="http://schemas.openxmlformats.org/officeDocument/2006/relationships/header" Target="header45.xml" /><Relationship Id="rId55" Type="http://schemas.openxmlformats.org/officeDocument/2006/relationships/header" Target="header46.xml" /><Relationship Id="rId56" Type="http://schemas.openxmlformats.org/officeDocument/2006/relationships/header" Target="header47.xml" /><Relationship Id="rId57" Type="http://schemas.openxmlformats.org/officeDocument/2006/relationships/header" Target="header48.xml" /><Relationship Id="rId58" Type="http://schemas.openxmlformats.org/officeDocument/2006/relationships/header" Target="header49.xml" /><Relationship Id="rId59" Type="http://schemas.openxmlformats.org/officeDocument/2006/relationships/header" Target="header50.xml" /><Relationship Id="rId6" Type="http://schemas.openxmlformats.org/officeDocument/2006/relationships/header" Target="header2.xml" /><Relationship Id="rId60" Type="http://schemas.openxmlformats.org/officeDocument/2006/relationships/header" Target="header51.xml" /><Relationship Id="rId61" Type="http://schemas.openxmlformats.org/officeDocument/2006/relationships/header" Target="header52.xml" /><Relationship Id="rId62" Type="http://schemas.openxmlformats.org/officeDocument/2006/relationships/header" Target="header53.xml" /><Relationship Id="rId63" Type="http://schemas.openxmlformats.org/officeDocument/2006/relationships/header" Target="header54.xml" /><Relationship Id="rId64" Type="http://schemas.openxmlformats.org/officeDocument/2006/relationships/header" Target="header55.xml" /><Relationship Id="rId65" Type="http://schemas.openxmlformats.org/officeDocument/2006/relationships/header" Target="header56.xml" /><Relationship Id="rId66" Type="http://schemas.openxmlformats.org/officeDocument/2006/relationships/header" Target="header57.xml" /><Relationship Id="rId67" Type="http://schemas.openxmlformats.org/officeDocument/2006/relationships/header" Target="header58.xml" /><Relationship Id="rId68" Type="http://schemas.openxmlformats.org/officeDocument/2006/relationships/header" Target="header59.xml" /><Relationship Id="rId69" Type="http://schemas.openxmlformats.org/officeDocument/2006/relationships/header" Target="header60.xml" /><Relationship Id="rId7" Type="http://schemas.openxmlformats.org/officeDocument/2006/relationships/header" Target="header3.xml" /><Relationship Id="rId70" Type="http://schemas.openxmlformats.org/officeDocument/2006/relationships/header" Target="header61.xml" /><Relationship Id="rId71" Type="http://schemas.openxmlformats.org/officeDocument/2006/relationships/header" Target="header62.xml" /><Relationship Id="rId72" Type="http://schemas.openxmlformats.org/officeDocument/2006/relationships/header" Target="header63.xml" /><Relationship Id="rId73" Type="http://schemas.openxmlformats.org/officeDocument/2006/relationships/header" Target="header64.xml" /><Relationship Id="rId74" Type="http://schemas.openxmlformats.org/officeDocument/2006/relationships/header" Target="header65.xml" /><Relationship Id="rId75" Type="http://schemas.openxmlformats.org/officeDocument/2006/relationships/header" Target="header66.xml" /><Relationship Id="rId76" Type="http://schemas.openxmlformats.org/officeDocument/2006/relationships/header" Target="header67.xml" /><Relationship Id="rId77" Type="http://schemas.openxmlformats.org/officeDocument/2006/relationships/header" Target="header68.xml" /><Relationship Id="rId78" Type="http://schemas.openxmlformats.org/officeDocument/2006/relationships/header" Target="header69.xml" /><Relationship Id="rId79" Type="http://schemas.openxmlformats.org/officeDocument/2006/relationships/header" Target="header70.xml" /><Relationship Id="rId8" Type="http://schemas.openxmlformats.org/officeDocument/2006/relationships/header" Target="header4.xml" /><Relationship Id="rId80" Type="http://schemas.openxmlformats.org/officeDocument/2006/relationships/header" Target="header71.xml" /><Relationship Id="rId81" Type="http://schemas.openxmlformats.org/officeDocument/2006/relationships/header" Target="header72.xml" /><Relationship Id="rId82" Type="http://schemas.openxmlformats.org/officeDocument/2006/relationships/image" Target="media/image9.png" /><Relationship Id="rId83" Type="http://schemas.openxmlformats.org/officeDocument/2006/relationships/header" Target="header73.xml" /><Relationship Id="rId84" Type="http://schemas.openxmlformats.org/officeDocument/2006/relationships/header" Target="header74.xml" /><Relationship Id="rId85" Type="http://schemas.openxmlformats.org/officeDocument/2006/relationships/image" Target="media/image10.png" /><Relationship Id="rId86" Type="http://schemas.openxmlformats.org/officeDocument/2006/relationships/image" Target="media/image11.png" /><Relationship Id="rId87" Type="http://schemas.openxmlformats.org/officeDocument/2006/relationships/header" Target="header75.xml" /><Relationship Id="rId88" Type="http://schemas.openxmlformats.org/officeDocument/2006/relationships/header" Target="header76.xml" /><Relationship Id="rId89" Type="http://schemas.openxmlformats.org/officeDocument/2006/relationships/image" Target="media/image12.png" /><Relationship Id="rId9" Type="http://schemas.openxmlformats.org/officeDocument/2006/relationships/image" Target="media/image3.png" /><Relationship Id="rId90" Type="http://schemas.openxmlformats.org/officeDocument/2006/relationships/image" Target="media/image13.png" /><Relationship Id="rId91" Type="http://schemas.openxmlformats.org/officeDocument/2006/relationships/header" Target="header77.xml" /><Relationship Id="rId92" Type="http://schemas.openxmlformats.org/officeDocument/2006/relationships/header" Target="header78.xml" /><Relationship Id="rId93" Type="http://schemas.openxmlformats.org/officeDocument/2006/relationships/image" Target="media/image14.png" /><Relationship Id="rId94" Type="http://schemas.openxmlformats.org/officeDocument/2006/relationships/image" Target="media/image15.png" /><Relationship Id="rId95" Type="http://schemas.openxmlformats.org/officeDocument/2006/relationships/header" Target="header79.xml" /><Relationship Id="rId96" Type="http://schemas.openxmlformats.org/officeDocument/2006/relationships/header" Target="header80.xml" /><Relationship Id="rId97" Type="http://schemas.openxmlformats.org/officeDocument/2006/relationships/image" Target="media/image16.png" /><Relationship Id="rId98" Type="http://schemas.openxmlformats.org/officeDocument/2006/relationships/image" Target="media/image17.png" /><Relationship Id="rId99" Type="http://schemas.openxmlformats.org/officeDocument/2006/relationships/header" Target="header81.xml" /></Relationships>
</file>

<file path=word/_rels/header1.xml.rels><?xml version="1.0" encoding="utf-8" standalone="yes"?><Relationships xmlns="http://schemas.openxmlformats.org/package/2006/relationships"><Relationship Id="rId1"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s>
</file>

<file path=word/_rels/header3.xml.rels><?xml version="1.0" encoding="utf-8" standalone="yes"?><Relationships xmlns="http://schemas.openxmlformats.org/package/2006/relationships"><Relationship Id="rId1" Type="http://schemas.openxmlformats.org/officeDocument/2006/relationships/image" Target="media/image2.png" /></Relationships>
</file>

<file path=word/_rels/header4.xml.rels><?xml version="1.0" encoding="utf-8" standalone="yes"?><Relationships xmlns="http://schemas.openxmlformats.org/package/2006/relationships"><Relationship Id="rId1" Type="http://schemas.openxmlformats.org/officeDocument/2006/relationships/image" Target="media/image2.png" /></Relationships>
</file>

<file path=word/_rels/header5.xml.rels><?xml version="1.0" encoding="utf-8" standalone="yes"?><Relationships xmlns="http://schemas.openxmlformats.org/package/2006/relationships"><Relationship Id="rId1" Type="http://schemas.openxmlformats.org/officeDocument/2006/relationships/image" Target="media/image2.png" /></Relationships>
</file>

<file path=word/_rels/header6.xml.rels><?xml version="1.0" encoding="utf-8" standalone="yes"?><Relationships xmlns="http://schemas.openxmlformats.org/package/2006/relationships"><Relationship Id="rId1" Type="http://schemas.openxmlformats.org/officeDocument/2006/relationships/image" Target="media/image2.png" /></Relationships>
</file>

<file path=word/_rels/header7.xml.rels><?xml version="1.0" encoding="utf-8" standalone="yes"?><Relationships xmlns="http://schemas.openxmlformats.org/package/2006/relationships"><Relationship Id="rId1" Type="http://schemas.openxmlformats.org/officeDocument/2006/relationships/image" Target="media/image2.png" /></Relationships>
</file>

<file path=word/_rels/header8.xml.rels><?xml version="1.0" encoding="utf-8" standalone="yes"?><Relationships xmlns="http://schemas.openxmlformats.org/package/2006/relationships"><Relationship Id="rId1" Type="http://schemas.openxmlformats.org/officeDocument/2006/relationships/image" Target="media/image2.png" /></Relationships>
</file>

<file path=word/_rels/header9.xml.rels><?xml version="1.0" encoding="utf-8" standalone="yes"?><Relationships xmlns="http://schemas.openxmlformats.org/package/2006/relationships"><Relationship Id="rId1" Type="http://schemas.openxmlformats.org/officeDocument/2006/relationships/image" Target="media/image2.png" /></Relationships>
</file>

<file path=word/_rels/header10.xml.rels><?xml version="1.0" encoding="utf-8" standalone="yes"?><Relationships xmlns="http://schemas.openxmlformats.org/package/2006/relationships"><Relationship Id="rId1" Type="http://schemas.openxmlformats.org/officeDocument/2006/relationships/image" Target="media/image2.png" /></Relationships>
</file>

<file path=word/_rels/header11.xml.rels><?xml version="1.0" encoding="utf-8" standalone="yes"?><Relationships xmlns="http://schemas.openxmlformats.org/package/2006/relationships"><Relationship Id="rId1" Type="http://schemas.openxmlformats.org/officeDocument/2006/relationships/image" Target="media/image2.png" /></Relationships>
</file>

<file path=word/_rels/header12.xml.rels><?xml version="1.0" encoding="utf-8" standalone="yes"?><Relationships xmlns="http://schemas.openxmlformats.org/package/2006/relationships"><Relationship Id="rId1" Type="http://schemas.openxmlformats.org/officeDocument/2006/relationships/image" Target="media/image2.png" /></Relationships>
</file>

<file path=word/_rels/header13.xml.rels><?xml version="1.0" encoding="utf-8" standalone="yes"?><Relationships xmlns="http://schemas.openxmlformats.org/package/2006/relationships"><Relationship Id="rId1" Type="http://schemas.openxmlformats.org/officeDocument/2006/relationships/image" Target="media/image2.png" /></Relationships>
</file>

<file path=word/_rels/header14.xml.rels><?xml version="1.0" encoding="utf-8" standalone="yes"?><Relationships xmlns="http://schemas.openxmlformats.org/package/2006/relationships"><Relationship Id="rId1" Type="http://schemas.openxmlformats.org/officeDocument/2006/relationships/image" Target="media/image2.png" /></Relationships>
</file>

<file path=word/_rels/header15.xml.rels><?xml version="1.0" encoding="utf-8" standalone="yes"?><Relationships xmlns="http://schemas.openxmlformats.org/package/2006/relationships"><Relationship Id="rId1" Type="http://schemas.openxmlformats.org/officeDocument/2006/relationships/image" Target="media/image2.png" /></Relationships>
</file>

<file path=word/_rels/header16.xml.rels><?xml version="1.0" encoding="utf-8" standalone="yes"?><Relationships xmlns="http://schemas.openxmlformats.org/package/2006/relationships"><Relationship Id="rId1" Type="http://schemas.openxmlformats.org/officeDocument/2006/relationships/image" Target="media/image2.png" /></Relationships>
</file>

<file path=word/_rels/header17.xml.rels><?xml version="1.0" encoding="utf-8" standalone="yes"?><Relationships xmlns="http://schemas.openxmlformats.org/package/2006/relationships"><Relationship Id="rId1" Type="http://schemas.openxmlformats.org/officeDocument/2006/relationships/image" Target="media/image2.png" /></Relationships>
</file>

<file path=word/_rels/header18.xml.rels><?xml version="1.0" encoding="utf-8" standalone="yes"?><Relationships xmlns="http://schemas.openxmlformats.org/package/2006/relationships"><Relationship Id="rId1" Type="http://schemas.openxmlformats.org/officeDocument/2006/relationships/image" Target="media/image2.png" /></Relationships>
</file>

<file path=word/_rels/header19.xml.rels><?xml version="1.0" encoding="utf-8" standalone="yes"?><Relationships xmlns="http://schemas.openxmlformats.org/package/2006/relationships"><Relationship Id="rId1" Type="http://schemas.openxmlformats.org/officeDocument/2006/relationships/image" Target="media/image2.png" /></Relationships>
</file>

<file path=word/_rels/header20.xml.rels><?xml version="1.0" encoding="utf-8" standalone="yes"?><Relationships xmlns="http://schemas.openxmlformats.org/package/2006/relationships"><Relationship Id="rId1" Type="http://schemas.openxmlformats.org/officeDocument/2006/relationships/image" Target="media/image2.png" /></Relationships>
</file>

<file path=word/_rels/header21.xml.rels><?xml version="1.0" encoding="utf-8" standalone="yes"?><Relationships xmlns="http://schemas.openxmlformats.org/package/2006/relationships"><Relationship Id="rId1" Type="http://schemas.openxmlformats.org/officeDocument/2006/relationships/image" Target="media/image2.png" /></Relationships>
</file>

<file path=word/_rels/header22.xml.rels><?xml version="1.0" encoding="utf-8" standalone="yes"?><Relationships xmlns="http://schemas.openxmlformats.org/package/2006/relationships"><Relationship Id="rId1" Type="http://schemas.openxmlformats.org/officeDocument/2006/relationships/image" Target="media/image2.png" /></Relationships>
</file>

<file path=word/_rels/header23.xml.rels><?xml version="1.0" encoding="utf-8" standalone="yes"?><Relationships xmlns="http://schemas.openxmlformats.org/package/2006/relationships"><Relationship Id="rId1" Type="http://schemas.openxmlformats.org/officeDocument/2006/relationships/image" Target="media/image2.png" /></Relationships>
</file>

<file path=word/_rels/header24.xml.rels><?xml version="1.0" encoding="utf-8" standalone="yes"?><Relationships xmlns="http://schemas.openxmlformats.org/package/2006/relationships"><Relationship Id="rId1" Type="http://schemas.openxmlformats.org/officeDocument/2006/relationships/image" Target="media/image2.png" /></Relationships>
</file>

<file path=word/_rels/header25.xml.rels><?xml version="1.0" encoding="utf-8" standalone="yes"?><Relationships xmlns="http://schemas.openxmlformats.org/package/2006/relationships"><Relationship Id="rId1" Type="http://schemas.openxmlformats.org/officeDocument/2006/relationships/image" Target="media/image2.png" /></Relationships>
</file>

<file path=word/_rels/header26.xml.rels><?xml version="1.0" encoding="utf-8" standalone="yes"?><Relationships xmlns="http://schemas.openxmlformats.org/package/2006/relationships"><Relationship Id="rId1" Type="http://schemas.openxmlformats.org/officeDocument/2006/relationships/image" Target="media/image2.png" /></Relationships>
</file>

<file path=word/_rels/header27.xml.rels><?xml version="1.0" encoding="utf-8" standalone="yes"?><Relationships xmlns="http://schemas.openxmlformats.org/package/2006/relationships"><Relationship Id="rId1" Type="http://schemas.openxmlformats.org/officeDocument/2006/relationships/image" Target="media/image2.png" /></Relationships>
</file>

<file path=word/_rels/header28.xml.rels><?xml version="1.0" encoding="utf-8" standalone="yes"?><Relationships xmlns="http://schemas.openxmlformats.org/package/2006/relationships"><Relationship Id="rId1" Type="http://schemas.openxmlformats.org/officeDocument/2006/relationships/image" Target="media/image2.png" /></Relationships>
</file>

<file path=word/_rels/header29.xml.rels><?xml version="1.0" encoding="utf-8" standalone="yes"?><Relationships xmlns="http://schemas.openxmlformats.org/package/2006/relationships"><Relationship Id="rId1" Type="http://schemas.openxmlformats.org/officeDocument/2006/relationships/image" Target="media/image8.png" /></Relationships>
</file>

<file path=word/_rels/header30.xml.rels><?xml version="1.0" encoding="utf-8" standalone="yes"?><Relationships xmlns="http://schemas.openxmlformats.org/package/2006/relationships"><Relationship Id="rId1" Type="http://schemas.openxmlformats.org/officeDocument/2006/relationships/image" Target="media/image8.png" /></Relationships>
</file>

<file path=word/_rels/header31.xml.rels><?xml version="1.0" encoding="utf-8" standalone="yes"?><Relationships xmlns="http://schemas.openxmlformats.org/package/2006/relationships"><Relationship Id="rId1" Type="http://schemas.openxmlformats.org/officeDocument/2006/relationships/image" Target="media/image2.png" /></Relationships>
</file>

<file path=word/_rels/header32.xml.rels><?xml version="1.0" encoding="utf-8" standalone="yes"?><Relationships xmlns="http://schemas.openxmlformats.org/package/2006/relationships"><Relationship Id="rId1" Type="http://schemas.openxmlformats.org/officeDocument/2006/relationships/image" Target="media/image2.png" /></Relationships>
</file>

<file path=word/_rels/header33.xml.rels><?xml version="1.0" encoding="utf-8" standalone="yes"?><Relationships xmlns="http://schemas.openxmlformats.org/package/2006/relationships"><Relationship Id="rId1" Type="http://schemas.openxmlformats.org/officeDocument/2006/relationships/image" Target="media/image2.png" /></Relationships>
</file>

<file path=word/_rels/header34.xml.rels><?xml version="1.0" encoding="utf-8" standalone="yes"?><Relationships xmlns="http://schemas.openxmlformats.org/package/2006/relationships"><Relationship Id="rId1" Type="http://schemas.openxmlformats.org/officeDocument/2006/relationships/image" Target="media/image2.png" /></Relationships>
</file>

<file path=word/_rels/header35.xml.rels><?xml version="1.0" encoding="utf-8" standalone="yes"?><Relationships xmlns="http://schemas.openxmlformats.org/package/2006/relationships"><Relationship Id="rId1" Type="http://schemas.openxmlformats.org/officeDocument/2006/relationships/image" Target="media/image2.png" /></Relationships>
</file>

<file path=word/_rels/header36.xml.rels><?xml version="1.0" encoding="utf-8" standalone="yes"?><Relationships xmlns="http://schemas.openxmlformats.org/package/2006/relationships"><Relationship Id="rId1" Type="http://schemas.openxmlformats.org/officeDocument/2006/relationships/image" Target="media/image2.png" /></Relationships>
</file>

<file path=word/_rels/header37.xml.rels><?xml version="1.0" encoding="utf-8" standalone="yes"?><Relationships xmlns="http://schemas.openxmlformats.org/package/2006/relationships"><Relationship Id="rId1" Type="http://schemas.openxmlformats.org/officeDocument/2006/relationships/image" Target="media/image2.png" /></Relationships>
</file>

<file path=word/_rels/header38.xml.rels><?xml version="1.0" encoding="utf-8" standalone="yes"?><Relationships xmlns="http://schemas.openxmlformats.org/package/2006/relationships"><Relationship Id="rId1" Type="http://schemas.openxmlformats.org/officeDocument/2006/relationships/image" Target="media/image2.png" /></Relationships>
</file>

<file path=word/_rels/header39.xml.rels><?xml version="1.0" encoding="utf-8" standalone="yes"?><Relationships xmlns="http://schemas.openxmlformats.org/package/2006/relationships"><Relationship Id="rId1" Type="http://schemas.openxmlformats.org/officeDocument/2006/relationships/image" Target="media/image2.png" /></Relationships>
</file>

<file path=word/_rels/header40.xml.rels><?xml version="1.0" encoding="utf-8" standalone="yes"?><Relationships xmlns="http://schemas.openxmlformats.org/package/2006/relationships"><Relationship Id="rId1" Type="http://schemas.openxmlformats.org/officeDocument/2006/relationships/image" Target="media/image2.png" /></Relationships>
</file>

<file path=word/_rels/header41.xml.rels><?xml version="1.0" encoding="utf-8" standalone="yes"?><Relationships xmlns="http://schemas.openxmlformats.org/package/2006/relationships"><Relationship Id="rId1" Type="http://schemas.openxmlformats.org/officeDocument/2006/relationships/image" Target="media/image2.png" /></Relationships>
</file>

<file path=word/_rels/header42.xml.rels><?xml version="1.0" encoding="utf-8" standalone="yes"?><Relationships xmlns="http://schemas.openxmlformats.org/package/2006/relationships"><Relationship Id="rId1" Type="http://schemas.openxmlformats.org/officeDocument/2006/relationships/image" Target="media/image2.png" /></Relationships>
</file>

<file path=word/_rels/header43.xml.rels><?xml version="1.0" encoding="utf-8" standalone="yes"?><Relationships xmlns="http://schemas.openxmlformats.org/package/2006/relationships"><Relationship Id="rId1" Type="http://schemas.openxmlformats.org/officeDocument/2006/relationships/image" Target="media/image8.png" /></Relationships>
</file>

<file path=word/_rels/header44.xml.rels><?xml version="1.0" encoding="utf-8" standalone="yes"?><Relationships xmlns="http://schemas.openxmlformats.org/package/2006/relationships"><Relationship Id="rId1" Type="http://schemas.openxmlformats.org/officeDocument/2006/relationships/image" Target="media/image8.png" /></Relationships>
</file>

<file path=word/_rels/header45.xml.rels><?xml version="1.0" encoding="utf-8" standalone="yes"?><Relationships xmlns="http://schemas.openxmlformats.org/package/2006/relationships"><Relationship Id="rId1" Type="http://schemas.openxmlformats.org/officeDocument/2006/relationships/image" Target="media/image2.png" /></Relationships>
</file>

<file path=word/_rels/header46.xml.rels><?xml version="1.0" encoding="utf-8" standalone="yes"?><Relationships xmlns="http://schemas.openxmlformats.org/package/2006/relationships"><Relationship Id="rId1" Type="http://schemas.openxmlformats.org/officeDocument/2006/relationships/image" Target="media/image2.png" /></Relationships>
</file>

<file path=word/_rels/header47.xml.rels><?xml version="1.0" encoding="utf-8" standalone="yes"?><Relationships xmlns="http://schemas.openxmlformats.org/package/2006/relationships"><Relationship Id="rId1" Type="http://schemas.openxmlformats.org/officeDocument/2006/relationships/image" Target="media/image2.png" /></Relationships>
</file>

<file path=word/_rels/header48.xml.rels><?xml version="1.0" encoding="utf-8" standalone="yes"?><Relationships xmlns="http://schemas.openxmlformats.org/package/2006/relationships"><Relationship Id="rId1" Type="http://schemas.openxmlformats.org/officeDocument/2006/relationships/image" Target="media/image2.png" /></Relationships>
</file>

<file path=word/_rels/header49.xml.rels><?xml version="1.0" encoding="utf-8" standalone="yes"?><Relationships xmlns="http://schemas.openxmlformats.org/package/2006/relationships"><Relationship Id="rId1" Type="http://schemas.openxmlformats.org/officeDocument/2006/relationships/image" Target="media/image2.png" /></Relationships>
</file>

<file path=word/_rels/header50.xml.rels><?xml version="1.0" encoding="utf-8" standalone="yes"?><Relationships xmlns="http://schemas.openxmlformats.org/package/2006/relationships"><Relationship Id="rId1" Type="http://schemas.openxmlformats.org/officeDocument/2006/relationships/image" Target="media/image2.png" /></Relationships>
</file>

<file path=word/_rels/header51.xml.rels><?xml version="1.0" encoding="utf-8" standalone="yes"?><Relationships xmlns="http://schemas.openxmlformats.org/package/2006/relationships"><Relationship Id="rId1" Type="http://schemas.openxmlformats.org/officeDocument/2006/relationships/image" Target="media/image2.png" /></Relationships>
</file>

<file path=word/_rels/header52.xml.rels><?xml version="1.0" encoding="utf-8" standalone="yes"?><Relationships xmlns="http://schemas.openxmlformats.org/package/2006/relationships"><Relationship Id="rId1" Type="http://schemas.openxmlformats.org/officeDocument/2006/relationships/image" Target="media/image2.png" /></Relationships>
</file>

<file path=word/_rels/header53.xml.rels><?xml version="1.0" encoding="utf-8" standalone="yes"?><Relationships xmlns="http://schemas.openxmlformats.org/package/2006/relationships"><Relationship Id="rId1" Type="http://schemas.openxmlformats.org/officeDocument/2006/relationships/image" Target="media/image2.png" /></Relationships>
</file>

<file path=word/_rels/header54.xml.rels><?xml version="1.0" encoding="utf-8" standalone="yes"?><Relationships xmlns="http://schemas.openxmlformats.org/package/2006/relationships"><Relationship Id="rId1" Type="http://schemas.openxmlformats.org/officeDocument/2006/relationships/image" Target="media/image2.png" /></Relationships>
</file>

<file path=word/_rels/header55.xml.rels><?xml version="1.0" encoding="utf-8" standalone="yes"?><Relationships xmlns="http://schemas.openxmlformats.org/package/2006/relationships"><Relationship Id="rId1" Type="http://schemas.openxmlformats.org/officeDocument/2006/relationships/image" Target="media/image8.png" /></Relationships>
</file>

<file path=word/_rels/header56.xml.rels><?xml version="1.0" encoding="utf-8" standalone="yes"?><Relationships xmlns="http://schemas.openxmlformats.org/package/2006/relationships"><Relationship Id="rId1" Type="http://schemas.openxmlformats.org/officeDocument/2006/relationships/image" Target="media/image8.png" /></Relationships>
</file>

<file path=word/_rels/header57.xml.rels><?xml version="1.0" encoding="utf-8" standalone="yes"?><Relationships xmlns="http://schemas.openxmlformats.org/package/2006/relationships"><Relationship Id="rId1" Type="http://schemas.openxmlformats.org/officeDocument/2006/relationships/image" Target="media/image2.png" /></Relationships>
</file>

<file path=word/_rels/header58.xml.rels><?xml version="1.0" encoding="utf-8" standalone="yes"?><Relationships xmlns="http://schemas.openxmlformats.org/package/2006/relationships"><Relationship Id="rId1" Type="http://schemas.openxmlformats.org/officeDocument/2006/relationships/image" Target="media/image2.png" /></Relationships>
</file>

<file path=word/_rels/header59.xml.rels><?xml version="1.0" encoding="utf-8" standalone="yes"?><Relationships xmlns="http://schemas.openxmlformats.org/package/2006/relationships"><Relationship Id="rId1" Type="http://schemas.openxmlformats.org/officeDocument/2006/relationships/image" Target="media/image2.png" /></Relationships>
</file>

<file path=word/_rels/header60.xml.rels><?xml version="1.0" encoding="utf-8" standalone="yes"?><Relationships xmlns="http://schemas.openxmlformats.org/package/2006/relationships"><Relationship Id="rId1" Type="http://schemas.openxmlformats.org/officeDocument/2006/relationships/image" Target="media/image2.png" /></Relationships>
</file>

<file path=word/_rels/header61.xml.rels><?xml version="1.0" encoding="utf-8" standalone="yes"?><Relationships xmlns="http://schemas.openxmlformats.org/package/2006/relationships"><Relationship Id="rId1" Type="http://schemas.openxmlformats.org/officeDocument/2006/relationships/image" Target="media/image2.png" /></Relationships>
</file>

<file path=word/_rels/header62.xml.rels><?xml version="1.0" encoding="utf-8" standalone="yes"?><Relationships xmlns="http://schemas.openxmlformats.org/package/2006/relationships"><Relationship Id="rId1" Type="http://schemas.openxmlformats.org/officeDocument/2006/relationships/image" Target="media/image2.png" /></Relationships>
</file>

<file path=word/_rels/header63.xml.rels><?xml version="1.0" encoding="utf-8" standalone="yes"?><Relationships xmlns="http://schemas.openxmlformats.org/package/2006/relationships"><Relationship Id="rId1" Type="http://schemas.openxmlformats.org/officeDocument/2006/relationships/image" Target="media/image2.png" /></Relationships>
</file>

<file path=word/_rels/header64.xml.rels><?xml version="1.0" encoding="utf-8" standalone="yes"?><Relationships xmlns="http://schemas.openxmlformats.org/package/2006/relationships"><Relationship Id="rId1" Type="http://schemas.openxmlformats.org/officeDocument/2006/relationships/image" Target="media/image2.png" /></Relationships>
</file>

<file path=word/_rels/header65.xml.rels><?xml version="1.0" encoding="utf-8" standalone="yes"?><Relationships xmlns="http://schemas.openxmlformats.org/package/2006/relationships"><Relationship Id="rId1" Type="http://schemas.openxmlformats.org/officeDocument/2006/relationships/image" Target="media/image2.png" /></Relationships>
</file>

<file path=word/_rels/header66.xml.rels><?xml version="1.0" encoding="utf-8" standalone="yes"?><Relationships xmlns="http://schemas.openxmlformats.org/package/2006/relationships"><Relationship Id="rId1" Type="http://schemas.openxmlformats.org/officeDocument/2006/relationships/image" Target="media/image2.png" /></Relationships>
</file>

<file path=word/_rels/header67.xml.rels><?xml version="1.0" encoding="utf-8" standalone="yes"?><Relationships xmlns="http://schemas.openxmlformats.org/package/2006/relationships"><Relationship Id="rId1" Type="http://schemas.openxmlformats.org/officeDocument/2006/relationships/image" Target="media/image2.png" /></Relationships>
</file>

<file path=word/_rels/header68.xml.rels><?xml version="1.0" encoding="utf-8" standalone="yes"?><Relationships xmlns="http://schemas.openxmlformats.org/package/2006/relationships"><Relationship Id="rId1" Type="http://schemas.openxmlformats.org/officeDocument/2006/relationships/image" Target="media/image2.png" /></Relationships>
</file>

<file path=word/_rels/header69.xml.rels><?xml version="1.0" encoding="utf-8" standalone="yes"?><Relationships xmlns="http://schemas.openxmlformats.org/package/2006/relationships"><Relationship Id="rId1" Type="http://schemas.openxmlformats.org/officeDocument/2006/relationships/image" Target="media/image2.png" /></Relationships>
</file>

<file path=word/_rels/header70.xml.rels><?xml version="1.0" encoding="utf-8" standalone="yes"?><Relationships xmlns="http://schemas.openxmlformats.org/package/2006/relationships"><Relationship Id="rId1" Type="http://schemas.openxmlformats.org/officeDocument/2006/relationships/image" Target="media/image2.png" /></Relationships>
</file>

<file path=word/_rels/header71.xml.rels><?xml version="1.0" encoding="utf-8" standalone="yes"?><Relationships xmlns="http://schemas.openxmlformats.org/package/2006/relationships"><Relationship Id="rId1" Type="http://schemas.openxmlformats.org/officeDocument/2006/relationships/image" Target="media/image2.png" /></Relationships>
</file>

<file path=word/_rels/header72.xml.rels><?xml version="1.0" encoding="utf-8" standalone="yes"?><Relationships xmlns="http://schemas.openxmlformats.org/package/2006/relationships"><Relationship Id="rId1" Type="http://schemas.openxmlformats.org/officeDocument/2006/relationships/image" Target="media/image2.png" /></Relationships>
</file>

<file path=word/_rels/header73.xml.rels><?xml version="1.0" encoding="utf-8" standalone="yes"?><Relationships xmlns="http://schemas.openxmlformats.org/package/2006/relationships"><Relationship Id="rId1" Type="http://schemas.openxmlformats.org/officeDocument/2006/relationships/image" Target="media/image2.png" /></Relationships>
</file>

<file path=word/_rels/header74.xml.rels><?xml version="1.0" encoding="utf-8" standalone="yes"?><Relationships xmlns="http://schemas.openxmlformats.org/package/2006/relationships"><Relationship Id="rId1" Type="http://schemas.openxmlformats.org/officeDocument/2006/relationships/image" Target="media/image2.png" /></Relationships>
</file>

<file path=word/_rels/header75.xml.rels><?xml version="1.0" encoding="utf-8" standalone="yes"?><Relationships xmlns="http://schemas.openxmlformats.org/package/2006/relationships"><Relationship Id="rId1" Type="http://schemas.openxmlformats.org/officeDocument/2006/relationships/image" Target="media/image2.png" /></Relationships>
</file>

<file path=word/_rels/header76.xml.rels><?xml version="1.0" encoding="utf-8" standalone="yes"?><Relationships xmlns="http://schemas.openxmlformats.org/package/2006/relationships"><Relationship Id="rId1" Type="http://schemas.openxmlformats.org/officeDocument/2006/relationships/image" Target="media/image2.png" /></Relationships>
</file>

<file path=word/_rels/header77.xml.rels><?xml version="1.0" encoding="utf-8" standalone="yes"?><Relationships xmlns="http://schemas.openxmlformats.org/package/2006/relationships"><Relationship Id="rId1" Type="http://schemas.openxmlformats.org/officeDocument/2006/relationships/image" Target="media/image8.png" /></Relationships>
</file>

<file path=word/_rels/header78.xml.rels><?xml version="1.0" encoding="utf-8" standalone="yes"?><Relationships xmlns="http://schemas.openxmlformats.org/package/2006/relationships"><Relationship Id="rId1" Type="http://schemas.openxmlformats.org/officeDocument/2006/relationships/image" Target="media/image8.png" /></Relationships>
</file>

<file path=word/_rels/header79.xml.rels><?xml version="1.0" encoding="utf-8" standalone="yes"?><Relationships xmlns="http://schemas.openxmlformats.org/package/2006/relationships"><Relationship Id="rId1" Type="http://schemas.openxmlformats.org/officeDocument/2006/relationships/image" Target="media/image8.png" /></Relationships>
</file>

<file path=word/_rels/header80.xml.rels><?xml version="1.0" encoding="utf-8" standalone="yes"?><Relationships xmlns="http://schemas.openxmlformats.org/package/2006/relationships"><Relationship Id="rId1" Type="http://schemas.openxmlformats.org/officeDocument/2006/relationships/image" Target="media/image8.png" /></Relationships>
</file>

<file path=word/_rels/header81.xml.rels><?xml version="1.0" encoding="utf-8" standalone="yes"?><Relationships xmlns="http://schemas.openxmlformats.org/package/2006/relationships"><Relationship Id="rId1" Type="http://schemas.openxmlformats.org/officeDocument/2006/relationships/image" Target="media/image2.png" /></Relationships>
</file>

<file path=word/_rels/header82.xml.rels><?xml version="1.0" encoding="utf-8" standalone="yes"?><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79</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Regulation (EU) 2023/ of the European Parliament and of the Council of 31 May 2023 on the making available on the Union market and the export from the Union of certain commodities and products associated with deforestation and forest degradation and repealing Regulation (EU) No 995/2010</dc:title>
  <dc:creator>Publications Office</dc:creator>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2023-06-09+02:00</vt:lpwstr>
  </property>
</Properties>
</file>