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Heading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 xml:space="preserve">Cook County is a county in the US state of Illinois. It includes Chicago and surrounding suburbs. The Assessor’s Office is a local government agency. It uses estimates of what properties would </w:t>
      </w:r>
      <w:proofErr w:type="gramStart"/>
      <w:r>
        <w:t>sell for</w:t>
      </w:r>
      <w:proofErr w:type="gramEnd"/>
      <w:r>
        <w:t xml:space="preserve">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Heading1"/>
        <w:ind w:left="477" w:right="0" w:hanging="484"/>
      </w:pPr>
      <w:r>
        <w:t>Data</w:t>
      </w:r>
    </w:p>
    <w:p w14:paraId="4DB76A5B" w14:textId="77777777" w:rsidR="003807C1"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AD98EA5" w14:textId="77777777" w:rsidR="003807C1"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2459EB9A" w14:textId="77777777" w:rsidR="003807C1" w:rsidRDefault="00000000">
      <w:pPr>
        <w:pStyle w:val="Heading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Heading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Heading2"/>
        <w:ind w:left="3"/>
      </w:pPr>
      <w:r>
        <w:t>Section 1: Business objective</w:t>
      </w:r>
    </w:p>
    <w:p w14:paraId="749A098A" w14:textId="77777777" w:rsidR="003807C1"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546CE3AD" w14:textId="77777777" w:rsidR="003807C1" w:rsidRDefault="00000000">
      <w:pPr>
        <w:rPr>
          <w:rFonts w:eastAsiaTheme="minorEastAsia"/>
        </w:rPr>
      </w:pPr>
      <w:r>
        <w:rPr>
          <w:rFonts w:eastAsiaTheme="minorEastAsia" w:hint="eastAsia"/>
        </w:rPr>
        <w:lastRenderedPageBreak/>
        <w:t>The Cook County Assessor</w:t>
      </w:r>
      <w:r>
        <w:rPr>
          <w:rFonts w:eastAsiaTheme="minorEastAsia"/>
        </w:rPr>
        <w:t>’</w:t>
      </w:r>
      <w:r>
        <w:rPr>
          <w:rFonts w:eastAsiaTheme="minorEastAsia" w:hint="eastAsia"/>
        </w:rPr>
        <w:t xml:space="preserve">s Office must assess a large </w:t>
      </w:r>
      <w:proofErr w:type="gramStart"/>
      <w:r>
        <w:rPr>
          <w:rFonts w:eastAsiaTheme="minorEastAsia" w:hint="eastAsia"/>
        </w:rPr>
        <w:t>amount</w:t>
      </w:r>
      <w:proofErr w:type="gramEnd"/>
      <w:r>
        <w:rPr>
          <w:rFonts w:eastAsiaTheme="minorEastAsia" w:hint="eastAsia"/>
        </w:rPr>
        <w:t xml:space="preserve"> of residential properties in Cook County for property tax purposes. Since many homes do not have recent recorded </w:t>
      </w:r>
      <w:proofErr w:type="gramStart"/>
      <w:r>
        <w:rPr>
          <w:rFonts w:eastAsiaTheme="minorEastAsia" w:hint="eastAsia"/>
        </w:rPr>
        <w:t>sale</w:t>
      </w:r>
      <w:proofErr w:type="gramEnd"/>
      <w:r>
        <w:rPr>
          <w:rFonts w:eastAsiaTheme="minorEastAsia" w:hint="eastAsia"/>
        </w:rPr>
        <w:t xml:space="preserve">, their market value cannot be observed directly. However, the office still needs to estimate what each property would sell for as of </w:t>
      </w:r>
      <w:r>
        <w:rPr>
          <w:rFonts w:eastAsiaTheme="minorEastAsia" w:hint="eastAsia"/>
          <w:b/>
          <w:bCs/>
        </w:rPr>
        <w:t>a specified valuation date</w:t>
      </w:r>
      <w:r>
        <w:rPr>
          <w:rFonts w:eastAsiaTheme="minorEastAsia" w:hint="eastAsia"/>
        </w:rPr>
        <w:t xml:space="preserve">. </w:t>
      </w:r>
    </w:p>
    <w:p w14:paraId="70673717" w14:textId="77777777" w:rsidR="003807C1" w:rsidRDefault="003807C1">
      <w:pPr>
        <w:rPr>
          <w:rFonts w:eastAsiaTheme="minorEastAsia"/>
        </w:rPr>
      </w:pPr>
    </w:p>
    <w:p w14:paraId="42B965FD" w14:textId="77777777" w:rsidR="003807C1" w:rsidRDefault="00000000">
      <w:pPr>
        <w:rPr>
          <w:rFonts w:eastAsiaTheme="minorEastAsia"/>
        </w:rPr>
      </w:pPr>
      <w:r>
        <w:rPr>
          <w:rFonts w:eastAsiaTheme="minorEastAsia"/>
        </w:rPr>
        <w:t>The proposed use of the model is to provide an initial price estimate for a home without a recent</w:t>
      </w:r>
    </w:p>
    <w:p w14:paraId="5D8A85D5" w14:textId="77777777" w:rsidR="003807C1" w:rsidRDefault="00000000">
      <w:pPr>
        <w:rPr>
          <w:rFonts w:eastAsiaTheme="minorEastAsia"/>
        </w:rPr>
      </w:pPr>
      <w:r>
        <w:rPr>
          <w:rFonts w:eastAsiaTheme="minorEastAsia"/>
        </w:rPr>
        <w:t>sale. This estimate is intended for a property analyst in the residential valuation team, who</w:t>
      </w:r>
      <w:r>
        <w:rPr>
          <w:rFonts w:eastAsiaTheme="minorEastAsia" w:hint="eastAsia"/>
        </w:rPr>
        <w:t xml:space="preserve"> </w:t>
      </w:r>
      <w:r>
        <w:rPr>
          <w:rFonts w:eastAsiaTheme="minorEastAsia"/>
        </w:rPr>
        <w:t>combines the model output with inspection information and professional judgement to determine</w:t>
      </w:r>
      <w:r>
        <w:rPr>
          <w:rFonts w:eastAsiaTheme="minorEastAsia" w:hint="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63D1DF0" w14:textId="77777777" w:rsidR="003807C1" w:rsidRDefault="003807C1">
      <w:pPr>
        <w:rPr>
          <w:rFonts w:eastAsiaTheme="minorEastAsia"/>
        </w:rPr>
      </w:pPr>
    </w:p>
    <w:p w14:paraId="11B246B3" w14:textId="77777777" w:rsidR="003807C1" w:rsidRDefault="00000000">
      <w:pPr>
        <w:rPr>
          <w:rFonts w:eastAsiaTheme="minorEastAsia"/>
        </w:rPr>
      </w:pPr>
      <w:r>
        <w:rPr>
          <w:rFonts w:eastAsiaTheme="minorEastAsia"/>
        </w:rPr>
        <w:t>This project offers three practical benefits. First, it reduces repetitive manual work, because the</w:t>
      </w:r>
      <w:r>
        <w:rPr>
          <w:rFonts w:eastAsiaTheme="minorEastAsia" w:hint="eastAsia"/>
        </w:rPr>
        <w:t xml:space="preserve"> </w:t>
      </w:r>
      <w:r>
        <w:rPr>
          <w:rFonts w:eastAsiaTheme="minorEastAsia"/>
        </w:rPr>
        <w:t>model can generate initial estimates for large numbers of homes without recent sales in bulk</w:t>
      </w:r>
      <w:r>
        <w:rPr>
          <w:rFonts w:eastAsiaTheme="minorEastAsia" w:hint="eastAsia"/>
        </w:rPr>
        <w:t xml:space="preserve">, </w:t>
      </w:r>
      <w:r>
        <w:rPr>
          <w:rFonts w:eastAsiaTheme="minorEastAsia"/>
        </w:rPr>
        <w:t>allowing analysts to concentrate on reviewing and correcting estimates rather than pricing each</w:t>
      </w:r>
      <w:r>
        <w:rPr>
          <w:rFonts w:eastAsiaTheme="minorEastAsia" w:hint="eastAsia"/>
        </w:rPr>
        <w:t xml:space="preserve"> </w:t>
      </w:r>
      <w:r>
        <w:rPr>
          <w:rFonts w:eastAsiaTheme="minorEastAsia"/>
        </w:rPr>
        <w:t>home from scratch. Second, it improves consistency, as the model provides a reproducible starting</w:t>
      </w:r>
      <w:r>
        <w:rPr>
          <w:rFonts w:eastAsiaTheme="minorEastAsia" w:hint="eastAsia"/>
        </w:rPr>
        <w:t xml:space="preserve"> </w:t>
      </w:r>
      <w:r>
        <w:rPr>
          <w:rFonts w:eastAsiaTheme="minorEastAsia"/>
        </w:rPr>
        <w:t>point for comparable homes and thereby reduces subjective variation between analysts. Third, it</w:t>
      </w:r>
      <w:r>
        <w:rPr>
          <w:rFonts w:eastAsiaTheme="minorEastAsia" w:hint="eastAsia"/>
        </w:rPr>
        <w:t xml:space="preserve"> </w:t>
      </w:r>
      <w:r>
        <w:rPr>
          <w:rFonts w:eastAsiaTheme="minorEastAsia"/>
        </w:rPr>
        <w:t>supports scalability, since a model-based approach can value abundant properties at scale far</w:t>
      </w:r>
      <w:r>
        <w:rPr>
          <w:rFonts w:eastAsiaTheme="minorEastAsia" w:hint="eastAsia"/>
        </w:rPr>
        <w:t xml:space="preserve"> </w:t>
      </w:r>
      <w:r>
        <w:rPr>
          <w:rFonts w:eastAsiaTheme="minorEastAsia"/>
        </w:rPr>
        <w:t>more readily than pricing each home individually by hand</w:t>
      </w:r>
    </w:p>
    <w:p w14:paraId="7F4EF194" w14:textId="77777777" w:rsidR="003807C1" w:rsidRDefault="00000000">
      <w:pPr>
        <w:pStyle w:val="Heading2"/>
        <w:ind w:left="3"/>
      </w:pPr>
      <w:r>
        <w:t>Section 2: Data understanding and representation</w:t>
      </w:r>
    </w:p>
    <w:p w14:paraId="1296AF95" w14:textId="77777777" w:rsidR="003807C1" w:rsidRDefault="00000000">
      <w:pPr>
        <w:ind w:left="434" w:hanging="426"/>
      </w:pPr>
      <w:r>
        <w:rPr>
          <w:b/>
        </w:rPr>
        <w:t xml:space="preserve">2a. </w:t>
      </w:r>
      <w:r>
        <w:t xml:space="preserve">What does each row represent? Verify the </w:t>
      </w:r>
      <w:proofErr w:type="gramStart"/>
      <w:r>
        <w:t>join</w:t>
      </w:r>
      <w:proofErr w:type="gramEnd"/>
      <w:r>
        <w:t>, check for duplicate records and repeated sales of the same property, and justify how you handle them.</w:t>
      </w:r>
    </w:p>
    <w:p w14:paraId="39DAA180" w14:textId="77777777" w:rsidR="003807C1" w:rsidRDefault="00000000">
      <w:pPr>
        <w:ind w:left="10"/>
      </w:pPr>
      <w:r>
        <w:rPr>
          <w:b/>
        </w:rPr>
        <w:t xml:space="preserve">2b. </w:t>
      </w:r>
      <w:r>
        <w:t>Which missing or unusual predictor values matter, and how will you handle them?</w:t>
      </w:r>
    </w:p>
    <w:p w14:paraId="13727216" w14:textId="77777777" w:rsidR="003807C1" w:rsidRDefault="00000000">
      <w:pPr>
        <w:ind w:left="424" w:hanging="416"/>
      </w:pPr>
      <w:r>
        <w:rPr>
          <w:b/>
        </w:rPr>
        <w:t xml:space="preserve">2c. </w:t>
      </w:r>
      <w:r>
        <w:t>What do summaries and plots show about prices over time and across locations? Identify higher- and lower-price periods and discuss possible explanations.</w:t>
      </w:r>
    </w:p>
    <w:p w14:paraId="288F6D84" w14:textId="77777777" w:rsidR="003807C1" w:rsidRDefault="00000000">
      <w:pPr>
        <w:ind w:left="10"/>
      </w:pPr>
      <w:r>
        <w:rPr>
          <w:b/>
        </w:rPr>
        <w:t xml:space="preserve">2d. </w:t>
      </w:r>
      <w:r>
        <w:t>How will you represent the data? Create and justify at least two new features.</w:t>
      </w:r>
    </w:p>
    <w:p w14:paraId="21692B49" w14:textId="77777777" w:rsidR="003807C1" w:rsidRDefault="00000000">
      <w:pPr>
        <w:spacing w:after="406"/>
        <w:ind w:left="427" w:hanging="419"/>
      </w:pPr>
      <w:r>
        <w:rPr>
          <w:b/>
        </w:rPr>
        <w:t xml:space="preserve">2e. </w:t>
      </w:r>
      <w:r>
        <w:t>What could cause leakage or biased conclusions? How does using only sold properties limit claims about homes that have not sold?</w:t>
      </w:r>
    </w:p>
    <w:p w14:paraId="5AAE4A30" w14:textId="77777777" w:rsidR="003807C1" w:rsidRDefault="00000000">
      <w:pPr>
        <w:pStyle w:val="Heading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01C61F99" w14:textId="77777777" w:rsidR="003807C1" w:rsidRDefault="00000000">
      <w:pPr>
        <w:ind w:left="10"/>
        <w:rPr>
          <w:rFonts w:eastAsiaTheme="minorEastAsia"/>
          <w:color w:val="auto"/>
          <w:szCs w:val="22"/>
        </w:rPr>
      </w:pPr>
      <w:r>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28B6D61F" w14:textId="77777777" w:rsidR="003807C1" w:rsidRDefault="00000000">
      <w:pPr>
        <w:ind w:left="10"/>
        <w:rPr>
          <w:rFonts w:eastAsiaTheme="minorEastAsia"/>
          <w:b/>
          <w:bCs/>
        </w:rPr>
      </w:pPr>
      <w:r w:rsidRPr="0019104F">
        <w:rPr>
          <w:rFonts w:eastAsiaTheme="minorEastAsia"/>
          <w:b/>
          <w:bCs/>
          <w:sz w:val="21"/>
          <w:szCs w:val="22"/>
        </w:rPr>
        <w:t>Table 1.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E48E6EE"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hint="eastAsia"/>
              </w:rPr>
            </w:pPr>
            <w:proofErr w:type="gramStart"/>
            <w:r>
              <w:rPr>
                <w:rFonts w:eastAsiaTheme="minorEastAsia"/>
              </w:rPr>
              <w:t>M</w:t>
            </w:r>
            <w:r>
              <w:rPr>
                <w:rFonts w:eastAsiaTheme="minorEastAsia" w:hint="eastAsia"/>
              </w:rPr>
              <w:t>S</w:t>
            </w:r>
            <w:r>
              <w:rPr>
                <w:rFonts w:eastAsiaTheme="minorEastAsia"/>
              </w:rPr>
              <w:t>E</w:t>
            </w:r>
            <w:r>
              <w:rPr>
                <w:b w:val="0"/>
                <w:bCs w:val="0"/>
              </w:rPr>
              <w:t>(</w:t>
            </w:r>
            <w:proofErr w:type="gramEnd"/>
            <w:r>
              <w:rPr>
                <w:b w:val="0"/>
                <w:bCs w:val="0"/>
              </w:rPr>
              <w:t>$)</w:t>
            </w:r>
          </w:p>
        </w:tc>
        <w:tc>
          <w:tcPr>
            <w:tcW w:w="1564" w:type="dxa"/>
          </w:tcPr>
          <w:p w14:paraId="525B09BE" w14:textId="77777777"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hint="eastAsia"/>
              </w:rPr>
              <w:t>MA</w:t>
            </w:r>
            <w:r>
              <w:rPr>
                <w:rFonts w:eastAsiaTheme="minorEastAsia"/>
              </w:rPr>
              <w:t>E</w:t>
            </w:r>
            <w:r>
              <w:rPr>
                <w:b w:val="0"/>
                <w:bCs w:val="0"/>
              </w:rPr>
              <w:t>(</w:t>
            </w:r>
            <w:proofErr w:type="gramEnd"/>
            <w:r>
              <w:rPr>
                <w:b w:val="0"/>
                <w:bCs w:val="0"/>
              </w:rPr>
              <w:t>$)</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NormalWeb"/>
              <w:cnfStyle w:val="000000000000" w:firstRow="0" w:lastRow="0" w:firstColumn="0" w:lastColumn="0" w:oddVBand="0" w:evenVBand="0" w:oddHBand="0" w:evenHBand="0" w:firstRowFirstColumn="0" w:firstRowLastColumn="0" w:lastRowFirstColumn="0" w:lastRowLastColumn="0"/>
              <w:rPr>
                <w:rFonts w:eastAsiaTheme="minorEastAsia" w:hint="eastAsia"/>
                <w:color w:val="auto"/>
                <w:kern w:val="0"/>
                <w14:ligatures w14:val="none"/>
              </w:rPr>
            </w:pPr>
            <w:r>
              <w:t>342,381.82</w:t>
            </w:r>
          </w:p>
        </w:tc>
      </w:tr>
    </w:tbl>
    <w:p w14:paraId="169826CD" w14:textId="77777777" w:rsidR="003807C1" w:rsidRDefault="00000000">
      <w:pPr>
        <w:ind w:left="443" w:hanging="437"/>
        <w:rPr>
          <w:rFonts w:eastAsiaTheme="minorEastAsia"/>
          <w:color w:val="auto"/>
          <w:szCs w:val="22"/>
        </w:rPr>
      </w:pPr>
      <w:r>
        <w:rPr>
          <w:rFonts w:eastAsiaTheme="minorEastAsia"/>
          <w:color w:val="auto"/>
          <w:szCs w:val="22"/>
        </w:rPr>
        <w:t>As shown in Table 1, the baseline provides a reference for evaluating the improvements achieved by subsequent models.</w:t>
      </w:r>
    </w:p>
    <w:p w14:paraId="6615512D" w14:textId="77777777" w:rsidR="003807C1" w:rsidRDefault="00000000">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5AD808DB" w14:textId="77777777" w:rsidR="003807C1" w:rsidRDefault="003807C1">
      <w:pPr>
        <w:ind w:left="443" w:hanging="437"/>
        <w:rPr>
          <w:rFonts w:eastAsiaTheme="minorEastAsia"/>
        </w:rPr>
      </w:pP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0F8F5435" w14:textId="77777777" w:rsidR="003807C1" w:rsidRDefault="00000000">
      <w:pPr>
        <w:ind w:left="10"/>
        <w:rPr>
          <w:rFonts w:eastAsiaTheme="minorEastAsia"/>
        </w:rPr>
      </w:pPr>
      <w:r>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089E2F7A" w14:textId="77777777" w:rsidR="003807C1" w:rsidRDefault="003807C1">
      <w:pPr>
        <w:ind w:left="10"/>
        <w:rPr>
          <w:rFonts w:eastAsiaTheme="minorEastAsia"/>
        </w:rPr>
      </w:pPr>
    </w:p>
    <w:p w14:paraId="379013F8" w14:textId="77777777" w:rsidR="003807C1" w:rsidRDefault="00000000">
      <w:pPr>
        <w:ind w:left="10"/>
        <w:rPr>
          <w:rFonts w:eastAsiaTheme="minorEastAsia"/>
        </w:rPr>
      </w:pPr>
      <w:r>
        <w:rPr>
          <w:rFonts w:eastAsiaTheme="minorEastAsia"/>
        </w:rPr>
        <w:t xml:space="preserve">Repeated sales are retained rather than enforcing a property-disjoint split, as properties may require valuation in different periods. Of the 18,132 validation transactions, 1,677 (9.25%) involve properties also observed in training. This overlap does </w:t>
      </w:r>
      <w:proofErr w:type="gramStart"/>
      <w:r>
        <w:rPr>
          <w:rFonts w:eastAsiaTheme="minorEastAsia"/>
        </w:rPr>
        <w:t>not itself</w:t>
      </w:r>
      <w:proofErr w:type="gramEnd"/>
      <w:r>
        <w:rPr>
          <w:rFonts w:eastAsiaTheme="minorEastAsia"/>
        </w:rPr>
        <w:t xml:space="preserve"> indicate data leakage but may limit representativeness for homes without recent sales. Property and transaction IDs are excluded from predictors, while </w:t>
      </w:r>
      <w:proofErr w:type="spellStart"/>
      <w:r>
        <w:rPr>
          <w:rFonts w:eastAsiaTheme="minorEastAsia"/>
        </w:rPr>
        <w:t>sale_price</w:t>
      </w:r>
      <w:proofErr w:type="spellEnd"/>
      <w:r>
        <w:rPr>
          <w:rFonts w:eastAsiaTheme="minorEastAsia"/>
        </w:rPr>
        <w:t xml:space="preserve"> remains the target.</w:t>
      </w:r>
    </w:p>
    <w:p w14:paraId="2D5AD0DC" w14:textId="77777777" w:rsidR="003807C1" w:rsidRDefault="003807C1">
      <w:pPr>
        <w:ind w:left="10"/>
        <w:rPr>
          <w:rFonts w:eastAsiaTheme="minorEastAsia"/>
        </w:rPr>
      </w:pPr>
    </w:p>
    <w:p w14:paraId="100B5181" w14:textId="77777777" w:rsidR="003807C1" w:rsidRDefault="00000000">
      <w:pPr>
        <w:ind w:left="10"/>
        <w:rPr>
          <w:rFonts w:eastAsiaTheme="minorEastAsia"/>
        </w:rPr>
      </w:pPr>
      <w:r>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D428394" w14:textId="77777777" w:rsidR="003807C1" w:rsidRDefault="00000000">
      <w:pPr>
        <w:ind w:left="10"/>
        <w:rPr>
          <w:rFonts w:eastAsiaTheme="minorEastAsia"/>
        </w:rPr>
      </w:pPr>
      <w:r>
        <w:rPr>
          <w:b/>
        </w:rPr>
        <w:t xml:space="preserve">3d. </w:t>
      </w:r>
      <w:r>
        <w:t xml:space="preserve">Show how experiments </w:t>
      </w:r>
      <w:proofErr w:type="gramStart"/>
      <w:r>
        <w:t>informed</w:t>
      </w:r>
      <w:proofErr w:type="gramEnd"/>
      <w:r>
        <w:t xml:space="preserve"> your decisions. Include a comparison of feature sets.</w:t>
      </w:r>
    </w:p>
    <w:p w14:paraId="5C68C99E"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Feature-set experiments examined two questions: whether location and property characteristics provide complementary predictive information, and whether selected interaction terms improve predictions beyond an additive model.</w:t>
      </w:r>
    </w:p>
    <w:p w14:paraId="3B0B93E1" w14:textId="77777777" w:rsidR="007D3B7A" w:rsidRPr="007D3B7A" w:rsidRDefault="007D3B7A" w:rsidP="007D3B7A">
      <w:pPr>
        <w:rPr>
          <w:rFonts w:eastAsiaTheme="minorEastAsia"/>
          <w:color w:val="000000" w:themeColor="text1"/>
        </w:rPr>
      </w:pPr>
    </w:p>
    <w:p w14:paraId="463504A4"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 xml:space="preserve">Four initial feature sets were constructed. Set A contained location-related predictors, Set B contained property characteristics, and Set C combined both groups. Set D added a building size × archived building age interaction to C. This </w:t>
      </w:r>
      <w:r w:rsidRPr="007D3B7A">
        <w:rPr>
          <w:rFonts w:eastAsiaTheme="minorEastAsia"/>
          <w:color w:val="000000" w:themeColor="text1"/>
        </w:rPr>
        <w:lastRenderedPageBreak/>
        <w:t>interaction was motivated by the possibility that the value associated with additional building space varies with property age. It provided a low-complexity starting point for testing a non-additive relationship without introducing numerous interaction columns.</w:t>
      </w:r>
    </w:p>
    <w:p w14:paraId="7AFFE29D" w14:textId="77777777" w:rsidR="007D3B7A" w:rsidRPr="007D3B7A" w:rsidRDefault="007D3B7A" w:rsidP="007D3B7A">
      <w:pPr>
        <w:rPr>
          <w:rFonts w:eastAsiaTheme="minorEastAsia"/>
          <w:color w:val="000000" w:themeColor="text1"/>
        </w:rPr>
      </w:pPr>
    </w:p>
    <w:p w14:paraId="2A8BF3FC" w14:textId="45A59579" w:rsidR="003807C1" w:rsidRDefault="007D3B7A" w:rsidP="007D3B7A">
      <w:pPr>
        <w:rPr>
          <w:rFonts w:eastAsiaTheme="minorEastAsia"/>
          <w:color w:val="000000" w:themeColor="text1"/>
        </w:rPr>
      </w:pPr>
      <w:r w:rsidRPr="007D3B7A">
        <w:rPr>
          <w:rFonts w:eastAsiaTheme="minorEastAsia"/>
          <w:color w:val="000000" w:themeColor="text1"/>
        </w:rPr>
        <w:t>Linear Regression was held constant across A–D. All experiments used the same chronological training and validation periods, validation transactions, training-fitted preprocessing and evaluation definitions. The primary criterion was the pre-specified overvaluation-weighted WAE (2:1), with MSE, R² and MAE retained as supporting metrics.</w:t>
      </w:r>
    </w:p>
    <w:p w14:paraId="58B4C0B4" w14:textId="77777777" w:rsidR="007D3B7A" w:rsidRPr="007D3B7A" w:rsidRDefault="007D3B7A" w:rsidP="007D3B7A">
      <w:pPr>
        <w:rPr>
          <w:rFonts w:eastAsiaTheme="minorEastAsia"/>
          <w:color w:val="000000" w:themeColor="text1"/>
        </w:rPr>
      </w:pPr>
      <w:r w:rsidRPr="007D3B7A">
        <w:rPr>
          <w:rFonts w:eastAsiaTheme="minorEastAsia"/>
          <w:b/>
          <w:bCs/>
          <w:color w:val="000000" w:themeColor="text1"/>
        </w:rPr>
        <w:t>Table 2. Linear Regression feature-set comparison on the 2024 H2 validation set</w:t>
      </w:r>
    </w:p>
    <w:tbl>
      <w:tblPr>
        <w:tblStyle w:val="PlainTable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7D3B7A" w:rsidRPr="007D3B7A" w14:paraId="0B4FBEEB" w14:textId="77777777" w:rsidTr="001910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59EAB7"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A. Location</w:t>
            </w:r>
          </w:p>
        </w:tc>
        <w:tc>
          <w:tcPr>
            <w:tcW w:w="0" w:type="auto"/>
            <w:hideMark/>
          </w:tcPr>
          <w:p w14:paraId="1C8E2EB2"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67</w:t>
            </w:r>
          </w:p>
        </w:tc>
        <w:tc>
          <w:tcPr>
            <w:tcW w:w="0" w:type="auto"/>
            <w:hideMark/>
          </w:tcPr>
          <w:p w14:paraId="15A22FB1"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192,466.82</w:t>
            </w:r>
          </w:p>
        </w:tc>
        <w:tc>
          <w:tcPr>
            <w:tcW w:w="0" w:type="auto"/>
            <w:hideMark/>
          </w:tcPr>
          <w:p w14:paraId="0A0C68A7"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136,668.61</w:t>
            </w:r>
          </w:p>
        </w:tc>
        <w:tc>
          <w:tcPr>
            <w:tcW w:w="0" w:type="auto"/>
            <w:hideMark/>
          </w:tcPr>
          <w:p w14:paraId="19178FDC"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79.61</w:t>
            </w:r>
          </w:p>
        </w:tc>
        <w:tc>
          <w:tcPr>
            <w:tcW w:w="0" w:type="auto"/>
            <w:hideMark/>
          </w:tcPr>
          <w:p w14:paraId="37F69F7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0.5826</w:t>
            </w:r>
          </w:p>
        </w:tc>
      </w:tr>
      <w:tr w:rsidR="007D3B7A" w:rsidRPr="007D3B7A" w14:paraId="765503BD" w14:textId="77777777" w:rsidTr="001910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5C036F"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B. Property</w:t>
            </w:r>
          </w:p>
        </w:tc>
        <w:tc>
          <w:tcPr>
            <w:tcW w:w="0" w:type="auto"/>
            <w:hideMark/>
          </w:tcPr>
          <w:p w14:paraId="1DFC666F"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30</w:t>
            </w:r>
          </w:p>
        </w:tc>
        <w:tc>
          <w:tcPr>
            <w:tcW w:w="0" w:type="auto"/>
            <w:hideMark/>
          </w:tcPr>
          <w:p w14:paraId="76F27122"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246,665.90</w:t>
            </w:r>
          </w:p>
        </w:tc>
        <w:tc>
          <w:tcPr>
            <w:tcW w:w="0" w:type="auto"/>
            <w:hideMark/>
          </w:tcPr>
          <w:p w14:paraId="4DEB2A20"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173,945.18</w:t>
            </w:r>
          </w:p>
        </w:tc>
        <w:tc>
          <w:tcPr>
            <w:tcW w:w="0" w:type="auto"/>
            <w:hideMark/>
          </w:tcPr>
          <w:p w14:paraId="51BBE25E"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98.80</w:t>
            </w:r>
          </w:p>
        </w:tc>
        <w:tc>
          <w:tcPr>
            <w:tcW w:w="0" w:type="auto"/>
            <w:hideMark/>
          </w:tcPr>
          <w:p w14:paraId="2FE81AB3"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0.4820</w:t>
            </w:r>
          </w:p>
        </w:tc>
      </w:tr>
      <w:tr w:rsidR="007D3B7A" w:rsidRPr="007D3B7A" w14:paraId="2C47B174" w14:textId="77777777" w:rsidTr="001910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7D6B23"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C. Combined</w:t>
            </w:r>
          </w:p>
        </w:tc>
        <w:tc>
          <w:tcPr>
            <w:tcW w:w="0" w:type="auto"/>
            <w:hideMark/>
          </w:tcPr>
          <w:p w14:paraId="0483F2C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97</w:t>
            </w:r>
          </w:p>
        </w:tc>
        <w:tc>
          <w:tcPr>
            <w:tcW w:w="0" w:type="auto"/>
            <w:hideMark/>
          </w:tcPr>
          <w:p w14:paraId="5504DC89"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157,671.35</w:t>
            </w:r>
          </w:p>
        </w:tc>
        <w:tc>
          <w:tcPr>
            <w:tcW w:w="0" w:type="auto"/>
            <w:hideMark/>
          </w:tcPr>
          <w:p w14:paraId="368D485D"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113,324.37</w:t>
            </w:r>
          </w:p>
        </w:tc>
        <w:tc>
          <w:tcPr>
            <w:tcW w:w="0" w:type="auto"/>
            <w:hideMark/>
          </w:tcPr>
          <w:p w14:paraId="651DF465"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54.78</w:t>
            </w:r>
          </w:p>
        </w:tc>
        <w:tc>
          <w:tcPr>
            <w:tcW w:w="0" w:type="auto"/>
            <w:hideMark/>
          </w:tcPr>
          <w:p w14:paraId="4935B403" w14:textId="77777777" w:rsidR="007D3B7A" w:rsidRPr="007D3B7A" w:rsidRDefault="007D3B7A" w:rsidP="007D3B7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0.7128</w:t>
            </w:r>
          </w:p>
        </w:tc>
      </w:tr>
      <w:tr w:rsidR="007D3B7A" w:rsidRPr="007D3B7A" w14:paraId="3DD8DD64" w14:textId="77777777" w:rsidTr="001910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6F8B3A"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D. C + Size × Age</w:t>
            </w:r>
          </w:p>
        </w:tc>
        <w:tc>
          <w:tcPr>
            <w:tcW w:w="0" w:type="auto"/>
            <w:hideMark/>
          </w:tcPr>
          <w:p w14:paraId="333D12FA"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98</w:t>
            </w:r>
          </w:p>
        </w:tc>
        <w:tc>
          <w:tcPr>
            <w:tcW w:w="0" w:type="auto"/>
            <w:hideMark/>
          </w:tcPr>
          <w:p w14:paraId="490DD1AB"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157,254.53</w:t>
            </w:r>
          </w:p>
        </w:tc>
        <w:tc>
          <w:tcPr>
            <w:tcW w:w="0" w:type="auto"/>
            <w:hideMark/>
          </w:tcPr>
          <w:p w14:paraId="32316696"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113,051.20</w:t>
            </w:r>
          </w:p>
        </w:tc>
        <w:tc>
          <w:tcPr>
            <w:tcW w:w="0" w:type="auto"/>
            <w:hideMark/>
          </w:tcPr>
          <w:p w14:paraId="2C395DB0"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54.14</w:t>
            </w:r>
          </w:p>
        </w:tc>
        <w:tc>
          <w:tcPr>
            <w:tcW w:w="0" w:type="auto"/>
            <w:hideMark/>
          </w:tcPr>
          <w:p w14:paraId="2FCBF092" w14:textId="77777777" w:rsidR="007D3B7A" w:rsidRPr="007D3B7A" w:rsidRDefault="007D3B7A" w:rsidP="007D3B7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b/>
                <w:bCs/>
                <w:color w:val="000000" w:themeColor="text1"/>
              </w:rPr>
              <w:t>0.7162</w:t>
            </w:r>
          </w:p>
        </w:tc>
      </w:tr>
    </w:tbl>
    <w:p w14:paraId="683E77A3" w14:textId="77777777" w:rsidR="0019104F" w:rsidRDefault="0019104F" w:rsidP="0019104F">
      <w:pPr>
        <w:rPr>
          <w:rFonts w:eastAsiaTheme="minorEastAsia"/>
          <w:color w:val="000000" w:themeColor="text1"/>
        </w:rPr>
      </w:pPr>
      <w:r w:rsidRPr="0019104F">
        <w:rPr>
          <w:rFonts w:eastAsiaTheme="minorEastAsia"/>
          <w:color w:val="000000" w:themeColor="text1"/>
        </w:rPr>
        <w:t xml:space="preserve">As shown in Table 2, location predictors performed better than property characteristics when used separately. Combining </w:t>
      </w:r>
      <w:proofErr w:type="gramStart"/>
      <w:r w:rsidRPr="0019104F">
        <w:rPr>
          <w:rFonts w:eastAsiaTheme="minorEastAsia"/>
          <w:color w:val="000000" w:themeColor="text1"/>
        </w:rPr>
        <w:t>them</w:t>
      </w:r>
      <w:proofErr w:type="gramEnd"/>
      <w:r w:rsidRPr="0019104F">
        <w:rPr>
          <w:rFonts w:eastAsiaTheme="minorEastAsia"/>
          <w:color w:val="000000" w:themeColor="text1"/>
        </w:rPr>
        <w:t xml:space="preserve"> reduced WAE (2:1) by 18.1% relative to A and 36.1% relative to B, supporting their complementary predictive value. The Size × Age interaction further reduced WAE by only 0.26%. Set D therefore offered a modest improvement, rather than evidence that interactions generally produce substantial gains.</w:t>
      </w:r>
    </w:p>
    <w:p w14:paraId="5B861591" w14:textId="77777777" w:rsidR="0019104F" w:rsidRPr="0019104F" w:rsidRDefault="0019104F" w:rsidP="0019104F">
      <w:pPr>
        <w:rPr>
          <w:rFonts w:eastAsiaTheme="minorEastAsia"/>
          <w:color w:val="000000" w:themeColor="text1"/>
        </w:rPr>
      </w:pPr>
    </w:p>
    <w:p w14:paraId="3D373B38" w14:textId="0AE79668" w:rsidR="005B01F9" w:rsidRPr="0019104F" w:rsidRDefault="0019104F" w:rsidP="0019104F">
      <w:pPr>
        <w:rPr>
          <w:rFonts w:eastAsiaTheme="minorEastAsia" w:hint="eastAsia"/>
          <w:color w:val="000000" w:themeColor="text1"/>
        </w:rPr>
      </w:pPr>
      <w:r w:rsidRPr="0019104F">
        <w:rPr>
          <w:rFonts w:eastAsiaTheme="minorEastAsia"/>
          <w:color w:val="000000" w:themeColor="text1"/>
        </w:rPr>
        <w:t xml:space="preserve">Additional experiments tested whether other business-motivated interactions were more useful. Building size may have different price relationships across property classes or townships; land area may also be valued differently across locations, while basement-related price effects may depend on flood exposure. A common time-aware feature base (E0) was used for these experiments. To make the incremental comparisons clearer, Table 3 holds Ridge </w:t>
      </w:r>
      <w:proofErr w:type="spellStart"/>
      <w:r w:rsidRPr="0019104F">
        <w:rPr>
          <w:rFonts w:eastAsiaTheme="minorEastAsia"/>
          <w:color w:val="000000" w:themeColor="text1"/>
        </w:rPr>
        <w:t>regularisation</w:t>
      </w:r>
      <w:proofErr w:type="spellEnd"/>
      <w:r w:rsidRPr="0019104F">
        <w:rPr>
          <w:rFonts w:eastAsiaTheme="minorEastAsia"/>
          <w:color w:val="000000" w:themeColor="text1"/>
        </w:rPr>
        <w:t xml:space="preserve"> at α = 8 and changes the interaction specifications.</w:t>
      </w:r>
    </w:p>
    <w:p w14:paraId="33ABC7A8" w14:textId="77777777" w:rsidR="0019104F" w:rsidRPr="0019104F" w:rsidRDefault="0019104F" w:rsidP="0019104F">
      <w:pPr>
        <w:rPr>
          <w:rFonts w:eastAsiaTheme="minorEastAsia"/>
          <w:color w:val="000000" w:themeColor="text1"/>
        </w:rPr>
      </w:pPr>
      <w:r w:rsidRPr="0019104F">
        <w:rPr>
          <w:rFonts w:eastAsiaTheme="minorEastAsia"/>
          <w:b/>
          <w:bCs/>
          <w:color w:val="000000" w:themeColor="text1"/>
        </w:rPr>
        <w:t>Table 3. Additional interaction experiments on the 2024 H2 validation set, Ridge α = 8</w:t>
      </w:r>
    </w:p>
    <w:tbl>
      <w:tblPr>
        <w:tblStyle w:val="PlainTable1"/>
        <w:tblW w:w="0" w:type="auto"/>
        <w:jc w:val="center"/>
        <w:tblLook w:val="04A0" w:firstRow="1" w:lastRow="0" w:firstColumn="1" w:lastColumn="0" w:noHBand="0" w:noVBand="1"/>
      </w:tblPr>
      <w:tblGrid>
        <w:gridCol w:w="3245"/>
        <w:gridCol w:w="1378"/>
        <w:gridCol w:w="1206"/>
        <w:gridCol w:w="821"/>
      </w:tblGrid>
      <w:tr w:rsidR="005B01F9" w:rsidRPr="005B01F9" w14:paraId="06803B7F" w14:textId="77777777" w:rsidTr="005B01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0F1AD" w14:textId="04BC4F2C" w:rsidR="005B01F9" w:rsidRPr="005B01F9" w:rsidRDefault="00D60F3D" w:rsidP="005B01F9">
            <w:pPr>
              <w:rPr>
                <w:rFonts w:eastAsiaTheme="minorEastAsia"/>
                <w:color w:val="000000" w:themeColor="text1"/>
              </w:rPr>
            </w:pPr>
            <w:r>
              <w:rPr>
                <w:rFonts w:eastAsiaTheme="minorEastAsia" w:hint="eastAsia"/>
                <w:color w:val="000000" w:themeColor="text1"/>
              </w:rPr>
              <w:t>F</w:t>
            </w:r>
            <w:r w:rsidR="005B01F9" w:rsidRPr="005B01F9">
              <w:rPr>
                <w:rFonts w:eastAsiaTheme="minorEastAsia"/>
                <w:color w:val="000000" w:themeColor="text1"/>
              </w:rPr>
              <w:t>eature Set</w:t>
            </w:r>
          </w:p>
        </w:tc>
        <w:tc>
          <w:tcPr>
            <w:tcW w:w="0" w:type="auto"/>
            <w:hideMark/>
          </w:tcPr>
          <w:p w14:paraId="719458B4"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WAE 2:1 ($)</w:t>
            </w:r>
          </w:p>
        </w:tc>
        <w:tc>
          <w:tcPr>
            <w:tcW w:w="0" w:type="auto"/>
            <w:hideMark/>
          </w:tcPr>
          <w:p w14:paraId="631BEFF1"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MAE ($)</w:t>
            </w:r>
          </w:p>
        </w:tc>
        <w:tc>
          <w:tcPr>
            <w:tcW w:w="0" w:type="auto"/>
            <w:hideMark/>
          </w:tcPr>
          <w:p w14:paraId="41D0E8D0"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R²</w:t>
            </w:r>
          </w:p>
        </w:tc>
      </w:tr>
      <w:tr w:rsidR="005B01F9" w:rsidRPr="005B01F9" w14:paraId="484256AD"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773901"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E0. Time-Aware Base</w:t>
            </w:r>
          </w:p>
        </w:tc>
        <w:tc>
          <w:tcPr>
            <w:tcW w:w="0" w:type="auto"/>
            <w:hideMark/>
          </w:tcPr>
          <w:p w14:paraId="78D281E0"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169,543.55</w:t>
            </w:r>
          </w:p>
        </w:tc>
        <w:tc>
          <w:tcPr>
            <w:tcW w:w="0" w:type="auto"/>
            <w:hideMark/>
          </w:tcPr>
          <w:p w14:paraId="3ECD562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110,006.18</w:t>
            </w:r>
          </w:p>
        </w:tc>
        <w:tc>
          <w:tcPr>
            <w:tcW w:w="0" w:type="auto"/>
            <w:hideMark/>
          </w:tcPr>
          <w:p w14:paraId="666EEB36"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0.7253</w:t>
            </w:r>
          </w:p>
        </w:tc>
      </w:tr>
      <w:tr w:rsidR="005B01F9" w:rsidRPr="005B01F9" w14:paraId="53840EB4"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03FF71"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E1. E0 + Size × Age</w:t>
            </w:r>
          </w:p>
        </w:tc>
        <w:tc>
          <w:tcPr>
            <w:tcW w:w="0" w:type="auto"/>
            <w:hideMark/>
          </w:tcPr>
          <w:p w14:paraId="186B6EAA"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168,916.06</w:t>
            </w:r>
          </w:p>
        </w:tc>
        <w:tc>
          <w:tcPr>
            <w:tcW w:w="0" w:type="auto"/>
            <w:hideMark/>
          </w:tcPr>
          <w:p w14:paraId="6C8136B6"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109,585.08</w:t>
            </w:r>
          </w:p>
        </w:tc>
        <w:tc>
          <w:tcPr>
            <w:tcW w:w="0" w:type="auto"/>
            <w:hideMark/>
          </w:tcPr>
          <w:p w14:paraId="341CE4D8"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0.7291</w:t>
            </w:r>
          </w:p>
        </w:tc>
      </w:tr>
      <w:tr w:rsidR="005B01F9" w:rsidRPr="005B01F9" w14:paraId="211FBB26"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35003C"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E2. E0 + Size × Class</w:t>
            </w:r>
          </w:p>
        </w:tc>
        <w:tc>
          <w:tcPr>
            <w:tcW w:w="0" w:type="auto"/>
            <w:hideMark/>
          </w:tcPr>
          <w:p w14:paraId="6856C666"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166,941.23</w:t>
            </w:r>
          </w:p>
        </w:tc>
        <w:tc>
          <w:tcPr>
            <w:tcW w:w="0" w:type="auto"/>
            <w:hideMark/>
          </w:tcPr>
          <w:p w14:paraId="640637A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108,225.10</w:t>
            </w:r>
          </w:p>
        </w:tc>
        <w:tc>
          <w:tcPr>
            <w:tcW w:w="0" w:type="auto"/>
            <w:hideMark/>
          </w:tcPr>
          <w:p w14:paraId="5D911000"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0.7432</w:t>
            </w:r>
          </w:p>
        </w:tc>
      </w:tr>
      <w:tr w:rsidR="005B01F9" w:rsidRPr="005B01F9" w14:paraId="23CE7470"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B70E7"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E3. E0 + Size × Township</w:t>
            </w:r>
          </w:p>
        </w:tc>
        <w:tc>
          <w:tcPr>
            <w:tcW w:w="0" w:type="auto"/>
            <w:hideMark/>
          </w:tcPr>
          <w:p w14:paraId="24072E6D"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165,565.50</w:t>
            </w:r>
          </w:p>
        </w:tc>
        <w:tc>
          <w:tcPr>
            <w:tcW w:w="0" w:type="auto"/>
            <w:hideMark/>
          </w:tcPr>
          <w:p w14:paraId="428CE3A3"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106,665.31</w:t>
            </w:r>
          </w:p>
        </w:tc>
        <w:tc>
          <w:tcPr>
            <w:tcW w:w="0" w:type="auto"/>
            <w:hideMark/>
          </w:tcPr>
          <w:p w14:paraId="3205CE77"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0.7523</w:t>
            </w:r>
          </w:p>
        </w:tc>
      </w:tr>
      <w:tr w:rsidR="005B01F9" w:rsidRPr="005B01F9" w14:paraId="68DA192E"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55B1EC"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E4. E0 + Log Land × Township</w:t>
            </w:r>
          </w:p>
        </w:tc>
        <w:tc>
          <w:tcPr>
            <w:tcW w:w="0" w:type="auto"/>
            <w:hideMark/>
          </w:tcPr>
          <w:p w14:paraId="6C977E4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166,777.17</w:t>
            </w:r>
          </w:p>
        </w:tc>
        <w:tc>
          <w:tcPr>
            <w:tcW w:w="0" w:type="auto"/>
            <w:hideMark/>
          </w:tcPr>
          <w:p w14:paraId="0AD457F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107,831.71</w:t>
            </w:r>
          </w:p>
        </w:tc>
        <w:tc>
          <w:tcPr>
            <w:tcW w:w="0" w:type="auto"/>
            <w:hideMark/>
          </w:tcPr>
          <w:p w14:paraId="0F3E6CA1"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0.7454</w:t>
            </w:r>
          </w:p>
        </w:tc>
      </w:tr>
      <w:tr w:rsidR="005B01F9" w:rsidRPr="005B01F9" w14:paraId="6CFA462A" w14:textId="77777777" w:rsidTr="005B01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04D880"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E5. E0 + Basement × Flood</w:t>
            </w:r>
          </w:p>
        </w:tc>
        <w:tc>
          <w:tcPr>
            <w:tcW w:w="0" w:type="auto"/>
            <w:hideMark/>
          </w:tcPr>
          <w:p w14:paraId="5EF2515C"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169,567.06</w:t>
            </w:r>
          </w:p>
        </w:tc>
        <w:tc>
          <w:tcPr>
            <w:tcW w:w="0" w:type="auto"/>
            <w:hideMark/>
          </w:tcPr>
          <w:p w14:paraId="11280C5E"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110,015.95</w:t>
            </w:r>
          </w:p>
        </w:tc>
        <w:tc>
          <w:tcPr>
            <w:tcW w:w="0" w:type="auto"/>
            <w:hideMark/>
          </w:tcPr>
          <w:p w14:paraId="486F32BD" w14:textId="77777777" w:rsidR="005B01F9" w:rsidRPr="005B01F9" w:rsidRDefault="005B01F9" w:rsidP="005B01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0.7253</w:t>
            </w:r>
          </w:p>
        </w:tc>
      </w:tr>
      <w:tr w:rsidR="005B01F9" w:rsidRPr="005B01F9" w14:paraId="3C8F0FE7" w14:textId="77777777" w:rsidTr="005B01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29A5D" w14:textId="77777777" w:rsidR="005B01F9" w:rsidRPr="005B01F9" w:rsidRDefault="005B01F9" w:rsidP="005B01F9">
            <w:pPr>
              <w:rPr>
                <w:rFonts w:eastAsiaTheme="minorEastAsia"/>
                <w:color w:val="000000" w:themeColor="text1"/>
              </w:rPr>
            </w:pPr>
            <w:r w:rsidRPr="005B01F9">
              <w:rPr>
                <w:rFonts w:eastAsiaTheme="minorEastAsia"/>
                <w:color w:val="000000" w:themeColor="text1"/>
              </w:rPr>
              <w:t>E6. E0 + Combined Interactions</w:t>
            </w:r>
          </w:p>
        </w:tc>
        <w:tc>
          <w:tcPr>
            <w:tcW w:w="0" w:type="auto"/>
            <w:hideMark/>
          </w:tcPr>
          <w:p w14:paraId="59C8CB35"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161,830.96</w:t>
            </w:r>
          </w:p>
        </w:tc>
        <w:tc>
          <w:tcPr>
            <w:tcW w:w="0" w:type="auto"/>
            <w:hideMark/>
          </w:tcPr>
          <w:p w14:paraId="07289FE7"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104,070.87</w:t>
            </w:r>
          </w:p>
        </w:tc>
        <w:tc>
          <w:tcPr>
            <w:tcW w:w="0" w:type="auto"/>
            <w:hideMark/>
          </w:tcPr>
          <w:p w14:paraId="3C8B06C2" w14:textId="77777777" w:rsidR="005B01F9" w:rsidRPr="005B01F9" w:rsidRDefault="005B01F9" w:rsidP="005B01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5B01F9">
              <w:rPr>
                <w:rFonts w:eastAsiaTheme="minorEastAsia"/>
                <w:b/>
                <w:bCs/>
                <w:color w:val="000000" w:themeColor="text1"/>
              </w:rPr>
              <w:t>0.7789</w:t>
            </w:r>
          </w:p>
        </w:tc>
      </w:tr>
    </w:tbl>
    <w:p w14:paraId="16C18404" w14:textId="77777777" w:rsidR="00561826" w:rsidRDefault="00561826" w:rsidP="00561826">
      <w:pPr>
        <w:rPr>
          <w:rFonts w:eastAsiaTheme="minorEastAsia"/>
          <w:color w:val="000000" w:themeColor="text1"/>
        </w:rPr>
      </w:pPr>
      <w:r w:rsidRPr="00561826">
        <w:rPr>
          <w:rFonts w:eastAsiaTheme="minorEastAsia"/>
          <w:color w:val="000000" w:themeColor="text1"/>
        </w:rPr>
        <w:t>Table 3 shows that interaction value depended on the variables involved. Size × Township reduced WAE (2:1) relative to E0, whereas Basement × Flood provided no improvement. Combining the selected interactions in E6 reduced WAE by approximately 4.5% relative to E0 and substantially improved MAE and R². Thus, the evidence supported selective interaction engineering rather than indiscriminately adding complexity.</w:t>
      </w:r>
    </w:p>
    <w:p w14:paraId="47E83C93" w14:textId="77777777" w:rsidR="00561826" w:rsidRPr="00561826" w:rsidRDefault="00561826" w:rsidP="00561826">
      <w:pPr>
        <w:rPr>
          <w:rFonts w:eastAsiaTheme="minorEastAsia"/>
          <w:color w:val="000000" w:themeColor="text1"/>
        </w:rPr>
      </w:pPr>
    </w:p>
    <w:p w14:paraId="18F2474D" w14:textId="77777777" w:rsidR="00561826" w:rsidRDefault="00561826" w:rsidP="00561826">
      <w:pPr>
        <w:rPr>
          <w:rFonts w:eastAsiaTheme="minorEastAsia"/>
          <w:color w:val="000000" w:themeColor="text1"/>
        </w:rPr>
      </w:pPr>
      <w:r w:rsidRPr="00561826">
        <w:rPr>
          <w:rFonts w:eastAsiaTheme="minorEastAsia"/>
          <w:color w:val="000000" w:themeColor="text1"/>
        </w:rPr>
        <w:t>However, stronger conventional metrics did not guarantee better performance under the main business objective. Even after tuning, E6 with Ridge (α = 5) achieved WAE (2:1) of $161,807.35, whereas the simpler D feature set with Lasso (α = 20) achieved $152,566.39. The latter was therefore the preferred candidate among the evaluated linear-family configurations under the pre-specified criterion.</w:t>
      </w:r>
    </w:p>
    <w:p w14:paraId="51E4D408" w14:textId="77777777" w:rsidR="00561826" w:rsidRPr="00561826" w:rsidRDefault="00561826" w:rsidP="00561826">
      <w:pPr>
        <w:rPr>
          <w:rFonts w:eastAsiaTheme="minorEastAsia"/>
          <w:color w:val="000000" w:themeColor="text1"/>
        </w:rPr>
      </w:pPr>
    </w:p>
    <w:p w14:paraId="6D0CABB6" w14:textId="52A71192" w:rsidR="007D3B7A" w:rsidRPr="00561826" w:rsidRDefault="00561826" w:rsidP="007D3B7A">
      <w:pPr>
        <w:rPr>
          <w:rFonts w:eastAsiaTheme="minorEastAsia" w:hint="eastAsia"/>
          <w:color w:val="000000" w:themeColor="text1"/>
        </w:rPr>
      </w:pPr>
      <w:r w:rsidRPr="00561826">
        <w:rPr>
          <w:rFonts w:eastAsiaTheme="minorEastAsia"/>
          <w:color w:val="000000" w:themeColor="text1"/>
        </w:rPr>
        <w:t xml:space="preserve">This final comparison concerns complete model configurations, not the isolated effect of interactions, because the feature bases and estimators differ. The results also reflect one validation period and do not establish that the same ranking will hold for future periods or unsold homes. Nevertheless, the experiments provide a clear basis for retaining both location and property information, testing interactions selectively, and </w:t>
      </w:r>
      <w:proofErr w:type="spellStart"/>
      <w:r w:rsidRPr="00561826">
        <w:rPr>
          <w:rFonts w:eastAsiaTheme="minorEastAsia"/>
          <w:color w:val="000000" w:themeColor="text1"/>
        </w:rPr>
        <w:t>prioritising</w:t>
      </w:r>
      <w:proofErr w:type="spellEnd"/>
      <w:r w:rsidRPr="00561826">
        <w:rPr>
          <w:rFonts w:eastAsiaTheme="minorEastAsia"/>
          <w:color w:val="000000" w:themeColor="text1"/>
        </w:rPr>
        <w:t xml:space="preserve"> business-weighted validation performance over feature complexity alone.</w:t>
      </w:r>
    </w:p>
    <w:p w14:paraId="561BE283" w14:textId="77777777" w:rsidR="003807C1" w:rsidRDefault="00000000">
      <w:pPr>
        <w:ind w:left="10"/>
      </w:pPr>
      <w:r>
        <w:rPr>
          <w:b/>
        </w:rPr>
        <w:t xml:space="preserve">3e. </w:t>
      </w:r>
      <w:r>
        <w:t>How did you tune the models and control complexity?</w:t>
      </w: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Heading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lastRenderedPageBreak/>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w:t>
      </w:r>
      <w:proofErr w:type="spellStart"/>
      <w:r>
        <w:rPr>
          <w:rFonts w:eastAsiaTheme="minorEastAsia" w:hint="eastAsia"/>
          <w:color w:val="EE0000"/>
        </w:rPr>
        <w:t>prioritised</w:t>
      </w:r>
      <w:proofErr w:type="spellEnd"/>
      <w:r>
        <w:rPr>
          <w:rFonts w:eastAsiaTheme="minorEastAsia" w:hint="eastAsia"/>
          <w:color w:val="EE0000"/>
        </w:rPr>
        <w:t xml:space="preserve">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xml:space="preserve">, placing greater emphasis on this risk while still </w:t>
      </w:r>
      <w:proofErr w:type="spellStart"/>
      <w:r>
        <w:rPr>
          <w:rFonts w:eastAsiaTheme="minorEastAsia" w:hint="eastAsia"/>
          <w:color w:val="EE0000"/>
        </w:rPr>
        <w:t>penalising</w:t>
      </w:r>
      <w:proofErr w:type="spellEnd"/>
      <w:r>
        <w:rPr>
          <w:rFonts w:eastAsiaTheme="minorEastAsia" w:hint="eastAsia"/>
          <w:color w:val="EE0000"/>
        </w:rPr>
        <w:t xml:space="preserve">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 xml:space="preserve">These findings establish performance relative to the specified mean-price baseline, not superiority over every possible baseline or professional valuation. They also do not demonstrate that the selected model is optimal under </w:t>
      </w:r>
      <w:proofErr w:type="gramStart"/>
      <w:r>
        <w:rPr>
          <w:rFonts w:eastAsiaTheme="minorEastAsia" w:hint="eastAsia"/>
          <w:color w:val="EE0000"/>
        </w:rPr>
        <w:t>each</w:t>
      </w:r>
      <w:proofErr w:type="gramEnd"/>
      <w:r>
        <w:rPr>
          <w:rFonts w:eastAsiaTheme="minorEastAsia" w:hint="eastAsia"/>
          <w:color w:val="EE0000"/>
        </w:rPr>
        <w:t xml:space="preserve">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 xml:space="preserve">For Question 4c, the following </w:t>
      </w:r>
      <w:proofErr w:type="gramStart"/>
      <w:r>
        <w:t>error weights</w:t>
      </w:r>
      <w:proofErr w:type="gramEnd"/>
      <w:r>
        <w:t xml:space="preserve">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Heading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36C7B574" w14:textId="77777777" w:rsidR="003807C1" w:rsidRDefault="00000000">
      <w:pPr>
        <w:rPr>
          <w:rFonts w:eastAsiaTheme="minorEastAsia"/>
        </w:rPr>
      </w:pPr>
      <w:r>
        <w:rPr>
          <w:rFonts w:eastAsiaTheme="minorEastAsia"/>
        </w:rPr>
        <w:t>After deployment, prediction accuracy should be monitored using properties with subsequently observed sale prices. MSE, R² and MAE should be reviewed periodically, together with signed errors to detect systematic overvaluation or undervaluation.</w:t>
      </w:r>
    </w:p>
    <w:p w14:paraId="2688F244" w14:textId="77777777" w:rsidR="003807C1" w:rsidRDefault="00000000">
      <w:pPr>
        <w:rPr>
          <w:rFonts w:eastAsiaTheme="minorEastAsia"/>
        </w:rPr>
      </w:pPr>
      <w:r>
        <w:rPr>
          <w:rFonts w:eastAsiaTheme="minorEastAsia"/>
        </w:rPr>
        <w:t>Performance should also be examined across valuation periods, townships and price ranges, with transaction counts reported to avoid overinterpreting small samples. Changes in property characteristics and missing-value patterns should be monitored to identify potential data drift.</w:t>
      </w:r>
    </w:p>
    <w:p w14:paraId="6EC2ED59" w14:textId="77777777" w:rsidR="003807C1" w:rsidRDefault="00000000">
      <w:pPr>
        <w:rPr>
          <w:rFonts w:eastAsiaTheme="minorEastAsia"/>
        </w:rPr>
      </w:pPr>
      <w:r>
        <w:rPr>
          <w:rFonts w:eastAsiaTheme="minorEastAsia"/>
        </w:rPr>
        <w:t xml:space="preserve">Where material deterioration or persistent subgroup bias is detected, predictions should receive additional analyst </w:t>
      </w:r>
      <w:proofErr w:type="gramStart"/>
      <w:r>
        <w:rPr>
          <w:rFonts w:eastAsiaTheme="minorEastAsia"/>
        </w:rPr>
        <w:t>review</w:t>
      </w:r>
      <w:proofErr w:type="gramEnd"/>
      <w:r>
        <w:rPr>
          <w:rFonts w:eastAsiaTheme="minorEastAsia"/>
        </w:rPr>
        <w:t xml:space="preserve"> and the model should be investigated for recalibration or retraining. Because sale prices become observable only after transactions occur, monitoring should also include data-quality checks before outcome-based accuracy can be assessed.</w:t>
      </w:r>
    </w:p>
    <w:p w14:paraId="47185695" w14:textId="77777777" w:rsidR="003807C1" w:rsidRDefault="003807C1">
      <w:pPr>
        <w:rPr>
          <w:rFonts w:eastAsiaTheme="minorEastAsia"/>
        </w:rPr>
      </w:pPr>
    </w:p>
    <w:p w14:paraId="0BBE77A9" w14:textId="77777777" w:rsidR="003807C1"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Heading1"/>
        <w:ind w:left="477" w:right="0" w:hanging="484"/>
      </w:pPr>
      <w:r>
        <w:lastRenderedPageBreak/>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73B45AA4" w14:textId="77777777" w:rsidR="003807C1" w:rsidRDefault="00000000">
      <w:pPr>
        <w:ind w:left="10"/>
        <w:rPr>
          <w:rFonts w:eastAsiaTheme="minorEastAsia"/>
          <w:color w:val="EE0000"/>
        </w:rPr>
      </w:pPr>
      <w:r>
        <w:rPr>
          <w:rFonts w:eastAsiaTheme="minorEastAsia"/>
          <w:color w:val="EE0000"/>
        </w:rPr>
        <w:t>An initial concern was whether repeated property sales could compromise chronological validation. AI assistance suggested checking which validation properties had appeared in training. However, the initial index-based check returned zero overlapping properties, raising doubts about the result.</w:t>
      </w:r>
    </w:p>
    <w:p w14:paraId="6906440E" w14:textId="77777777" w:rsidR="003807C1" w:rsidRDefault="00000000">
      <w:pPr>
        <w:ind w:left="10"/>
        <w:rPr>
          <w:rFonts w:eastAsiaTheme="minorEastAsia"/>
          <w:color w:val="EE0000"/>
        </w:rPr>
      </w:pPr>
      <w:r>
        <w:rPr>
          <w:rFonts w:eastAsiaTheme="minorEastAsia"/>
          <w:color w:val="EE0000"/>
        </w:rPr>
        <w:t xml:space="preserve">The notebook was then </w:t>
      </w:r>
      <w:proofErr w:type="gramStart"/>
      <w:r>
        <w:rPr>
          <w:rFonts w:eastAsiaTheme="minorEastAsia"/>
          <w:color w:val="EE0000"/>
        </w:rPr>
        <w:t>examined</w:t>
      </w:r>
      <w:proofErr w:type="gramEnd"/>
      <w:r>
        <w:rPr>
          <w:rFonts w:eastAsiaTheme="minorEastAsia"/>
          <w:color w:val="EE0000"/>
        </w:rPr>
        <w:t xml:space="preserve"> and the overlap was recalculated directly from the original </w:t>
      </w:r>
      <w:proofErr w:type="spellStart"/>
      <w:r>
        <w:rPr>
          <w:rFonts w:eastAsiaTheme="minorEastAsia"/>
          <w:color w:val="EE0000"/>
        </w:rPr>
        <w:t>property_id</w:t>
      </w:r>
      <w:proofErr w:type="spellEnd"/>
      <w:r>
        <w:rPr>
          <w:rFonts w:eastAsiaTheme="minorEastAsia"/>
          <w:color w:val="EE0000"/>
        </w:rPr>
        <w:t xml:space="preserve"> values in sales.csv. This revealed that </w:t>
      </w:r>
      <w:proofErr w:type="spellStart"/>
      <w:proofErr w:type="gramStart"/>
      <w:r>
        <w:rPr>
          <w:rFonts w:eastAsiaTheme="minorEastAsia"/>
          <w:color w:val="EE0000"/>
        </w:rPr>
        <w:t>pd.concat</w:t>
      </w:r>
      <w:proofErr w:type="spellEnd"/>
      <w:proofErr w:type="gramEnd"/>
      <w:r>
        <w:rPr>
          <w:rFonts w:eastAsiaTheme="minorEastAsia"/>
          <w:color w:val="EE0000"/>
        </w:rPr>
        <w:t xml:space="preserve">(..., </w:t>
      </w:r>
      <w:proofErr w:type="spellStart"/>
      <w:r>
        <w:rPr>
          <w:rFonts w:eastAsiaTheme="minorEastAsia"/>
          <w:color w:val="EE0000"/>
        </w:rPr>
        <w:t>ignore_index</w:t>
      </w:r>
      <w:proofErr w:type="spellEnd"/>
      <w:r>
        <w:rPr>
          <w:rFonts w:eastAsiaTheme="minorEastAsia"/>
          <w:color w:val="EE0000"/>
        </w:rPr>
        <w:t>=True) had replaced property identifiers in the index with row numbers. The corrected calculation identified 1,677 seen validation transactions (9.25%), representing 1,666 distinct properties.</w:t>
      </w:r>
    </w:p>
    <w:p w14:paraId="306DBE4E" w14:textId="77777777" w:rsidR="003807C1" w:rsidRDefault="00000000">
      <w:pPr>
        <w:ind w:left="10"/>
        <w:rPr>
          <w:rFonts w:eastAsiaTheme="minorEastAsia"/>
          <w:color w:val="EE0000"/>
        </w:rPr>
      </w:pPr>
      <w:r>
        <w:rPr>
          <w:rFonts w:eastAsiaTheme="minorEastAsia"/>
          <w:color w:val="EE0000"/>
        </w:rPr>
        <w:t>This experience demonstrated that AI-generated code can appear reasonable while relying on an incorrect assumption about data structure. The corrected calculation was adopted, but the interpretation remained cautious: property overlap does not automatically constitute data leakage. Chronological separation and feature availability must still be respected.</w:t>
      </w:r>
    </w:p>
    <w:p w14:paraId="7D2A7B6B" w14:textId="77777777" w:rsidR="003807C1" w:rsidRDefault="003807C1">
      <w:pPr>
        <w:ind w:left="10"/>
        <w:rPr>
          <w:rFonts w:eastAsiaTheme="minorEastAsia"/>
        </w:rPr>
      </w:pP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17E065C9" w14:textId="77777777" w:rsidR="003807C1" w:rsidRDefault="00000000">
      <w:pPr>
        <w:numPr>
          <w:ilvl w:val="0"/>
          <w:numId w:val="4"/>
        </w:numPr>
        <w:spacing w:after="233"/>
        <w:ind w:hanging="279"/>
      </w:pPr>
      <w:r>
        <w:t xml:space="preserve">How did you check the advice, and what did the check show? Refer to your code, </w:t>
      </w:r>
      <w:proofErr w:type="spellStart"/>
      <w:proofErr w:type="gramStart"/>
      <w:r>
        <w:t>resultsor</w:t>
      </w:r>
      <w:proofErr w:type="spellEnd"/>
      <w:proofErr w:type="gramEnd"/>
      <w:r>
        <w:t xml:space="preserve">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 xml:space="preserve">Use at most 180 words per case and two appendix pages in total. Do not </w:t>
      </w:r>
      <w:proofErr w:type="gramStart"/>
      <w:r>
        <w:t>paste</w:t>
      </w:r>
      <w:proofErr w:type="gramEnd"/>
      <w:r>
        <w:t xml:space="preserve"> full conversations. Add a short declaration of other AI assistance.</w:t>
      </w:r>
    </w:p>
    <w:p w14:paraId="686BDFE1" w14:textId="77777777" w:rsidR="003807C1" w:rsidRDefault="00000000">
      <w:pPr>
        <w:pStyle w:val="Heading1"/>
        <w:spacing w:after="169"/>
        <w:ind w:left="477" w:right="0" w:hanging="484"/>
      </w:pPr>
      <w:r>
        <w:t>Formatting and submission</w:t>
      </w:r>
    </w:p>
    <w:p w14:paraId="0D78BB65" w14:textId="77777777" w:rsidR="003807C1" w:rsidRDefault="00000000">
      <w:pPr>
        <w:numPr>
          <w:ilvl w:val="0"/>
          <w:numId w:val="5"/>
        </w:numPr>
        <w:spacing w:after="210"/>
        <w:ind w:hanging="279"/>
      </w:pPr>
      <w:r>
        <w:rPr>
          <w:lang w:val="fr-FR"/>
        </w:rPr>
        <w:t xml:space="preserve">Page </w:t>
      </w:r>
      <w:proofErr w:type="spellStart"/>
      <w:proofErr w:type="gramStart"/>
      <w:r>
        <w:rPr>
          <w:lang w:val="fr-FR"/>
        </w:rPr>
        <w:t>limit</w:t>
      </w:r>
      <w:proofErr w:type="spellEnd"/>
      <w:r>
        <w:rPr>
          <w:lang w:val="fr-FR"/>
        </w:rPr>
        <w:t>:</w:t>
      </w:r>
      <w:proofErr w:type="gramEnd"/>
      <w:r>
        <w:rPr>
          <w:lang w:val="fr-FR"/>
        </w:rPr>
        <w:t xml:space="preserve"> 18 pages, </w:t>
      </w:r>
      <w:proofErr w:type="spellStart"/>
      <w:r>
        <w:rPr>
          <w:lang w:val="fr-FR"/>
        </w:rPr>
        <w:t>excluding</w:t>
      </w:r>
      <w:proofErr w:type="spellEnd"/>
      <w:r>
        <w:rPr>
          <w:lang w:val="fr-FR"/>
        </w:rPr>
        <w:t xml:space="preserve">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Heading1"/>
        <w:ind w:left="477" w:right="0" w:hanging="484"/>
      </w:pPr>
      <w:r>
        <w:t>Assessment and reproducibility</w:t>
      </w:r>
    </w:p>
    <w:p w14:paraId="257EEAEA" w14:textId="77777777" w:rsidR="003807C1" w:rsidRDefault="00000000">
      <w:pPr>
        <w:spacing w:after="114"/>
        <w:ind w:left="10"/>
      </w:pPr>
      <w:r>
        <w:t xml:space="preserve">The accompanying rubric gives </w:t>
      </w:r>
      <w:proofErr w:type="gramStart"/>
      <w:r>
        <w:t>the marks</w:t>
      </w:r>
      <w:proofErr w:type="gramEnd"/>
      <w:r>
        <w:t xml:space="preserve">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4C1053AF" w14:textId="77777777" w:rsidR="003807C1" w:rsidRDefault="00000000">
      <w:pPr>
        <w:spacing w:after="160" w:line="278" w:lineRule="auto"/>
        <w:jc w:val="left"/>
      </w:pPr>
      <w:r>
        <w:br w:type="page"/>
      </w:r>
    </w:p>
    <w:p w14:paraId="29673F5C" w14:textId="77777777" w:rsidR="003807C1" w:rsidRDefault="00000000">
      <w:pPr>
        <w:pStyle w:val="ListParagraph"/>
        <w:numPr>
          <w:ilvl w:val="0"/>
          <w:numId w:val="6"/>
        </w:numPr>
        <w:spacing w:line="257" w:lineRule="auto"/>
        <w:ind w:firstLineChars="0"/>
        <w:jc w:val="left"/>
        <w:rPr>
          <w:rFonts w:eastAsiaTheme="minorEastAsia"/>
          <w:b/>
          <w:bCs/>
        </w:rPr>
      </w:pPr>
      <w:r>
        <w:rPr>
          <w:rFonts w:eastAsiaTheme="minorEastAsia" w:hint="eastAsia"/>
          <w:b/>
          <w:bCs/>
        </w:rPr>
        <w:lastRenderedPageBreak/>
        <w:t>Business Objective</w:t>
      </w:r>
    </w:p>
    <w:p w14:paraId="78F67DA4" w14:textId="77777777" w:rsidR="003807C1" w:rsidRDefault="003807C1">
      <w:pPr>
        <w:spacing w:line="257" w:lineRule="auto"/>
        <w:jc w:val="left"/>
        <w:rPr>
          <w:rFonts w:eastAsiaTheme="minorEastAsia"/>
          <w:b/>
          <w:bCs/>
        </w:rPr>
      </w:pPr>
    </w:p>
    <w:p w14:paraId="233EF8E3" w14:textId="77777777" w:rsidR="003807C1" w:rsidRDefault="00000000">
      <w:pPr>
        <w:pStyle w:val="ListParagraph"/>
        <w:numPr>
          <w:ilvl w:val="0"/>
          <w:numId w:val="7"/>
        </w:numPr>
        <w:spacing w:line="257" w:lineRule="auto"/>
        <w:ind w:firstLineChars="0"/>
        <w:jc w:val="left"/>
        <w:rPr>
          <w:rFonts w:eastAsiaTheme="minorEastAsia"/>
        </w:rPr>
      </w:pPr>
      <w:r>
        <w:rPr>
          <w:rFonts w:eastAsiaTheme="minorEastAsia" w:hint="eastAsia"/>
        </w:rPr>
        <w:t>The Cook County Assessor</w:t>
      </w:r>
      <w:r>
        <w:rPr>
          <w:rFonts w:eastAsiaTheme="minorEastAsia"/>
        </w:rPr>
        <w:t>’</w:t>
      </w:r>
      <w:r>
        <w:rPr>
          <w:rFonts w:eastAsiaTheme="minorEastAsia" w:hint="eastAsia"/>
        </w:rPr>
        <w:t xml:space="preserve">s Office must assess a large </w:t>
      </w:r>
      <w:proofErr w:type="gramStart"/>
      <w:r>
        <w:rPr>
          <w:rFonts w:eastAsiaTheme="minorEastAsia" w:hint="eastAsia"/>
        </w:rPr>
        <w:t>amount</w:t>
      </w:r>
      <w:proofErr w:type="gramEnd"/>
      <w:r>
        <w:rPr>
          <w:rFonts w:eastAsiaTheme="minorEastAsia" w:hint="eastAsia"/>
        </w:rPr>
        <w:t xml:space="preserve"> of residential properties in Cook County for property tax purposes. Since many homes do not have recent recorded </w:t>
      </w:r>
      <w:proofErr w:type="gramStart"/>
      <w:r>
        <w:rPr>
          <w:rFonts w:eastAsiaTheme="minorEastAsia" w:hint="eastAsia"/>
        </w:rPr>
        <w:t>sale</w:t>
      </w:r>
      <w:proofErr w:type="gramEnd"/>
      <w:r>
        <w:rPr>
          <w:rFonts w:eastAsiaTheme="minorEastAsia" w:hint="eastAsia"/>
        </w:rPr>
        <w:t xml:space="preserve">, their market value cannot be observed directly. However, the office still needs to estimate what each property would sell for as of </w:t>
      </w:r>
      <w:r>
        <w:rPr>
          <w:rFonts w:eastAsiaTheme="minorEastAsia" w:hint="eastAsia"/>
          <w:b/>
          <w:bCs/>
        </w:rPr>
        <w:t>a specified valuation date</w:t>
      </w:r>
      <w:r>
        <w:rPr>
          <w:rFonts w:eastAsiaTheme="minorEastAsia" w:hint="eastAsia"/>
        </w:rPr>
        <w:t xml:space="preserve">. </w:t>
      </w:r>
    </w:p>
    <w:p w14:paraId="41DEDD21" w14:textId="77777777" w:rsidR="003807C1" w:rsidRDefault="003807C1">
      <w:pPr>
        <w:pStyle w:val="ListParagraph"/>
        <w:spacing w:line="257" w:lineRule="auto"/>
        <w:ind w:left="440" w:firstLineChars="0" w:firstLine="0"/>
        <w:jc w:val="left"/>
        <w:rPr>
          <w:rFonts w:eastAsiaTheme="minorEastAsia"/>
        </w:rPr>
      </w:pPr>
    </w:p>
    <w:p w14:paraId="1DD60B77" w14:textId="77777777" w:rsidR="003807C1" w:rsidRDefault="00000000">
      <w:pPr>
        <w:pStyle w:val="ListParagraph"/>
        <w:spacing w:line="257" w:lineRule="auto"/>
        <w:ind w:left="440" w:firstLineChars="0" w:firstLine="0"/>
        <w:jc w:val="left"/>
        <w:rPr>
          <w:rFonts w:eastAsiaTheme="minorEastAsia"/>
        </w:rPr>
      </w:pPr>
      <w:r>
        <w:rPr>
          <w:rFonts w:eastAsiaTheme="minorEastAsia"/>
        </w:rPr>
        <w:t>The proposed use of the model is to provide an initial price estimate for a home without a recent</w:t>
      </w:r>
    </w:p>
    <w:p w14:paraId="37828ADB" w14:textId="77777777" w:rsidR="003807C1" w:rsidRDefault="00000000">
      <w:pPr>
        <w:pStyle w:val="ListParagraph"/>
        <w:spacing w:line="257" w:lineRule="auto"/>
        <w:ind w:left="440" w:firstLineChars="0" w:firstLine="0"/>
        <w:jc w:val="left"/>
        <w:rPr>
          <w:rFonts w:eastAsiaTheme="minorEastAsia"/>
        </w:rPr>
      </w:pPr>
      <w:r>
        <w:rPr>
          <w:rFonts w:eastAsiaTheme="minorEastAsia"/>
        </w:rPr>
        <w:t>sale. This estimate is intended for a property analyst in the residential valuation team, who</w:t>
      </w:r>
      <w:r>
        <w:rPr>
          <w:rFonts w:eastAsiaTheme="minorEastAsia" w:hint="eastAsia"/>
        </w:rPr>
        <w:t xml:space="preserve"> </w:t>
      </w:r>
      <w:r>
        <w:rPr>
          <w:rFonts w:eastAsiaTheme="minorEastAsia"/>
        </w:rPr>
        <w:t>combines the model output with inspection information and professional judgement to determine</w:t>
      </w:r>
      <w:r>
        <w:rPr>
          <w:rFonts w:eastAsiaTheme="minorEastAsia" w:hint="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615B6FF" w14:textId="77777777" w:rsidR="003807C1" w:rsidRDefault="003807C1">
      <w:pPr>
        <w:pStyle w:val="ListParagraph"/>
        <w:spacing w:line="257" w:lineRule="auto"/>
        <w:ind w:left="440" w:firstLineChars="0" w:firstLine="0"/>
        <w:jc w:val="left"/>
        <w:rPr>
          <w:rFonts w:eastAsiaTheme="minorEastAsia"/>
        </w:rPr>
      </w:pPr>
    </w:p>
    <w:p w14:paraId="2A1A1A66" w14:textId="77777777" w:rsidR="003807C1" w:rsidRDefault="00000000">
      <w:pPr>
        <w:pStyle w:val="ListParagraph"/>
        <w:spacing w:line="257" w:lineRule="auto"/>
        <w:ind w:left="440" w:firstLineChars="0" w:firstLine="0"/>
        <w:jc w:val="left"/>
        <w:rPr>
          <w:rFonts w:eastAsiaTheme="minorEastAsia"/>
        </w:rPr>
      </w:pPr>
      <w:r>
        <w:rPr>
          <w:rFonts w:eastAsiaTheme="minorEastAsia"/>
        </w:rPr>
        <w:t>This project offers three practical benefits. First, it reduces repetitive manual work, because the</w:t>
      </w:r>
      <w:r>
        <w:rPr>
          <w:rFonts w:eastAsiaTheme="minorEastAsia" w:hint="eastAsia"/>
        </w:rPr>
        <w:t xml:space="preserve"> </w:t>
      </w:r>
      <w:r>
        <w:rPr>
          <w:rFonts w:eastAsiaTheme="minorEastAsia"/>
        </w:rPr>
        <w:t>model can generate initial estimates for large numbers of homes without recent sales in bulk</w:t>
      </w:r>
      <w:r>
        <w:rPr>
          <w:rFonts w:eastAsiaTheme="minorEastAsia" w:hint="eastAsia"/>
        </w:rPr>
        <w:t xml:space="preserve">, </w:t>
      </w:r>
      <w:r>
        <w:rPr>
          <w:rFonts w:eastAsiaTheme="minorEastAsia"/>
        </w:rPr>
        <w:t>allowing analysts to concentrate on reviewing and correcting estimates rather than pricing each</w:t>
      </w:r>
      <w:r>
        <w:rPr>
          <w:rFonts w:eastAsiaTheme="minorEastAsia" w:hint="eastAsia"/>
        </w:rPr>
        <w:t xml:space="preserve"> </w:t>
      </w:r>
      <w:r>
        <w:rPr>
          <w:rFonts w:eastAsiaTheme="minorEastAsia"/>
        </w:rPr>
        <w:t>home from scratch. Second, it improves consistency, as the model provides a reproducible starting</w:t>
      </w:r>
      <w:r>
        <w:rPr>
          <w:rFonts w:eastAsiaTheme="minorEastAsia" w:hint="eastAsia"/>
        </w:rPr>
        <w:t xml:space="preserve"> </w:t>
      </w:r>
      <w:r>
        <w:rPr>
          <w:rFonts w:eastAsiaTheme="minorEastAsia"/>
        </w:rPr>
        <w:t>point for comparable homes and thereby reduces subjective variation between analysts. Third, it</w:t>
      </w:r>
      <w:r>
        <w:rPr>
          <w:rFonts w:eastAsiaTheme="minorEastAsia" w:hint="eastAsia"/>
        </w:rPr>
        <w:t xml:space="preserve"> </w:t>
      </w:r>
      <w:r>
        <w:rPr>
          <w:rFonts w:eastAsiaTheme="minorEastAsia"/>
        </w:rPr>
        <w:t>supports scalability, since a model-based approach can value abundant properties at scale far</w:t>
      </w:r>
      <w:r>
        <w:rPr>
          <w:rFonts w:eastAsiaTheme="minorEastAsia" w:hint="eastAsia"/>
        </w:rPr>
        <w:t xml:space="preserve"> </w:t>
      </w:r>
      <w:r>
        <w:rPr>
          <w:rFonts w:eastAsiaTheme="minorEastAsia"/>
        </w:rPr>
        <w:t>more readily than pricing each home individually by hand</w:t>
      </w:r>
    </w:p>
    <w:p w14:paraId="467372A7" w14:textId="77777777" w:rsidR="003807C1" w:rsidRDefault="003807C1">
      <w:pPr>
        <w:spacing w:line="257" w:lineRule="auto"/>
        <w:jc w:val="left"/>
        <w:rPr>
          <w:rFonts w:eastAsiaTheme="minorEastAsia"/>
        </w:rPr>
      </w:pPr>
    </w:p>
    <w:p w14:paraId="560241F7" w14:textId="77777777" w:rsidR="003807C1" w:rsidRDefault="00000000">
      <w:pPr>
        <w:pStyle w:val="ListParagraph"/>
        <w:numPr>
          <w:ilvl w:val="0"/>
          <w:numId w:val="6"/>
        </w:numPr>
        <w:spacing w:line="257" w:lineRule="auto"/>
        <w:ind w:firstLineChars="0"/>
        <w:jc w:val="left"/>
        <w:rPr>
          <w:rFonts w:eastAsiaTheme="minorEastAsia"/>
          <w:b/>
          <w:bCs/>
        </w:rPr>
      </w:pPr>
      <w:r>
        <w:rPr>
          <w:rFonts w:eastAsiaTheme="minorEastAsia" w:hint="eastAsia"/>
          <w:b/>
          <w:bCs/>
        </w:rPr>
        <w:t>Data Understanding</w:t>
      </w:r>
    </w:p>
    <w:p w14:paraId="2FA97DA5" w14:textId="77777777" w:rsidR="003807C1" w:rsidRDefault="003807C1">
      <w:pPr>
        <w:spacing w:line="257" w:lineRule="auto"/>
        <w:jc w:val="left"/>
        <w:rPr>
          <w:rFonts w:eastAsiaTheme="minorEastAsia"/>
        </w:rPr>
      </w:pPr>
    </w:p>
    <w:p w14:paraId="1445DF69" w14:textId="77777777" w:rsidR="003807C1" w:rsidRDefault="003807C1">
      <w:pPr>
        <w:spacing w:line="257" w:lineRule="auto"/>
        <w:jc w:val="left"/>
        <w:rPr>
          <w:rFonts w:eastAsiaTheme="minorEastAsia"/>
        </w:rPr>
      </w:pPr>
    </w:p>
    <w:p w14:paraId="57988906" w14:textId="77777777" w:rsidR="003807C1" w:rsidRDefault="003807C1">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27BB8" w14:textId="77777777" w:rsidR="00FE70E7" w:rsidRDefault="00FE70E7">
      <w:r>
        <w:separator/>
      </w:r>
    </w:p>
  </w:endnote>
  <w:endnote w:type="continuationSeparator" w:id="0">
    <w:p w14:paraId="5EB3728F" w14:textId="77777777" w:rsidR="00FE70E7" w:rsidRDefault="00FE70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B638F" w14:textId="77777777" w:rsidR="00FE70E7" w:rsidRDefault="00FE70E7">
      <w:r>
        <w:separator/>
      </w:r>
    </w:p>
  </w:footnote>
  <w:footnote w:type="continuationSeparator" w:id="0">
    <w:p w14:paraId="174957A0" w14:textId="77777777" w:rsidR="00FE70E7" w:rsidRDefault="00FE70E7">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B32"/>
    <w:rsid w:val="000362E4"/>
    <w:rsid w:val="000401A0"/>
    <w:rsid w:val="000878C4"/>
    <w:rsid w:val="000C6036"/>
    <w:rsid w:val="000F6F28"/>
    <w:rsid w:val="00146DA5"/>
    <w:rsid w:val="00165C97"/>
    <w:rsid w:val="0019104F"/>
    <w:rsid w:val="001C5CA9"/>
    <w:rsid w:val="0034454A"/>
    <w:rsid w:val="003807C1"/>
    <w:rsid w:val="003811D8"/>
    <w:rsid w:val="003A4A02"/>
    <w:rsid w:val="003A51AD"/>
    <w:rsid w:val="003C35F0"/>
    <w:rsid w:val="00426EEA"/>
    <w:rsid w:val="00436BEB"/>
    <w:rsid w:val="00446D5E"/>
    <w:rsid w:val="004E71AF"/>
    <w:rsid w:val="00534EDB"/>
    <w:rsid w:val="00543268"/>
    <w:rsid w:val="00561826"/>
    <w:rsid w:val="005B01F9"/>
    <w:rsid w:val="0066028A"/>
    <w:rsid w:val="006C6E01"/>
    <w:rsid w:val="007104F7"/>
    <w:rsid w:val="0075638B"/>
    <w:rsid w:val="0079132D"/>
    <w:rsid w:val="007C4794"/>
    <w:rsid w:val="007D3B7A"/>
    <w:rsid w:val="008043BA"/>
    <w:rsid w:val="00810A2C"/>
    <w:rsid w:val="008A49B1"/>
    <w:rsid w:val="00911F82"/>
    <w:rsid w:val="0095112D"/>
    <w:rsid w:val="00A122D5"/>
    <w:rsid w:val="00A206F6"/>
    <w:rsid w:val="00A84538"/>
    <w:rsid w:val="00AE1F51"/>
    <w:rsid w:val="00C85792"/>
    <w:rsid w:val="00D10AB4"/>
    <w:rsid w:val="00D27F1D"/>
    <w:rsid w:val="00D46484"/>
    <w:rsid w:val="00D52A91"/>
    <w:rsid w:val="00D60F3D"/>
    <w:rsid w:val="00D9437C"/>
    <w:rsid w:val="00E81F5A"/>
    <w:rsid w:val="00E83C34"/>
    <w:rsid w:val="00E9279F"/>
    <w:rsid w:val="00E92B26"/>
    <w:rsid w:val="00E953C0"/>
    <w:rsid w:val="00FB290C"/>
    <w:rsid w:val="00FB7A32"/>
    <w:rsid w:val="00FE70E7"/>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NormalWeb">
    <w:name w:val="Normal (Web)"/>
    <w:basedOn w:val="Normal"/>
    <w:uiPriority w:val="99"/>
    <w:unhideWhenUsed/>
    <w:rPr>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18"/>
      <w:szCs w:val="18"/>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pPr>
      <w:ind w:firstLineChars="200" w:firstLine="420"/>
    </w:pPr>
  </w:style>
  <w:style w:type="table" w:styleId="PlainTable1">
    <w:name w:val="Plain Table 1"/>
    <w:basedOn w:val="TableNormal"/>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6</Pages>
  <Words>3103</Words>
  <Characters>17691</Characters>
  <Application>Microsoft Office Word</Application>
  <DocSecurity>0</DocSecurity>
  <Lines>280</Lines>
  <Paragraphs>166</Paragraphs>
  <ScaleCrop>false</ScaleCrop>
  <Company/>
  <LinksUpToDate>false</LinksUpToDate>
  <CharactersWithSpaces>20628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Chongchen Jiang</cp:lastModifiedBy>
  <cp:revision>35</cp:revision>
  <dcterms:created xsi:type="dcterms:W3CDTF">2026-10-17T02:36:00Z</dcterms:created>
  <dcterms:modified xsi:type="dcterms:W3CDTF">2026-10-24T12:24:00Z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