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28"/>
        <w:gridCol w:w="4528"/>
      </w:tblGrid>
      <w:tr>
        <w:trPr>
          <w:trHeight w:hRule="exact" w:val="7078"/>
        </w:trPr>
        <w:tc>
          <w:tcPr>
            <w:tcW w:type="dxa" w:w="9026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38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Contact No: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(+91) 97</w:t>
            </w:r>
            <w:r>
              <w:rPr>
                <w:u w:val="single" w:color="0000ff"/>
                <w:rFonts w:ascii="Cambria" w:hAnsi="Cambria" w:eastAsia="Cambria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>14010237 |</w:t>
                </w:r>
              </w:hyperlink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E-Mail:</w:t>
            </w:r>
            <w:r>
              <w:rPr>
                <w:rFonts w:ascii="Cambria" w:hAnsi="Cambria" w:eastAsia="Cambria"/>
                <w:b w:val="0"/>
                <w:i w:val="0"/>
                <w:color w:val="0000FF"/>
                <w:sz w:val="24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FF"/>
                <w:sz w:val="24"/>
              </w:rPr>
              <w:hyperlink r:id="rId10" w:history="1">
                <w:r>
                  <w:rPr>
                    <w:rStyle w:val="Hyperlink"/>
                  </w:rPr>
                  <w:t>kr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strike/>
                <w:color w:val="0000FF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ups1420@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strike/>
                <w:color w:val="0000FF"/>
                <w:sz w:val="24"/>
              </w:rPr>
              <w:hyperlink r:id="rId10" w:history="1">
                <w:r>
                  <w:rPr>
                    <w:rStyle w:val="Hyperlink"/>
                  </w:rPr>
                  <w:t>gmail.com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1338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strike/>
                <w:color w:val="000002"/>
                <w:sz w:val="24"/>
              </w:rPr>
              <w:t>An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24"/>
              </w:rPr>
              <w:t xml:space="preserve"> enthusiastic and ambitious girl with strong motivation and leadership abilities who 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24"/>
              </w:rPr>
              <w:t xml:space="preserve">just completed an engineering degree in computer field. Passionate about software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development, data analytics, and management. Willing to pursue new opportunities in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the field of technology.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EDUCATION</w:t>
            </w:r>
          </w:p>
          <w:p>
            <w:pPr>
              <w:autoSpaceDN w:val="0"/>
              <w:tabs>
                <w:tab w:pos="7776" w:val="left"/>
                <w:tab w:pos="7798" w:val="left"/>
              </w:tabs>
              <w:autoSpaceDE w:val="0"/>
              <w:widowControl/>
              <w:spacing w:line="324" w:lineRule="exact" w:before="1014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Birla Vishvakarma Mahavidyalaya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CGPA: 8.13/10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Diploma in Computer Engineering </w:t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2017-2020 </w:t>
            </w:r>
            <w:r>
              <w:tab/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2020-2023</w:t>
            </w:r>
          </w:p>
          <w:p>
            <w:pPr>
              <w:autoSpaceDN w:val="0"/>
              <w:tabs>
                <w:tab w:pos="7804" w:val="left"/>
              </w:tabs>
              <w:autoSpaceDE w:val="0"/>
              <w:widowControl/>
              <w:spacing w:line="1338" w:lineRule="exact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B &amp; B Institute of Technology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CGPA: 9.86/10 </w:t>
            </w:r>
            <w:r>
              <w:tab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2016-2017</w:t>
            </w:r>
          </w:p>
          <w:p>
            <w:pPr>
              <w:autoSpaceDN w:val="0"/>
              <w:autoSpaceDE w:val="0"/>
              <w:widowControl/>
              <w:spacing w:line="1338" w:lineRule="exact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IB Patel English School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Percentage: 76%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INTERNSHIP</w:t>
            </w:r>
          </w:p>
        </w:tc>
      </w:tr>
      <w:tr>
        <w:trPr>
          <w:trHeight w:hRule="exact" w:val="1268"/>
        </w:trPr>
        <w:tc>
          <w:tcPr>
            <w:tcW w:type="dxa" w:w="54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Infikey Technologies Pvt. Ltd.</w:t>
            </w:r>
          </w:p>
          <w:p>
            <w:pPr>
              <w:autoSpaceDN w:val="0"/>
              <w:autoSpaceDE w:val="0"/>
              <w:widowControl/>
              <w:spacing w:line="282" w:lineRule="exact" w:before="40" w:after="0"/>
              <w:ind w:left="0" w:right="144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F5 Systems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Space Application Centre, ISRO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Lodestar Consulting Private Limited</w:t>
            </w:r>
          </w:p>
        </w:tc>
        <w:tc>
          <w:tcPr>
            <w:tcW w:type="dxa" w:w="36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0" w:after="0"/>
              <w:ind w:left="1460" w:right="6" w:firstLine="8"/>
              <w:jc w:val="both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06/2021 - 07/2021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05/2022 - 06/2022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01/2023 - 05/2023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01/2024 - Present</w:t>
            </w:r>
          </w:p>
        </w:tc>
      </w:tr>
      <w:tr>
        <w:trPr>
          <w:trHeight w:hRule="exact" w:val="6714"/>
        </w:trPr>
        <w:tc>
          <w:tcPr>
            <w:tcW w:type="dxa" w:w="90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2" w:after="0"/>
              <w:ind w:left="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1340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hyperlink r:id="rId12" w:history="1">
                <w:r>
                  <w:rPr>
                    <w:rStyle w:val="Hyperlink"/>
                  </w:rPr>
                  <w:t>It is a Charutar Vidyama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>ndal Andr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>oid app. It consists of the modules like Placement,</w:t>
            </w:r>
          </w:p>
          <w:p>
            <w:pPr>
              <w:autoSpaceDN w:val="0"/>
              <w:autoSpaceDE w:val="0"/>
              <w:widowControl/>
              <w:spacing w:line="1338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hyperlink r:id="rId13" w:history="1">
                <w:r>
                  <w:rPr>
                    <w:rStyle w:val="Hyperlink"/>
                  </w:rPr>
                  <w:t>It is a Pytho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hyperlink r:id="rId14" w:history="1">
                <w:r>
                  <w:rPr>
                    <w:rStyle w:val="Hyperlink"/>
                  </w:rPr>
                  <w:t>n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 based attendance 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management system that allows professors to take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hyperlink r:id="rId14" w:history="1">
                <w:r>
                  <w:rPr>
                    <w:rStyle w:val="Hyperlink"/>
                  </w:rPr>
                  <w:t>Notice, Result, Scholarship, and Ma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p. It enables students to check their eligibility based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hyperlink r:id="rId14" w:history="1">
                <w:r>
                  <w:rPr>
                    <w:rStyle w:val="Hyperlink"/>
                  </w:rPr>
                  <w:t>on the previous year's cut-off.</w:t>
                </w:r>
              </w:hyperlink>
            </w:r>
          </w:p>
          <w:p>
            <w:pPr>
              <w:autoSpaceDN w:val="0"/>
              <w:autoSpaceDE w:val="0"/>
              <w:widowControl/>
              <w:spacing w:line="1338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It is a Larave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l web app that functions as an e-commerce site, allowing users to add</w:t>
            </w:r>
          </w:p>
          <w:p>
            <w:pPr>
              <w:autoSpaceDN w:val="0"/>
              <w:autoSpaceDE w:val="0"/>
              <w:widowControl/>
              <w:spacing w:line="1340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It is an Android app that is built on the notion of carpooling. Google Maps SDK, Firebase,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and account verification are all supported. In addition, there is report generation and a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payment gateway.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The system combines information from panchromatic and multispectral remote-sensing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images and generates the fusion image. Here, we have proposed a novel method for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image fusion known as Residual Deep Learning with Joint Bilateral Denoising Network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(RJB-Net).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 xml:space="preserve">spatial and spectral resolution and it is proved visually and quantitatively. </w:t>
            </w:r>
            <w:r>
              <w:rPr>
                <w:rFonts w:ascii="Cambria" w:hAnsi="Cambria" w:eastAsia="Cambria"/>
                <w:b w:val="0"/>
                <w:i w:val="0"/>
                <w:color w:val="000002"/>
                <w:sz w:val="24"/>
              </w:rPr>
              <w:t>The fused image generated from the proposed technique has an optimal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78" w:right="1418" w:bottom="502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48"/>
      </w:tblGrid>
      <w:tr>
        <w:trPr>
          <w:trHeight w:hRule="exact" w:val="8946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38" w:lineRule="exact" w:before="0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Machine learning with Python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Arduino and its application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Introduction to Generative AI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ChatGPT Prompt Engineering for Developers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Social Media Optimization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The Fundamentals of Digital Marketing</w:t>
            </w:r>
          </w:p>
          <w:p>
            <w:pPr>
              <w:autoSpaceDN w:val="0"/>
              <w:autoSpaceDE w:val="0"/>
              <w:widowControl/>
              <w:spacing w:line="180" w:lineRule="exact" w:before="140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6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80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6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10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Place 3</w:t>
            </w:r>
            <w:r>
              <w:rPr>
                <w:w w:val="97.50000238418579"/>
                <w:rFonts w:ascii="Cambria" w:hAnsi="Cambria" w:eastAsia="Cambria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Price in both Basketball and Football under 16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Peer Tutoring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Event Organizer for a Department Day(Tech fest)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 Snow Trek completion of 26km (Approx.)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Joined National Cadet Corps(NCC)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 member of the Computer Society of India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Joined Coding Club India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Actively participated in the Swatch Bharat Abhiyan and the Vishwa Yoga Mission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 member of Bachpan NGO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Attended a series of webinars on computer science, ML, web development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Led my team to state-level selection in the Smart Gujarat Hackathon’ 20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Honors for achieving 10 SPI in 5</w:t>
            </w:r>
            <w:r>
              <w:rPr>
                <w:w w:val="97.50000238418579"/>
                <w:rFonts w:ascii="Cambria" w:hAnsi="Cambria" w:eastAsia="Cambria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and 6</w:t>
            </w:r>
            <w:r>
              <w:rPr>
                <w:w w:val="97.50000238418579"/>
                <w:rFonts w:ascii="Cambria" w:hAnsi="Cambria" w:eastAsia="Cambria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SEM in diploma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Selected at the Regional Level for the Smart India Hackathon’22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Runner-up at the Project Expo’23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My review paper “Evaluation and investigation of spatial domain image filtering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techniques to denoise remote sensing imagery” is under review at Earth Science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Informatics by Springer Nature.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My research paper “Residual Deep Learning with Joint Bilateral Denoising Network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for Remote Sensing Image Fusion” is under review at 2023 3rd Asian Conference by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IEEE.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32" w:right="141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krupa-patel-3479a5212/" TargetMode="External"/><Relationship Id="rId10" Type="http://schemas.openxmlformats.org/officeDocument/2006/relationships/hyperlink" Target="mailto:krups1420@gmail.com" TargetMode="External"/><Relationship Id="rId11" Type="http://schemas.openxmlformats.org/officeDocument/2006/relationships/hyperlink" Target="https://github.com/krupa1420" TargetMode="External"/><Relationship Id="rId12" Type="http://schemas.openxmlformats.org/officeDocument/2006/relationships/hyperlink" Target="https://github.com/krupa1420/University-Management" TargetMode="External"/><Relationship Id="rId13" Type="http://schemas.openxmlformats.org/officeDocument/2006/relationships/hyperlink" Target="https://github.com/krupa1420/Fashion-hub" TargetMode="External"/><Relationship Id="rId14" Type="http://schemas.openxmlformats.org/officeDocument/2006/relationships/hyperlink" Target="https://github.com/krupa1420/Attendance-system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