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FB84C" w14:textId="1E267E96" w:rsidR="00BD60CA" w:rsidRPr="007858F9" w:rsidRDefault="00054B77">
      <w:pPr>
        <w:rPr>
          <w:rFonts w:ascii="바탕" w:eastAsia="바탕" w:hAnsi="바탕"/>
          <w:b/>
          <w:bCs/>
        </w:rPr>
      </w:pPr>
      <w:r w:rsidRPr="007858F9">
        <w:rPr>
          <w:rFonts w:ascii="바탕" w:eastAsia="바탕" w:hAnsi="바탕" w:hint="eastAsia"/>
          <w:b/>
          <w:bCs/>
        </w:rPr>
        <w:t>Supplementary Information</w:t>
      </w:r>
    </w:p>
    <w:p w14:paraId="49452A00" w14:textId="77777777" w:rsidR="00054B77" w:rsidRPr="007858F9" w:rsidRDefault="00054B77">
      <w:pPr>
        <w:rPr>
          <w:rFonts w:ascii="바탕" w:eastAsia="바탕" w:hAnsi="바탕"/>
        </w:rPr>
      </w:pPr>
    </w:p>
    <w:p w14:paraId="435E044A" w14:textId="6390F626" w:rsidR="00054B77" w:rsidRDefault="00054B77" w:rsidP="0094332A">
      <w:pPr>
        <w:jc w:val="center"/>
        <w:rPr>
          <w:rFonts w:ascii="바탕" w:eastAsia="바탕" w:hAnsi="바탕"/>
          <w:b/>
          <w:bCs/>
        </w:rPr>
      </w:pPr>
      <w:r w:rsidRPr="007858F9">
        <w:rPr>
          <w:rFonts w:ascii="바탕" w:eastAsia="바탕" w:hAnsi="바탕" w:hint="eastAsia"/>
          <w:b/>
          <w:bCs/>
        </w:rPr>
        <w:t>Contents</w:t>
      </w:r>
    </w:p>
    <w:p w14:paraId="23A58B14" w14:textId="77777777" w:rsidR="007858F9" w:rsidRDefault="007858F9">
      <w:pPr>
        <w:rPr>
          <w:rFonts w:ascii="바탕" w:eastAsia="바탕" w:hAnsi="바탕"/>
          <w:b/>
          <w:bCs/>
        </w:rPr>
      </w:pPr>
    </w:p>
    <w:p w14:paraId="64F97DCB" w14:textId="4714F264" w:rsidR="002C0AEA" w:rsidRPr="007858F9" w:rsidRDefault="00FD5E08" w:rsidP="00F34877">
      <w:pPr>
        <w:spacing w:line="360" w:lineRule="auto"/>
        <w:rPr>
          <w:rFonts w:ascii="바탕" w:eastAsia="바탕" w:hAnsi="바탕"/>
          <w:b/>
          <w:bCs/>
        </w:rPr>
      </w:pPr>
      <w:r>
        <w:rPr>
          <w:rFonts w:ascii="맑은 고딕" w:eastAsia="맑은 고딕" w:hAnsi="맑은 고딕" w:hint="eastAsia"/>
          <w:b/>
          <w:bCs/>
        </w:rPr>
        <w:t>A</w:t>
      </w:r>
      <w:r w:rsidR="002C0AEA">
        <w:rPr>
          <w:rFonts w:ascii="바탕" w:eastAsia="바탕" w:hAnsi="바탕" w:hint="eastAsia"/>
          <w:b/>
          <w:bCs/>
        </w:rPr>
        <w:t>. Materials and Methods</w:t>
      </w:r>
    </w:p>
    <w:p w14:paraId="4ED575EC" w14:textId="77777777" w:rsidR="00032A3B" w:rsidRDefault="00683EC7" w:rsidP="00F34877">
      <w:pPr>
        <w:spacing w:line="360" w:lineRule="auto"/>
        <w:rPr>
          <w:rFonts w:ascii="바탕" w:eastAsia="바탕" w:hAnsi="바탕"/>
        </w:rPr>
      </w:pPr>
      <w:r>
        <w:rPr>
          <w:rFonts w:ascii="바탕" w:eastAsia="바탕" w:hAnsi="바탕" w:hint="eastAsia"/>
        </w:rPr>
        <w:t>A.1</w:t>
      </w:r>
      <w:r w:rsidR="007858F9" w:rsidRPr="0099528D">
        <w:rPr>
          <w:rFonts w:ascii="바탕" w:eastAsia="바탕" w:hAnsi="바탕" w:hint="eastAsia"/>
        </w:rPr>
        <w:t xml:space="preserve"> </w:t>
      </w:r>
      <w:r w:rsidR="0099528D" w:rsidRPr="0099528D">
        <w:rPr>
          <w:rFonts w:ascii="바탕" w:eastAsia="바탕" w:hAnsi="바탕" w:hint="eastAsia"/>
        </w:rPr>
        <w:t>SARS-CoV-2 variants in South Korea by analyzed sequences</w:t>
      </w:r>
    </w:p>
    <w:p w14:paraId="59CC57C6" w14:textId="6A6920FB" w:rsidR="0099528D" w:rsidRDefault="00683EC7" w:rsidP="00F34877">
      <w:pPr>
        <w:spacing w:line="360" w:lineRule="auto"/>
        <w:rPr>
          <w:rFonts w:ascii="바탕" w:eastAsia="바탕" w:hAnsi="바탕"/>
        </w:rPr>
      </w:pPr>
      <w:r>
        <w:rPr>
          <w:rFonts w:ascii="바탕" w:eastAsia="바탕" w:hAnsi="바탕" w:hint="eastAsia"/>
        </w:rPr>
        <w:t>A.</w:t>
      </w:r>
      <w:r w:rsidR="00032A3B">
        <w:rPr>
          <w:rFonts w:ascii="바탕" w:eastAsia="바탕" w:hAnsi="바탕" w:hint="eastAsia"/>
        </w:rPr>
        <w:t>2</w:t>
      </w:r>
      <w:r w:rsidR="0099528D">
        <w:rPr>
          <w:rFonts w:ascii="바탕" w:eastAsia="바탕" w:hAnsi="바탕" w:hint="eastAsia"/>
        </w:rPr>
        <w:t xml:space="preserve"> Daily instantaneous Rt calculated via </w:t>
      </w:r>
      <w:proofErr w:type="spellStart"/>
      <w:r w:rsidR="0099528D">
        <w:rPr>
          <w:rFonts w:ascii="바탕" w:eastAsia="바탕" w:hAnsi="바탕" w:hint="eastAsia"/>
        </w:rPr>
        <w:t>Epiestim</w:t>
      </w:r>
      <w:proofErr w:type="spellEnd"/>
    </w:p>
    <w:p w14:paraId="01291F03" w14:textId="04620568" w:rsidR="0099528D" w:rsidRDefault="00683EC7" w:rsidP="00F34877">
      <w:pPr>
        <w:spacing w:line="360" w:lineRule="auto"/>
        <w:rPr>
          <w:rFonts w:ascii="바탕" w:eastAsia="바탕" w:hAnsi="바탕"/>
        </w:rPr>
      </w:pPr>
      <w:r>
        <w:rPr>
          <w:rFonts w:ascii="바탕" w:eastAsia="바탕" w:hAnsi="바탕" w:hint="eastAsia"/>
        </w:rPr>
        <w:t>A.</w:t>
      </w:r>
      <w:r w:rsidR="00032A3B">
        <w:rPr>
          <w:rFonts w:ascii="바탕" w:eastAsia="바탕" w:hAnsi="바탕" w:hint="eastAsia"/>
        </w:rPr>
        <w:t>3</w:t>
      </w:r>
      <w:r w:rsidR="00425E8A">
        <w:rPr>
          <w:rFonts w:ascii="바탕" w:eastAsia="바탕" w:hAnsi="바탕" w:hint="eastAsia"/>
        </w:rPr>
        <w:t xml:space="preserve"> </w:t>
      </w:r>
      <w:r w:rsidR="004F24CB">
        <w:rPr>
          <w:rFonts w:ascii="바탕" w:eastAsia="바탕" w:hAnsi="바탕" w:hint="eastAsia"/>
        </w:rPr>
        <w:t>R</w:t>
      </w:r>
      <w:proofErr w:type="gramStart"/>
      <w:r w:rsidR="004F24CB">
        <w:rPr>
          <w:rFonts w:ascii="바탕" w:eastAsia="바탕" w:hAnsi="바탕" w:hint="eastAsia"/>
        </w:rPr>
        <w:t>0,t</w:t>
      </w:r>
      <w:proofErr w:type="gramEnd"/>
      <w:r w:rsidR="004F24CB">
        <w:rPr>
          <w:rFonts w:ascii="바탕" w:eastAsia="바탕" w:hAnsi="바탕" w:hint="eastAsia"/>
        </w:rPr>
        <w:t xml:space="preserve"> by variant</w:t>
      </w:r>
    </w:p>
    <w:p w14:paraId="2DC6556D" w14:textId="2FCBF3CE" w:rsidR="004F24CB" w:rsidRDefault="00683EC7" w:rsidP="00F34877">
      <w:pPr>
        <w:spacing w:line="360" w:lineRule="auto"/>
        <w:rPr>
          <w:rFonts w:ascii="바탕" w:eastAsia="바탕" w:hAnsi="바탕"/>
        </w:rPr>
      </w:pPr>
      <w:r>
        <w:rPr>
          <w:rFonts w:ascii="바탕" w:eastAsia="바탕" w:hAnsi="바탕" w:hint="eastAsia"/>
        </w:rPr>
        <w:t>A.</w:t>
      </w:r>
      <w:r w:rsidR="00032A3B">
        <w:rPr>
          <w:rFonts w:ascii="바탕" w:eastAsia="바탕" w:hAnsi="바탕" w:hint="eastAsia"/>
        </w:rPr>
        <w:t>4</w:t>
      </w:r>
      <w:r w:rsidR="00425E8A">
        <w:rPr>
          <w:rFonts w:ascii="바탕" w:eastAsia="바탕" w:hAnsi="바탕" w:hint="eastAsia"/>
        </w:rPr>
        <w:t xml:space="preserve"> WHO 2020 criteria</w:t>
      </w:r>
    </w:p>
    <w:p w14:paraId="6D33E677" w14:textId="5E5FDBD4" w:rsidR="00425E8A" w:rsidRDefault="00683EC7" w:rsidP="00F34877">
      <w:pPr>
        <w:spacing w:line="360" w:lineRule="auto"/>
        <w:rPr>
          <w:rFonts w:ascii="바탕" w:eastAsia="바탕" w:hAnsi="바탕"/>
        </w:rPr>
      </w:pPr>
      <w:r>
        <w:rPr>
          <w:rFonts w:ascii="바탕" w:eastAsia="바탕" w:hAnsi="바탕" w:hint="eastAsia"/>
        </w:rPr>
        <w:t>A.</w:t>
      </w:r>
      <w:r w:rsidR="00032A3B">
        <w:rPr>
          <w:rFonts w:ascii="바탕" w:eastAsia="바탕" w:hAnsi="바탕" w:hint="eastAsia"/>
        </w:rPr>
        <w:t>5</w:t>
      </w:r>
      <w:r w:rsidR="00425E8A">
        <w:rPr>
          <w:rFonts w:ascii="바탕" w:eastAsia="바탕" w:hAnsi="바탕" w:hint="eastAsia"/>
        </w:rPr>
        <w:t xml:space="preserve"> Derived Risk Indicators</w:t>
      </w:r>
    </w:p>
    <w:p w14:paraId="40E6E48D" w14:textId="5E4A2AE6" w:rsidR="00425E8A" w:rsidRDefault="00683EC7" w:rsidP="00F34877">
      <w:pPr>
        <w:spacing w:line="360" w:lineRule="auto"/>
        <w:rPr>
          <w:rFonts w:ascii="바탕" w:eastAsia="바탕" w:hAnsi="바탕"/>
        </w:rPr>
      </w:pPr>
      <w:r>
        <w:rPr>
          <w:rFonts w:ascii="바탕" w:eastAsia="바탕" w:hAnsi="바탕" w:hint="eastAsia"/>
        </w:rPr>
        <w:t>A.</w:t>
      </w:r>
      <w:r w:rsidR="00032A3B">
        <w:rPr>
          <w:rFonts w:ascii="바탕" w:eastAsia="바탕" w:hAnsi="바탕" w:hint="eastAsia"/>
        </w:rPr>
        <w:t>6</w:t>
      </w:r>
      <w:r w:rsidR="00880583">
        <w:rPr>
          <w:rFonts w:ascii="바탕" w:eastAsia="바탕" w:hAnsi="바탕" w:hint="eastAsia"/>
        </w:rPr>
        <w:t xml:space="preserve"> Weekly practical vaccination rate</w:t>
      </w:r>
    </w:p>
    <w:p w14:paraId="388064C2" w14:textId="23F9340D" w:rsidR="00880583" w:rsidRDefault="00683EC7" w:rsidP="00F34877">
      <w:pPr>
        <w:spacing w:line="360" w:lineRule="auto"/>
        <w:rPr>
          <w:rFonts w:ascii="바탕" w:eastAsia="바탕" w:hAnsi="바탕"/>
        </w:rPr>
      </w:pPr>
      <w:r>
        <w:rPr>
          <w:rFonts w:ascii="바탕" w:eastAsia="바탕" w:hAnsi="바탕" w:hint="eastAsia"/>
        </w:rPr>
        <w:t>A.</w:t>
      </w:r>
      <w:r w:rsidR="00032A3B">
        <w:rPr>
          <w:rFonts w:ascii="바탕" w:eastAsia="바탕" w:hAnsi="바탕" w:hint="eastAsia"/>
        </w:rPr>
        <w:t>7</w:t>
      </w:r>
      <w:r w:rsidR="002C0AEA">
        <w:rPr>
          <w:rFonts w:ascii="바탕" w:eastAsia="바탕" w:hAnsi="바탕" w:hint="eastAsia"/>
        </w:rPr>
        <w:t xml:space="preserve"> Monthly effects of humidity in South Korea by season</w:t>
      </w:r>
    </w:p>
    <w:p w14:paraId="41A35AD4" w14:textId="77777777" w:rsidR="002C0AEA" w:rsidRDefault="002C0AEA" w:rsidP="00F34877">
      <w:pPr>
        <w:spacing w:line="360" w:lineRule="auto"/>
        <w:rPr>
          <w:rFonts w:ascii="바탕" w:eastAsia="바탕" w:hAnsi="바탕"/>
        </w:rPr>
      </w:pPr>
    </w:p>
    <w:p w14:paraId="344B9F0A" w14:textId="6A550030" w:rsidR="00705D92" w:rsidRPr="00A56F8F" w:rsidRDefault="00FD5E08" w:rsidP="00F34877">
      <w:pPr>
        <w:spacing w:line="360" w:lineRule="auto"/>
        <w:rPr>
          <w:rFonts w:ascii="바탕" w:eastAsia="바탕" w:hAnsi="바탕"/>
          <w:b/>
          <w:bCs/>
        </w:rPr>
      </w:pPr>
      <w:r>
        <w:rPr>
          <w:rFonts w:ascii="맑은 고딕" w:eastAsia="맑은 고딕" w:hAnsi="맑은 고딕" w:hint="eastAsia"/>
          <w:b/>
          <w:bCs/>
        </w:rPr>
        <w:t>B</w:t>
      </w:r>
      <w:r w:rsidR="00705D92" w:rsidRPr="00A56F8F">
        <w:rPr>
          <w:rFonts w:ascii="바탕" w:eastAsia="바탕" w:hAnsi="바탕" w:hint="eastAsia"/>
          <w:b/>
          <w:bCs/>
        </w:rPr>
        <w:t>. Validation</w:t>
      </w:r>
    </w:p>
    <w:p w14:paraId="5480BBA7" w14:textId="63574783" w:rsidR="00705D92" w:rsidRDefault="00683EC7" w:rsidP="00F34877">
      <w:pPr>
        <w:spacing w:line="360" w:lineRule="auto"/>
        <w:rPr>
          <w:rFonts w:ascii="바탕" w:eastAsia="바탕" w:hAnsi="바탕"/>
        </w:rPr>
      </w:pPr>
      <w:r>
        <w:rPr>
          <w:rFonts w:ascii="바탕" w:eastAsia="바탕" w:hAnsi="바탕" w:hint="eastAsia"/>
        </w:rPr>
        <w:t>B.1</w:t>
      </w:r>
      <w:r w:rsidR="00A56F8F">
        <w:rPr>
          <w:rFonts w:ascii="바탕" w:eastAsia="바탕" w:hAnsi="바탕" w:hint="eastAsia"/>
        </w:rPr>
        <w:t xml:space="preserve"> The sample chains of parameters obtained by MCMC</w:t>
      </w:r>
    </w:p>
    <w:p w14:paraId="40A259BA" w14:textId="48BDD2F2" w:rsidR="00054B77" w:rsidRDefault="00683EC7" w:rsidP="00F34877">
      <w:pPr>
        <w:spacing w:line="360" w:lineRule="auto"/>
        <w:rPr>
          <w:rFonts w:ascii="바탕" w:eastAsia="바탕" w:hAnsi="바탕"/>
        </w:rPr>
      </w:pPr>
      <w:r>
        <w:rPr>
          <w:rFonts w:ascii="바탕" w:eastAsia="바탕" w:hAnsi="바탕" w:hint="eastAsia"/>
        </w:rPr>
        <w:t>B.2</w:t>
      </w:r>
      <w:r w:rsidR="00A56F8F">
        <w:rPr>
          <w:rFonts w:ascii="바탕" w:eastAsia="바탕" w:hAnsi="바탕" w:hint="eastAsia"/>
        </w:rPr>
        <w:t xml:space="preserve"> Posterior distribution of each parameter</w:t>
      </w:r>
    </w:p>
    <w:p w14:paraId="314430C7" w14:textId="77777777" w:rsidR="0094332A" w:rsidRDefault="0094332A" w:rsidP="00F34877">
      <w:pPr>
        <w:widowControl/>
        <w:wordWrap/>
        <w:autoSpaceDE/>
        <w:autoSpaceDN/>
        <w:spacing w:line="360" w:lineRule="auto"/>
        <w:rPr>
          <w:rFonts w:ascii="바탕" w:eastAsia="바탕" w:hAnsi="바탕"/>
          <w:b/>
          <w:bCs/>
        </w:rPr>
      </w:pPr>
      <w:r>
        <w:rPr>
          <w:rFonts w:ascii="바탕" w:eastAsia="바탕" w:hAnsi="바탕"/>
          <w:b/>
          <w:bCs/>
        </w:rPr>
        <w:br w:type="page"/>
      </w:r>
    </w:p>
    <w:p w14:paraId="053418F8" w14:textId="549440E9" w:rsidR="00B702DC" w:rsidRPr="00D253CE" w:rsidRDefault="000859F1">
      <w:pPr>
        <w:rPr>
          <w:rFonts w:ascii="바탕" w:eastAsia="바탕" w:hAnsi="바탕" w:hint="eastAsia"/>
          <w:b/>
          <w:bCs/>
        </w:rPr>
      </w:pPr>
      <w:r>
        <w:rPr>
          <w:rFonts w:ascii="맑은 고딕" w:eastAsia="맑은 고딕" w:hAnsi="맑은 고딕" w:hint="eastAsia"/>
          <w:b/>
          <w:bCs/>
        </w:rPr>
        <w:lastRenderedPageBreak/>
        <w:t>A</w:t>
      </w:r>
      <w:r w:rsidR="00057C73">
        <w:rPr>
          <w:rFonts w:ascii="바탕" w:eastAsia="바탕" w:hAnsi="바탕" w:hint="eastAsia"/>
          <w:b/>
          <w:bCs/>
        </w:rPr>
        <w:t>. Materials and Methods</w:t>
      </w:r>
    </w:p>
    <w:p w14:paraId="2EA3E2EF" w14:textId="77777777" w:rsidR="003A7ECD" w:rsidRDefault="003A7ECD">
      <w:pPr>
        <w:rPr>
          <w:rFonts w:ascii="바탕" w:eastAsia="바탕" w:hAnsi="바탕"/>
        </w:rPr>
      </w:pPr>
    </w:p>
    <w:p w14:paraId="0D485C94" w14:textId="20A7D7CC" w:rsidR="00CC5A1B" w:rsidRPr="006D686F" w:rsidRDefault="00032A3B" w:rsidP="00CC5A1B">
      <w:pPr>
        <w:rPr>
          <w:rFonts w:ascii="바탕" w:eastAsia="바탕" w:hAnsi="바탕"/>
          <w:b/>
          <w:bCs/>
        </w:rPr>
      </w:pPr>
      <w:r w:rsidRPr="006D686F">
        <w:rPr>
          <w:rFonts w:ascii="바탕" w:eastAsia="바탕" w:hAnsi="바탕" w:hint="eastAsia"/>
          <w:b/>
          <w:bCs/>
        </w:rPr>
        <w:t xml:space="preserve">A.1 </w:t>
      </w:r>
      <w:r w:rsidR="0071569F" w:rsidRPr="006D686F">
        <w:rPr>
          <w:rFonts w:ascii="바탕" w:eastAsia="바탕" w:hAnsi="바탕" w:hint="eastAsia"/>
          <w:b/>
          <w:bCs/>
        </w:rPr>
        <w:t>SARS-CoV-2 variants in South Korea by analyzed sequences</w:t>
      </w:r>
    </w:p>
    <w:p w14:paraId="09DAA588" w14:textId="77777777" w:rsidR="0071569F" w:rsidRDefault="0071569F" w:rsidP="00CC5A1B">
      <w:pPr>
        <w:rPr>
          <w:rFonts w:ascii="바탕" w:eastAsia="바탕" w:hAnsi="바탕"/>
        </w:rPr>
      </w:pPr>
    </w:p>
    <w:p w14:paraId="4A0674E9" w14:textId="7FC6A842" w:rsidR="00812E9A" w:rsidRPr="001C2E06" w:rsidRDefault="00CC5A1B" w:rsidP="00BE5AFA">
      <w:pPr>
        <w:spacing w:line="480" w:lineRule="auto"/>
        <w:rPr>
          <w:rFonts w:ascii="바탕" w:eastAsia="바탕" w:hAnsi="바탕"/>
          <w:szCs w:val="22"/>
        </w:rPr>
      </w:pPr>
      <w:r>
        <w:rPr>
          <w:rFonts w:ascii="바탕" w:eastAsia="바탕" w:hAnsi="바탕" w:hint="eastAsia"/>
          <w:szCs w:val="22"/>
        </w:rPr>
        <w:t xml:space="preserve">In this study, we used data from Our World in Data to determine which SARS-CoV-2 variant was most prevalent in South Korea during specific timeframes. The proportions of </w:t>
      </w:r>
      <w:r w:rsidR="00084038">
        <w:rPr>
          <w:rFonts w:ascii="바탕" w:eastAsia="바탕" w:hAnsi="바탕" w:hint="eastAsia"/>
          <w:szCs w:val="22"/>
        </w:rPr>
        <w:t xml:space="preserve">SARS-CoV-2 variants identified among analyzed sequences between May </w:t>
      </w:r>
      <w:proofErr w:type="gramStart"/>
      <w:r w:rsidR="00084038">
        <w:rPr>
          <w:rFonts w:ascii="바탕" w:eastAsia="바탕" w:hAnsi="바탕" w:hint="eastAsia"/>
          <w:szCs w:val="22"/>
        </w:rPr>
        <w:t>2020</w:t>
      </w:r>
      <w:proofErr w:type="gramEnd"/>
      <w:r w:rsidR="00084038">
        <w:rPr>
          <w:rFonts w:ascii="바탕" w:eastAsia="바탕" w:hAnsi="바탕" w:hint="eastAsia"/>
          <w:szCs w:val="22"/>
        </w:rPr>
        <w:t xml:space="preserve"> and July 2022 are as follows.</w:t>
      </w:r>
    </w:p>
    <w:p w14:paraId="011E7089" w14:textId="07CFD7C5" w:rsidR="00812E9A" w:rsidRDefault="00812E9A" w:rsidP="00D1077E">
      <w:pPr>
        <w:jc w:val="center"/>
        <w:rPr>
          <w:rFonts w:ascii="바탕" w:eastAsia="바탕" w:hAnsi="바탕"/>
        </w:rPr>
      </w:pPr>
      <w:r w:rsidRPr="0030287D">
        <w:rPr>
          <w:rFonts w:ascii="바탕" w:eastAsia="바탕" w:hAnsi="바탕"/>
          <w:noProof/>
          <w:szCs w:val="22"/>
        </w:rPr>
        <w:drawing>
          <wp:inline distT="0" distB="0" distL="0" distR="0" wp14:anchorId="4B95432F" wp14:editId="5A1EA92B">
            <wp:extent cx="5149850" cy="3087511"/>
            <wp:effectExtent l="0" t="0" r="0" b="0"/>
            <wp:docPr id="1008983523" name="그림 1" descr="텍스트, 스크린샷, 도표,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83523" name="그림 1" descr="텍스트, 스크린샷, 도표, 다채로움이(가) 표시된 사진&#10;&#10;AI 생성 콘텐츠는 정확하지 않을 수 있습니다."/>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3882" cy="3089928"/>
                    </a:xfrm>
                    <a:prstGeom prst="rect">
                      <a:avLst/>
                    </a:prstGeom>
                    <a:noFill/>
                    <a:ln>
                      <a:noFill/>
                    </a:ln>
                  </pic:spPr>
                </pic:pic>
              </a:graphicData>
            </a:graphic>
          </wp:inline>
        </w:drawing>
      </w:r>
    </w:p>
    <w:p w14:paraId="2336E6F8" w14:textId="0213A779" w:rsidR="00812E9A" w:rsidRPr="00063B47" w:rsidRDefault="00812E9A" w:rsidP="00B151A0">
      <w:pPr>
        <w:rPr>
          <w:rFonts w:ascii="바탕" w:eastAsia="바탕" w:hAnsi="바탕"/>
          <w:b/>
          <w:bCs/>
        </w:rPr>
      </w:pPr>
      <w:r w:rsidRPr="00063B47">
        <w:rPr>
          <w:rFonts w:ascii="바탕" w:eastAsia="바탕" w:hAnsi="바탕" w:hint="eastAsia"/>
          <w:b/>
          <w:bCs/>
        </w:rPr>
        <w:t>Fig.</w:t>
      </w:r>
      <w:r w:rsidR="00063B47" w:rsidRPr="00063B47">
        <w:rPr>
          <w:rFonts w:ascii="바탕" w:eastAsia="바탕" w:hAnsi="바탕" w:hint="eastAsia"/>
          <w:b/>
          <w:bCs/>
        </w:rPr>
        <w:t xml:space="preserve"> </w:t>
      </w:r>
      <w:r w:rsidRPr="00063B47">
        <w:rPr>
          <w:rFonts w:ascii="바탕" w:eastAsia="바탕" w:hAnsi="바탕" w:hint="eastAsia"/>
          <w:b/>
          <w:bCs/>
        </w:rPr>
        <w:t>1</w:t>
      </w:r>
      <w:r w:rsidR="00063B47" w:rsidRPr="00063B47">
        <w:rPr>
          <w:rFonts w:ascii="바탕" w:eastAsia="바탕" w:hAnsi="바탕" w:hint="eastAsia"/>
          <w:b/>
          <w:bCs/>
        </w:rPr>
        <w:t>.</w:t>
      </w:r>
      <w:r w:rsidRPr="00063B47">
        <w:rPr>
          <w:rFonts w:ascii="바탕" w:eastAsia="바탕" w:hAnsi="바탕" w:hint="eastAsia"/>
          <w:b/>
          <w:bCs/>
        </w:rPr>
        <w:t xml:space="preserve"> SARS-CoV-2 variants in South Korea by analyzed sequence from May 2020 to July 2022</w:t>
      </w:r>
    </w:p>
    <w:p w14:paraId="3611BA94" w14:textId="77777777" w:rsidR="00D1077E" w:rsidRDefault="00D1077E">
      <w:pPr>
        <w:rPr>
          <w:rFonts w:ascii="바탕" w:eastAsia="바탕" w:hAnsi="바탕"/>
        </w:rPr>
      </w:pPr>
    </w:p>
    <w:p w14:paraId="02F92B52" w14:textId="789DF679" w:rsidR="007509C5" w:rsidRPr="00CC5A1B" w:rsidRDefault="007509C5" w:rsidP="00CC5A1B">
      <w:pPr>
        <w:spacing w:line="480" w:lineRule="auto"/>
        <w:ind w:firstLineChars="100" w:firstLine="220"/>
        <w:rPr>
          <w:rFonts w:ascii="바탕" w:eastAsia="바탕" w:hAnsi="바탕"/>
          <w:szCs w:val="22"/>
        </w:rPr>
      </w:pPr>
      <w:r w:rsidRPr="00CC5A1B">
        <w:rPr>
          <w:rFonts w:ascii="바탕" w:eastAsia="바탕" w:hAnsi="바탕"/>
          <w:szCs w:val="22"/>
        </w:rPr>
        <w:t>The data reveals that the Wuhan strain was dominant throughout 2020. From January to June 2021, while the Wuhan strain remained prevalent, the Alpha variant was also observed, along with sporadic detections of the Beta and Gamma variants.</w:t>
      </w:r>
    </w:p>
    <w:p w14:paraId="2BFFA2D3" w14:textId="77777777" w:rsidR="007509C5" w:rsidRPr="00CC5A1B" w:rsidRDefault="007509C5" w:rsidP="00CC5A1B">
      <w:pPr>
        <w:spacing w:line="480" w:lineRule="auto"/>
        <w:ind w:firstLineChars="100" w:firstLine="220"/>
        <w:rPr>
          <w:rFonts w:ascii="바탕" w:eastAsia="바탕" w:hAnsi="바탕"/>
          <w:szCs w:val="22"/>
        </w:rPr>
      </w:pPr>
      <w:r w:rsidRPr="00CC5A1B">
        <w:rPr>
          <w:rFonts w:ascii="바탕" w:eastAsia="바탕" w:hAnsi="바탕"/>
          <w:szCs w:val="22"/>
        </w:rPr>
        <w:t xml:space="preserve">Beginning in July 2021, the detection rate of the Wuhan strain declined as the Delta variant rapidly gained dominance, accounting for over 90% of all analyzed </w:t>
      </w:r>
      <w:r w:rsidRPr="00CC5A1B">
        <w:rPr>
          <w:rFonts w:ascii="바탕" w:eastAsia="바탕" w:hAnsi="바탕"/>
          <w:szCs w:val="22"/>
        </w:rPr>
        <w:lastRenderedPageBreak/>
        <w:t>sequences by August. This trend persisted until December 2021. From January 2022, the Omicron (BA) variant's proportion exceeded 90% and maintained this level through July 2022.</w:t>
      </w:r>
    </w:p>
    <w:p w14:paraId="09163311" w14:textId="77777777" w:rsidR="007509C5" w:rsidRPr="00350FCF" w:rsidRDefault="007509C5" w:rsidP="00350FCF">
      <w:pPr>
        <w:spacing w:line="480" w:lineRule="auto"/>
        <w:ind w:firstLineChars="100" w:firstLine="220"/>
        <w:rPr>
          <w:rFonts w:ascii="바탕" w:eastAsia="바탕" w:hAnsi="바탕"/>
          <w:szCs w:val="22"/>
        </w:rPr>
      </w:pPr>
      <w:r w:rsidRPr="00350FCF">
        <w:rPr>
          <w:rFonts w:ascii="바탕" w:eastAsia="바탕" w:hAnsi="바탕"/>
          <w:szCs w:val="22"/>
        </w:rPr>
        <w:t>Based on these observations, the target variants for investigating period-specific SI values were determined as follows</w:t>
      </w:r>
      <w:r w:rsidRPr="00350FCF">
        <w:rPr>
          <w:rFonts w:ascii="바탕" w:eastAsia="바탕" w:hAnsi="바탕" w:hint="eastAsia"/>
          <w:szCs w:val="22"/>
        </w:rPr>
        <w:t>.</w:t>
      </w:r>
    </w:p>
    <w:p w14:paraId="33B1BAB4" w14:textId="77777777" w:rsidR="007509C5" w:rsidRPr="00523D93" w:rsidRDefault="007509C5" w:rsidP="007509C5">
      <w:pPr>
        <w:pStyle w:val="a6"/>
        <w:numPr>
          <w:ilvl w:val="0"/>
          <w:numId w:val="4"/>
        </w:numPr>
        <w:spacing w:line="480" w:lineRule="auto"/>
        <w:ind w:firstLineChars="100" w:firstLine="220"/>
        <w:rPr>
          <w:rFonts w:ascii="바탕" w:eastAsia="바탕" w:hAnsi="바탕"/>
          <w:szCs w:val="22"/>
        </w:rPr>
      </w:pPr>
      <w:r w:rsidRPr="00523D93">
        <w:rPr>
          <w:rFonts w:ascii="바탕" w:eastAsia="바탕" w:hAnsi="바탕"/>
          <w:szCs w:val="22"/>
        </w:rPr>
        <w:t>January 2020 – July 2021: Wuhan Strain</w:t>
      </w:r>
    </w:p>
    <w:p w14:paraId="44544AF8" w14:textId="77777777" w:rsidR="007509C5" w:rsidRPr="00523D93" w:rsidRDefault="007509C5" w:rsidP="007509C5">
      <w:pPr>
        <w:pStyle w:val="a6"/>
        <w:numPr>
          <w:ilvl w:val="0"/>
          <w:numId w:val="4"/>
        </w:numPr>
        <w:spacing w:line="480" w:lineRule="auto"/>
        <w:ind w:firstLineChars="100" w:firstLine="220"/>
        <w:rPr>
          <w:rFonts w:ascii="바탕" w:eastAsia="바탕" w:hAnsi="바탕"/>
          <w:szCs w:val="22"/>
        </w:rPr>
      </w:pPr>
      <w:r w:rsidRPr="00523D93">
        <w:rPr>
          <w:rFonts w:ascii="바탕" w:eastAsia="바탕" w:hAnsi="바탕"/>
          <w:szCs w:val="22"/>
        </w:rPr>
        <w:t>August 2021 – December 2021: Delta Variant</w:t>
      </w:r>
    </w:p>
    <w:p w14:paraId="70CCD76E" w14:textId="77777777" w:rsidR="007509C5" w:rsidRDefault="007509C5" w:rsidP="007509C5">
      <w:pPr>
        <w:pStyle w:val="a6"/>
        <w:numPr>
          <w:ilvl w:val="0"/>
          <w:numId w:val="4"/>
        </w:numPr>
        <w:spacing w:line="480" w:lineRule="auto"/>
        <w:ind w:firstLineChars="100" w:firstLine="220"/>
        <w:rPr>
          <w:rFonts w:ascii="바탕" w:eastAsia="바탕" w:hAnsi="바탕"/>
          <w:szCs w:val="22"/>
        </w:rPr>
      </w:pPr>
      <w:r w:rsidRPr="00523D93">
        <w:rPr>
          <w:rFonts w:ascii="바탕" w:eastAsia="바탕" w:hAnsi="바탕"/>
          <w:szCs w:val="22"/>
        </w:rPr>
        <w:t>January 2022 – Present: Omicron (BA) Variant</w:t>
      </w:r>
    </w:p>
    <w:p w14:paraId="77A72896" w14:textId="77777777" w:rsidR="0020482D" w:rsidRDefault="0020482D">
      <w:pPr>
        <w:rPr>
          <w:rFonts w:ascii="바탕" w:eastAsia="바탕" w:hAnsi="바탕"/>
        </w:rPr>
      </w:pPr>
    </w:p>
    <w:p w14:paraId="011C6C48" w14:textId="77777777" w:rsidR="00E410EF" w:rsidRDefault="00E410EF">
      <w:pPr>
        <w:widowControl/>
        <w:wordWrap/>
        <w:autoSpaceDE/>
        <w:autoSpaceDN/>
        <w:rPr>
          <w:rFonts w:ascii="바탕" w:eastAsia="바탕" w:hAnsi="바탕"/>
          <w:b/>
          <w:bCs/>
        </w:rPr>
      </w:pPr>
      <w:r>
        <w:rPr>
          <w:rFonts w:ascii="바탕" w:eastAsia="바탕" w:hAnsi="바탕"/>
          <w:b/>
          <w:bCs/>
        </w:rPr>
        <w:br w:type="page"/>
      </w:r>
    </w:p>
    <w:p w14:paraId="4745F0D1" w14:textId="56D33EC8" w:rsidR="00D13E52" w:rsidRPr="002C705E" w:rsidRDefault="00D13E52">
      <w:pPr>
        <w:rPr>
          <w:rFonts w:ascii="바탕" w:eastAsia="바탕" w:hAnsi="바탕"/>
          <w:b/>
          <w:bCs/>
        </w:rPr>
      </w:pPr>
      <w:r w:rsidRPr="002C705E">
        <w:rPr>
          <w:rFonts w:ascii="바탕" w:eastAsia="바탕" w:hAnsi="바탕" w:hint="eastAsia"/>
          <w:b/>
          <w:bCs/>
        </w:rPr>
        <w:lastRenderedPageBreak/>
        <w:t xml:space="preserve">A.2 Daily instantaneous Rt calculated via </w:t>
      </w:r>
      <w:proofErr w:type="spellStart"/>
      <w:r w:rsidRPr="002C705E">
        <w:rPr>
          <w:rFonts w:ascii="바탕" w:eastAsia="바탕" w:hAnsi="바탕" w:hint="eastAsia"/>
          <w:b/>
          <w:bCs/>
        </w:rPr>
        <w:t>Epiestim</w:t>
      </w:r>
      <w:proofErr w:type="spellEnd"/>
    </w:p>
    <w:p w14:paraId="79DC7A09" w14:textId="77777777" w:rsidR="00D13E52" w:rsidRDefault="00D13E52">
      <w:pPr>
        <w:rPr>
          <w:rFonts w:ascii="바탕" w:eastAsia="바탕" w:hAnsi="바탕"/>
        </w:rPr>
      </w:pPr>
    </w:p>
    <w:p w14:paraId="3B865E9A" w14:textId="35B25385" w:rsidR="0014181C" w:rsidRDefault="00183245" w:rsidP="00976D56">
      <w:pPr>
        <w:jc w:val="center"/>
        <w:rPr>
          <w:rFonts w:ascii="바탕" w:eastAsia="바탕" w:hAnsi="바탕"/>
        </w:rPr>
      </w:pPr>
      <w:r w:rsidRPr="0030287D">
        <w:rPr>
          <w:rFonts w:ascii="바탕" w:eastAsia="바탕" w:hAnsi="바탕"/>
          <w:noProof/>
          <w:szCs w:val="22"/>
        </w:rPr>
        <w:drawing>
          <wp:inline distT="0" distB="0" distL="0" distR="0" wp14:anchorId="153AE707" wp14:editId="0E259AEF">
            <wp:extent cx="4546600" cy="3117380"/>
            <wp:effectExtent l="0" t="0" r="6350" b="6985"/>
            <wp:docPr id="1730519931" name="그림 2" descr="텍스트, 라인, 그래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19931" name="그림 2" descr="텍스트, 라인, 그래프, 스크린샷이(가) 표시된 사진&#10;&#10;AI 생성 콘텐츠는 정확하지 않을 수 있습니다."/>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3135" cy="3135574"/>
                    </a:xfrm>
                    <a:prstGeom prst="rect">
                      <a:avLst/>
                    </a:prstGeom>
                    <a:noFill/>
                    <a:ln>
                      <a:noFill/>
                    </a:ln>
                  </pic:spPr>
                </pic:pic>
              </a:graphicData>
            </a:graphic>
          </wp:inline>
        </w:drawing>
      </w:r>
    </w:p>
    <w:p w14:paraId="367F4D11" w14:textId="4008735A" w:rsidR="00425867" w:rsidRPr="00425867" w:rsidRDefault="00976D56" w:rsidP="00D253CE">
      <w:pPr>
        <w:spacing w:line="480" w:lineRule="auto"/>
        <w:rPr>
          <w:rFonts w:ascii="바탕" w:eastAsia="바탕" w:hAnsi="바탕" w:hint="eastAsia"/>
          <w:szCs w:val="22"/>
        </w:rPr>
      </w:pPr>
      <w:r w:rsidRPr="00425867">
        <w:rPr>
          <w:rFonts w:ascii="바탕" w:eastAsia="바탕" w:hAnsi="바탕" w:hint="eastAsia"/>
          <w:b/>
          <w:bCs/>
          <w:szCs w:val="22"/>
        </w:rPr>
        <w:t>Fig</w:t>
      </w:r>
      <w:r w:rsidR="002C705E" w:rsidRPr="00425867">
        <w:rPr>
          <w:rFonts w:ascii="바탕" w:eastAsia="바탕" w:hAnsi="바탕" w:hint="eastAsia"/>
          <w:b/>
          <w:bCs/>
          <w:szCs w:val="22"/>
        </w:rPr>
        <w:t>.</w:t>
      </w:r>
      <w:r w:rsidR="00425867" w:rsidRPr="00425867">
        <w:rPr>
          <w:rFonts w:ascii="바탕" w:eastAsia="바탕" w:hAnsi="바탕" w:hint="eastAsia"/>
          <w:b/>
          <w:bCs/>
          <w:szCs w:val="22"/>
        </w:rPr>
        <w:t xml:space="preserve"> </w:t>
      </w:r>
      <w:r w:rsidR="002C705E" w:rsidRPr="00425867">
        <w:rPr>
          <w:rFonts w:ascii="바탕" w:eastAsia="바탕" w:hAnsi="바탕" w:hint="eastAsia"/>
          <w:b/>
          <w:bCs/>
          <w:szCs w:val="22"/>
        </w:rPr>
        <w:t>2</w:t>
      </w:r>
      <w:r w:rsidR="00425867" w:rsidRPr="00425867">
        <w:rPr>
          <w:rFonts w:ascii="바탕" w:eastAsia="바탕" w:hAnsi="바탕" w:hint="eastAsia"/>
          <w:b/>
          <w:bCs/>
          <w:szCs w:val="22"/>
        </w:rPr>
        <w:t>.</w:t>
      </w:r>
      <w:r w:rsidRPr="00425867">
        <w:rPr>
          <w:rFonts w:ascii="바탕" w:eastAsia="바탕" w:hAnsi="바탕" w:hint="eastAsia"/>
          <w:b/>
          <w:bCs/>
          <w:szCs w:val="22"/>
        </w:rPr>
        <w:t xml:space="preserve"> Daily instantaneous Rt in South Korea via </w:t>
      </w:r>
      <w:proofErr w:type="spellStart"/>
      <w:r w:rsidRPr="00425867">
        <w:rPr>
          <w:rFonts w:ascii="바탕" w:eastAsia="바탕" w:hAnsi="바탕" w:hint="eastAsia"/>
          <w:b/>
          <w:bCs/>
          <w:szCs w:val="22"/>
        </w:rPr>
        <w:t>Epiestim</w:t>
      </w:r>
      <w:proofErr w:type="spellEnd"/>
      <w:r w:rsidRPr="00425867">
        <w:rPr>
          <w:rFonts w:ascii="바탕" w:eastAsia="바탕" w:hAnsi="바탕" w:hint="eastAsia"/>
          <w:b/>
          <w:bCs/>
          <w:szCs w:val="22"/>
        </w:rPr>
        <w:t xml:space="preserve">, 2020.01 </w:t>
      </w:r>
      <w:r w:rsidRPr="00425867">
        <w:rPr>
          <w:rFonts w:ascii="바탕" w:eastAsia="바탕" w:hAnsi="바탕"/>
          <w:b/>
          <w:bCs/>
          <w:szCs w:val="22"/>
        </w:rPr>
        <w:t>–</w:t>
      </w:r>
      <w:r w:rsidRPr="00425867">
        <w:rPr>
          <w:rFonts w:ascii="바탕" w:eastAsia="바탕" w:hAnsi="바탕" w:hint="eastAsia"/>
          <w:b/>
          <w:bCs/>
          <w:szCs w:val="22"/>
        </w:rPr>
        <w:t xml:space="preserve"> 2020.07</w:t>
      </w:r>
      <w:r w:rsidR="00425867">
        <w:rPr>
          <w:rFonts w:ascii="바탕" w:eastAsia="바탕" w:hAnsi="바탕" w:hint="eastAsia"/>
          <w:b/>
          <w:bCs/>
          <w:szCs w:val="22"/>
        </w:rPr>
        <w:t xml:space="preserve"> </w:t>
      </w:r>
      <w:r w:rsidR="00425867">
        <w:rPr>
          <w:rFonts w:ascii="바탕" w:eastAsia="바탕" w:hAnsi="바탕" w:hint="eastAsia"/>
          <w:szCs w:val="22"/>
        </w:rPr>
        <w:t>Different color has been used for each period.</w:t>
      </w:r>
    </w:p>
    <w:p w14:paraId="30965F6F" w14:textId="77777777" w:rsidR="00D253CE" w:rsidRDefault="00D253CE">
      <w:pPr>
        <w:widowControl/>
        <w:wordWrap/>
        <w:autoSpaceDE/>
        <w:autoSpaceDN/>
        <w:rPr>
          <w:rFonts w:ascii="바탕" w:eastAsia="바탕" w:hAnsi="바탕"/>
          <w:b/>
          <w:bCs/>
        </w:rPr>
      </w:pPr>
      <w:r>
        <w:rPr>
          <w:rFonts w:ascii="바탕" w:eastAsia="바탕" w:hAnsi="바탕"/>
          <w:b/>
          <w:bCs/>
        </w:rPr>
        <w:br w:type="page"/>
      </w:r>
    </w:p>
    <w:p w14:paraId="64980827" w14:textId="568B144B" w:rsidR="0081482F" w:rsidRPr="0081482F" w:rsidRDefault="0081482F" w:rsidP="0081482F">
      <w:pPr>
        <w:rPr>
          <w:rFonts w:ascii="바탕" w:eastAsia="바탕" w:hAnsi="바탕"/>
          <w:b/>
          <w:bCs/>
        </w:rPr>
      </w:pPr>
      <w:r w:rsidRPr="0081482F">
        <w:rPr>
          <w:rFonts w:ascii="바탕" w:eastAsia="바탕" w:hAnsi="바탕" w:hint="eastAsia"/>
          <w:b/>
          <w:bCs/>
        </w:rPr>
        <w:lastRenderedPageBreak/>
        <w:t>A.3 R</w:t>
      </w:r>
      <w:proofErr w:type="gramStart"/>
      <w:r w:rsidRPr="0081482F">
        <w:rPr>
          <w:rFonts w:ascii="바탕" w:eastAsia="바탕" w:hAnsi="바탕" w:hint="eastAsia"/>
          <w:b/>
          <w:bCs/>
        </w:rPr>
        <w:t>0,t</w:t>
      </w:r>
      <w:proofErr w:type="gramEnd"/>
      <w:r w:rsidRPr="0081482F">
        <w:rPr>
          <w:rFonts w:ascii="바탕" w:eastAsia="바탕" w:hAnsi="바탕" w:hint="eastAsia"/>
          <w:b/>
          <w:bCs/>
        </w:rPr>
        <w:t xml:space="preserve"> by variant</w:t>
      </w:r>
    </w:p>
    <w:p w14:paraId="0E8A9A7F" w14:textId="77777777" w:rsidR="002C705E" w:rsidRDefault="002C705E">
      <w:pPr>
        <w:rPr>
          <w:rFonts w:ascii="바탕" w:eastAsia="바탕" w:hAnsi="바탕"/>
        </w:rPr>
      </w:pPr>
    </w:p>
    <w:p w14:paraId="6C2D667F" w14:textId="5C7088EE" w:rsidR="0081482F" w:rsidRPr="00976D56" w:rsidRDefault="007E2908" w:rsidP="001C167B">
      <w:pPr>
        <w:jc w:val="center"/>
        <w:rPr>
          <w:rFonts w:ascii="바탕" w:eastAsia="바탕" w:hAnsi="바탕"/>
        </w:rPr>
      </w:pPr>
      <w:r w:rsidRPr="0030287D">
        <w:rPr>
          <w:rFonts w:ascii="바탕" w:eastAsia="바탕" w:hAnsi="바탕" w:hint="eastAsia"/>
          <w:noProof/>
          <w:szCs w:val="22"/>
        </w:rPr>
        <w:drawing>
          <wp:inline distT="0" distB="0" distL="0" distR="0" wp14:anchorId="6441EDCC" wp14:editId="50C0D2DE">
            <wp:extent cx="4986997" cy="2493222"/>
            <wp:effectExtent l="0" t="0" r="4445" b="2540"/>
            <wp:docPr id="2129979939" name="그림 3" descr="텍스트, 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79939" name="그림 3" descr="텍스트, 도표, 그래프, 라인이(가) 표시된 사진&#10;&#10;AI 생성 콘텐츠는 정확하지 않을 수 있습니다."/>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0432" cy="2499939"/>
                    </a:xfrm>
                    <a:prstGeom prst="rect">
                      <a:avLst/>
                    </a:prstGeom>
                    <a:noFill/>
                    <a:ln>
                      <a:noFill/>
                    </a:ln>
                  </pic:spPr>
                </pic:pic>
              </a:graphicData>
            </a:graphic>
          </wp:inline>
        </w:drawing>
      </w:r>
    </w:p>
    <w:p w14:paraId="02551A38" w14:textId="718C413A" w:rsidR="00B86FBA" w:rsidRPr="00B86FBA" w:rsidRDefault="007E2908" w:rsidP="000B20C3">
      <w:pPr>
        <w:spacing w:line="480" w:lineRule="auto"/>
        <w:rPr>
          <w:rFonts w:ascii="바탕" w:eastAsia="바탕" w:hAnsi="바탕" w:hint="eastAsia"/>
          <w:b/>
          <w:bCs/>
          <w:szCs w:val="22"/>
        </w:rPr>
      </w:pPr>
      <w:bookmarkStart w:id="0" w:name="_Hlk217056081"/>
      <w:r w:rsidRPr="00B86FBA">
        <w:rPr>
          <w:rFonts w:ascii="바탕" w:eastAsia="바탕" w:hAnsi="바탕" w:hint="eastAsia"/>
          <w:b/>
          <w:bCs/>
          <w:szCs w:val="22"/>
        </w:rPr>
        <w:t>Fig</w:t>
      </w:r>
      <w:r w:rsidR="000B20C3" w:rsidRPr="00B86FBA">
        <w:rPr>
          <w:rFonts w:ascii="바탕" w:eastAsia="바탕" w:hAnsi="바탕" w:hint="eastAsia"/>
          <w:b/>
          <w:bCs/>
          <w:szCs w:val="22"/>
        </w:rPr>
        <w:t>. 3</w:t>
      </w:r>
      <w:r w:rsidRPr="00B86FBA">
        <w:rPr>
          <w:rFonts w:ascii="바탕" w:eastAsia="바탕" w:hAnsi="바탕" w:hint="eastAsia"/>
          <w:b/>
          <w:bCs/>
          <w:szCs w:val="22"/>
        </w:rPr>
        <w:t xml:space="preserve">. Instantaneous </w:t>
      </w:r>
      <m:oMath>
        <m:sSub>
          <m:sSubPr>
            <m:ctrlPr>
              <w:rPr>
                <w:rFonts w:ascii="Cambria Math" w:eastAsia="바탕" w:hAnsi="Cambria Math"/>
                <w:b/>
                <w:bCs/>
                <w:i/>
                <w:szCs w:val="22"/>
              </w:rPr>
            </m:ctrlPr>
          </m:sSubPr>
          <m:e>
            <m:r>
              <m:rPr>
                <m:sty m:val="bi"/>
              </m:rPr>
              <w:rPr>
                <w:rFonts w:ascii="Cambria Math" w:eastAsia="바탕" w:hAnsi="Cambria Math"/>
                <w:szCs w:val="22"/>
              </w:rPr>
              <m:t>R</m:t>
            </m:r>
          </m:e>
          <m:sub>
            <m:r>
              <m:rPr>
                <m:sty m:val="bi"/>
              </m:rPr>
              <w:rPr>
                <w:rFonts w:ascii="Cambria Math" w:eastAsia="바탕" w:hAnsi="Cambria Math"/>
                <w:szCs w:val="22"/>
              </w:rPr>
              <m:t>0,t</m:t>
            </m:r>
          </m:sub>
        </m:sSub>
      </m:oMath>
      <w:r w:rsidRPr="00B86FBA">
        <w:rPr>
          <w:rFonts w:ascii="바탕" w:eastAsia="바탕" w:hAnsi="바탕" w:hint="eastAsia"/>
          <w:b/>
          <w:bCs/>
          <w:szCs w:val="22"/>
        </w:rPr>
        <w:t xml:space="preserve"> of South Korea, 2020.05 </w:t>
      </w:r>
      <w:r w:rsidRPr="00B86FBA">
        <w:rPr>
          <w:rFonts w:ascii="바탕" w:eastAsia="바탕" w:hAnsi="바탕"/>
          <w:b/>
          <w:bCs/>
          <w:szCs w:val="22"/>
        </w:rPr>
        <w:t>–</w:t>
      </w:r>
      <w:r w:rsidRPr="00B86FBA">
        <w:rPr>
          <w:rFonts w:ascii="바탕" w:eastAsia="바탕" w:hAnsi="바탕" w:hint="eastAsia"/>
          <w:b/>
          <w:bCs/>
          <w:szCs w:val="22"/>
        </w:rPr>
        <w:t xml:space="preserve"> 2022.07</w:t>
      </w:r>
    </w:p>
    <w:bookmarkEnd w:id="0"/>
    <w:p w14:paraId="5F0EEE20" w14:textId="3730C853" w:rsidR="00356A4B" w:rsidRPr="007E2908" w:rsidRDefault="00356A4B">
      <w:pPr>
        <w:rPr>
          <w:rFonts w:ascii="바탕" w:eastAsia="바탕" w:hAnsi="바탕"/>
        </w:rPr>
      </w:pPr>
    </w:p>
    <w:p w14:paraId="418514CE" w14:textId="77777777" w:rsidR="000C0E23" w:rsidRDefault="000C0E23">
      <w:pPr>
        <w:widowControl/>
        <w:wordWrap/>
        <w:autoSpaceDE/>
        <w:autoSpaceDN/>
        <w:rPr>
          <w:rFonts w:ascii="바탕" w:eastAsia="바탕" w:hAnsi="바탕"/>
          <w:b/>
          <w:bCs/>
        </w:rPr>
      </w:pPr>
      <w:r>
        <w:rPr>
          <w:rFonts w:ascii="바탕" w:eastAsia="바탕" w:hAnsi="바탕"/>
          <w:b/>
          <w:bCs/>
        </w:rPr>
        <w:br w:type="page"/>
      </w:r>
    </w:p>
    <w:p w14:paraId="1BB6EC6A" w14:textId="1087B706" w:rsidR="009B2AAE" w:rsidRDefault="00845E01">
      <w:pPr>
        <w:rPr>
          <w:rFonts w:ascii="바탕" w:eastAsia="바탕" w:hAnsi="바탕"/>
          <w:b/>
          <w:bCs/>
        </w:rPr>
      </w:pPr>
      <w:r w:rsidRPr="00845E01">
        <w:rPr>
          <w:rFonts w:ascii="바탕" w:eastAsia="바탕" w:hAnsi="바탕" w:hint="eastAsia"/>
          <w:b/>
          <w:bCs/>
        </w:rPr>
        <w:lastRenderedPageBreak/>
        <w:t>A.4 WHO 2020 criteria</w:t>
      </w:r>
    </w:p>
    <w:p w14:paraId="31153AF1" w14:textId="6DF934DF" w:rsidR="00157EAA" w:rsidRDefault="00157EAA" w:rsidP="00F72E9C">
      <w:pPr>
        <w:spacing w:line="480" w:lineRule="auto"/>
        <w:rPr>
          <w:rFonts w:ascii="바탕" w:eastAsia="바탕" w:hAnsi="바탕"/>
          <w:b/>
          <w:bCs/>
        </w:rPr>
      </w:pPr>
      <w:bookmarkStart w:id="1" w:name="_Hlk217056891"/>
      <w:r>
        <w:rPr>
          <w:rFonts w:ascii="바탕" w:eastAsia="바탕" w:hAnsi="바탕" w:hint="eastAsia"/>
          <w:iCs/>
          <w:szCs w:val="22"/>
        </w:rPr>
        <w:t xml:space="preserve">The framework we used </w:t>
      </w:r>
      <w:r w:rsidR="00F63B4C">
        <w:rPr>
          <w:rFonts w:ascii="바탕" w:eastAsia="바탕" w:hAnsi="바탕" w:hint="eastAsia"/>
          <w:iCs/>
          <w:szCs w:val="22"/>
        </w:rPr>
        <w:t xml:space="preserve">in calculating the effects of </w:t>
      </w:r>
      <w:r w:rsidR="00130DB1">
        <w:rPr>
          <w:rFonts w:ascii="바탕" w:eastAsia="바탕" w:hAnsi="바탕" w:hint="eastAsia"/>
          <w:iCs/>
          <w:szCs w:val="22"/>
        </w:rPr>
        <w:t>non-pharmaceutical interventions</w:t>
      </w:r>
      <w:r w:rsidR="00F63B4C">
        <w:rPr>
          <w:rFonts w:ascii="바탕" w:eastAsia="바탕" w:hAnsi="바탕" w:hint="eastAsia"/>
          <w:iCs/>
          <w:szCs w:val="22"/>
        </w:rPr>
        <w:t xml:space="preserve"> </w:t>
      </w:r>
      <w:r w:rsidRPr="00FF3D68">
        <w:rPr>
          <w:rFonts w:ascii="바탕" w:eastAsia="바탕" w:hAnsi="바탕"/>
          <w:iCs/>
          <w:szCs w:val="22"/>
        </w:rPr>
        <w:t xml:space="preserve">aligns the six WHO 2020 criteria with the </w:t>
      </w:r>
      <w:proofErr w:type="spellStart"/>
      <w:r w:rsidRPr="00FF3D68">
        <w:rPr>
          <w:rFonts w:ascii="바탕" w:eastAsia="바탕" w:hAnsi="바탕"/>
          <w:iCs/>
          <w:szCs w:val="22"/>
        </w:rPr>
        <w:t>OxCGRT</w:t>
      </w:r>
      <w:proofErr w:type="spellEnd"/>
      <w:r w:rsidRPr="00FF3D68">
        <w:rPr>
          <w:rFonts w:ascii="바탕" w:eastAsia="바탕" w:hAnsi="바탕"/>
          <w:iCs/>
          <w:szCs w:val="22"/>
        </w:rPr>
        <w:t xml:space="preserve"> database to provide a robust Risk Index for the South Korean context</w:t>
      </w:r>
      <w:r w:rsidRPr="0030287D">
        <w:rPr>
          <w:rFonts w:ascii="바탕" w:eastAsia="바탕" w:hAnsi="바탕" w:hint="eastAsia"/>
          <w:iCs/>
          <w:szCs w:val="22"/>
        </w:rPr>
        <w:t>.</w:t>
      </w:r>
    </w:p>
    <w:p w14:paraId="3514E96D" w14:textId="06E91C29" w:rsidR="00A617AF" w:rsidRPr="00F72E9C" w:rsidRDefault="0060144E" w:rsidP="00F72E9C">
      <w:pPr>
        <w:spacing w:line="480" w:lineRule="auto"/>
        <w:rPr>
          <w:rFonts w:ascii="바탕" w:eastAsia="바탕" w:hAnsi="바탕"/>
          <w:b/>
          <w:bCs/>
          <w:iCs/>
          <w:szCs w:val="22"/>
        </w:rPr>
      </w:pPr>
      <w:r w:rsidRPr="00F72E9C">
        <w:rPr>
          <w:rFonts w:ascii="바탕" w:eastAsia="바탕" w:hAnsi="바탕" w:hint="eastAsia"/>
          <w:b/>
          <w:bCs/>
          <w:iCs/>
          <w:szCs w:val="22"/>
        </w:rPr>
        <w:t>Table</w:t>
      </w:r>
      <w:r w:rsidR="00057A87" w:rsidRPr="00F72E9C">
        <w:rPr>
          <w:rFonts w:ascii="바탕" w:eastAsia="바탕" w:hAnsi="바탕" w:hint="eastAsia"/>
          <w:b/>
          <w:bCs/>
          <w:iCs/>
          <w:szCs w:val="22"/>
        </w:rPr>
        <w:t>.</w:t>
      </w:r>
      <w:r w:rsidR="00F72E9C" w:rsidRPr="00F72E9C">
        <w:rPr>
          <w:rFonts w:ascii="바탕" w:eastAsia="바탕" w:hAnsi="바탕" w:hint="eastAsia"/>
          <w:b/>
          <w:bCs/>
          <w:iCs/>
          <w:szCs w:val="22"/>
        </w:rPr>
        <w:t xml:space="preserve"> </w:t>
      </w:r>
      <w:r w:rsidRPr="00F72E9C">
        <w:rPr>
          <w:rFonts w:ascii="바탕" w:eastAsia="바탕" w:hAnsi="바탕" w:hint="eastAsia"/>
          <w:b/>
          <w:bCs/>
          <w:iCs/>
          <w:szCs w:val="22"/>
        </w:rPr>
        <w:t>1</w:t>
      </w:r>
      <w:r w:rsidR="00F72E9C" w:rsidRPr="00F72E9C">
        <w:rPr>
          <w:rFonts w:ascii="바탕" w:eastAsia="바탕" w:hAnsi="바탕" w:hint="eastAsia"/>
          <w:b/>
          <w:bCs/>
          <w:iCs/>
          <w:szCs w:val="22"/>
        </w:rPr>
        <w:t>.</w:t>
      </w:r>
      <w:r w:rsidRPr="00F72E9C">
        <w:rPr>
          <w:rFonts w:ascii="바탕" w:eastAsia="바탕" w:hAnsi="바탕" w:hint="eastAsia"/>
          <w:b/>
          <w:bCs/>
          <w:iCs/>
          <w:szCs w:val="22"/>
        </w:rPr>
        <w:t xml:space="preserve"> WHO recommendations on PHSM and risk indexes</w:t>
      </w:r>
      <w:bookmarkEnd w:id="1"/>
    </w:p>
    <w:tbl>
      <w:tblPr>
        <w:tblStyle w:val="ab"/>
        <w:tblW w:w="0" w:type="auto"/>
        <w:tblInd w:w="800" w:type="dxa"/>
        <w:tblLook w:val="04A0" w:firstRow="1" w:lastRow="0" w:firstColumn="1" w:lastColumn="0" w:noHBand="0" w:noVBand="1"/>
      </w:tblPr>
      <w:tblGrid>
        <w:gridCol w:w="2739"/>
        <w:gridCol w:w="2738"/>
        <w:gridCol w:w="2739"/>
      </w:tblGrid>
      <w:tr w:rsidR="0060144E" w:rsidRPr="0030287D" w14:paraId="54D99004" w14:textId="77777777" w:rsidTr="00580B0E">
        <w:tc>
          <w:tcPr>
            <w:tcW w:w="2739" w:type="dxa"/>
          </w:tcPr>
          <w:p w14:paraId="3F801D20" w14:textId="77777777" w:rsidR="0060144E" w:rsidRPr="0030287D" w:rsidRDefault="0060144E" w:rsidP="00580B0E">
            <w:pPr>
              <w:pStyle w:val="a6"/>
              <w:spacing w:line="480" w:lineRule="auto"/>
              <w:ind w:left="0"/>
              <w:rPr>
                <w:rFonts w:ascii="바탕" w:eastAsia="바탕" w:hAnsi="바탕"/>
                <w:color w:val="000000" w:themeColor="text1"/>
                <w:szCs w:val="22"/>
              </w:rPr>
            </w:pPr>
            <w:r w:rsidRPr="0030287D">
              <w:rPr>
                <w:rFonts w:ascii="바탕" w:eastAsia="바탕" w:hAnsi="바탕" w:hint="eastAsia"/>
                <w:color w:val="000000" w:themeColor="text1"/>
                <w:szCs w:val="22"/>
              </w:rPr>
              <w:t xml:space="preserve">WHO </w:t>
            </w:r>
            <w:proofErr w:type="spellStart"/>
            <w:r w:rsidRPr="0030287D">
              <w:rPr>
                <w:rFonts w:ascii="바탕" w:eastAsia="바탕" w:hAnsi="바탕" w:hint="eastAsia"/>
                <w:color w:val="000000" w:themeColor="text1"/>
                <w:szCs w:val="22"/>
              </w:rPr>
              <w:t>recommendataion</w:t>
            </w:r>
            <w:proofErr w:type="spellEnd"/>
          </w:p>
        </w:tc>
        <w:tc>
          <w:tcPr>
            <w:tcW w:w="2738" w:type="dxa"/>
          </w:tcPr>
          <w:p w14:paraId="30EA1F1B" w14:textId="77777777" w:rsidR="0060144E" w:rsidRPr="0030287D" w:rsidRDefault="0060144E" w:rsidP="00580B0E">
            <w:pPr>
              <w:pStyle w:val="a6"/>
              <w:spacing w:line="480" w:lineRule="auto"/>
              <w:ind w:left="0"/>
              <w:rPr>
                <w:rFonts w:ascii="바탕" w:eastAsia="바탕" w:hAnsi="바탕"/>
                <w:color w:val="000000" w:themeColor="text1"/>
                <w:szCs w:val="22"/>
              </w:rPr>
            </w:pPr>
            <w:r w:rsidRPr="0030287D">
              <w:rPr>
                <w:rFonts w:ascii="바탕" w:eastAsia="바탕" w:hAnsi="바탕" w:hint="eastAsia"/>
                <w:color w:val="000000" w:themeColor="text1"/>
                <w:szCs w:val="22"/>
              </w:rPr>
              <w:t>Data sources</w:t>
            </w:r>
          </w:p>
        </w:tc>
        <w:tc>
          <w:tcPr>
            <w:tcW w:w="2739" w:type="dxa"/>
          </w:tcPr>
          <w:p w14:paraId="20B82E6B" w14:textId="77777777" w:rsidR="0060144E" w:rsidRPr="0030287D" w:rsidRDefault="0060144E" w:rsidP="00580B0E">
            <w:pPr>
              <w:pStyle w:val="a6"/>
              <w:spacing w:line="480" w:lineRule="auto"/>
              <w:ind w:left="0"/>
              <w:rPr>
                <w:rFonts w:ascii="바탕" w:eastAsia="바탕" w:hAnsi="바탕"/>
                <w:color w:val="000000" w:themeColor="text1"/>
                <w:szCs w:val="22"/>
              </w:rPr>
            </w:pPr>
            <w:r w:rsidRPr="0030287D">
              <w:rPr>
                <w:rFonts w:ascii="바탕" w:eastAsia="바탕" w:hAnsi="바탕" w:hint="eastAsia"/>
                <w:color w:val="000000" w:themeColor="text1"/>
                <w:szCs w:val="22"/>
              </w:rPr>
              <w:t>Risk index sub-component</w:t>
            </w:r>
          </w:p>
        </w:tc>
      </w:tr>
      <w:tr w:rsidR="0060144E" w:rsidRPr="0030287D" w14:paraId="73D542FE" w14:textId="77777777" w:rsidTr="00580B0E">
        <w:tc>
          <w:tcPr>
            <w:tcW w:w="2739" w:type="dxa"/>
          </w:tcPr>
          <w:p w14:paraId="3976DECB" w14:textId="77777777" w:rsidR="0060144E" w:rsidRPr="0030287D" w:rsidRDefault="0060144E" w:rsidP="00580B0E">
            <w:pPr>
              <w:pStyle w:val="a6"/>
              <w:spacing w:line="480" w:lineRule="auto"/>
              <w:ind w:left="0"/>
              <w:rPr>
                <w:rFonts w:ascii="바탕" w:eastAsia="바탕" w:hAnsi="바탕"/>
                <w:color w:val="000000" w:themeColor="text1"/>
                <w:szCs w:val="22"/>
              </w:rPr>
            </w:pPr>
            <w:r w:rsidRPr="0030287D">
              <w:rPr>
                <w:rFonts w:ascii="바탕" w:eastAsia="바탕" w:hAnsi="바탕" w:hint="eastAsia"/>
                <w:color w:val="000000" w:themeColor="text1"/>
                <w:szCs w:val="22"/>
              </w:rPr>
              <w:t>Transmission controlled</w:t>
            </w:r>
          </w:p>
        </w:tc>
        <w:tc>
          <w:tcPr>
            <w:tcW w:w="2738" w:type="dxa"/>
          </w:tcPr>
          <w:p w14:paraId="204DD675"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i/>
                <w:iCs/>
                <w:color w:val="000000" w:themeColor="text1"/>
                <w:sz w:val="22"/>
                <w:szCs w:val="22"/>
              </w:rPr>
              <w:t xml:space="preserve">No </w:t>
            </w:r>
            <w:proofErr w:type="spellStart"/>
            <w:r w:rsidRPr="0030287D">
              <w:rPr>
                <w:rFonts w:ascii="바탕" w:eastAsia="바탕" w:hAnsi="바탕"/>
                <w:i/>
                <w:iCs/>
                <w:color w:val="000000" w:themeColor="text1"/>
                <w:sz w:val="22"/>
                <w:szCs w:val="22"/>
              </w:rPr>
              <w:t>OxCGRT</w:t>
            </w:r>
            <w:proofErr w:type="spellEnd"/>
            <w:r w:rsidRPr="0030287D">
              <w:rPr>
                <w:rFonts w:ascii="바탕" w:eastAsia="바탕" w:hAnsi="바탕"/>
                <w:i/>
                <w:iCs/>
                <w:color w:val="000000" w:themeColor="text1"/>
                <w:sz w:val="22"/>
                <w:szCs w:val="22"/>
              </w:rPr>
              <w:t xml:space="preserve"> indicators </w:t>
            </w:r>
          </w:p>
          <w:p w14:paraId="65290FA2" w14:textId="77777777" w:rsidR="0060144E" w:rsidRPr="0030287D" w:rsidRDefault="0060144E" w:rsidP="00580B0E">
            <w:pPr>
              <w:pStyle w:val="a6"/>
              <w:spacing w:line="480" w:lineRule="auto"/>
              <w:ind w:left="0"/>
              <w:rPr>
                <w:rFonts w:ascii="바탕" w:eastAsia="바탕" w:hAnsi="바탕"/>
                <w:color w:val="000000" w:themeColor="text1"/>
                <w:szCs w:val="22"/>
              </w:rPr>
            </w:pPr>
            <w:r w:rsidRPr="0030287D">
              <w:rPr>
                <w:rFonts w:ascii="바탕" w:eastAsia="바탕" w:hAnsi="바탕"/>
                <w:color w:val="000000" w:themeColor="text1"/>
                <w:szCs w:val="22"/>
              </w:rPr>
              <w:t xml:space="preserve">Daily cases and deaths data from European Centre for Disease Prevention and Control and John Hopkins University CSSE COVID-19 Data Repository </w:t>
            </w:r>
          </w:p>
        </w:tc>
        <w:tc>
          <w:tcPr>
            <w:tcW w:w="2739" w:type="dxa"/>
          </w:tcPr>
          <w:p w14:paraId="73499E7A"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hint="eastAsia"/>
                <w:color w:val="000000" w:themeColor="text1"/>
                <w:sz w:val="22"/>
                <w:szCs w:val="22"/>
              </w:rPr>
              <w:t xml:space="preserve">A </w:t>
            </w:r>
            <w:r w:rsidRPr="0030287D">
              <w:rPr>
                <w:rFonts w:ascii="바탕" w:eastAsia="바탕" w:hAnsi="바탕"/>
                <w:color w:val="000000" w:themeColor="text1"/>
                <w:sz w:val="22"/>
                <w:szCs w:val="22"/>
              </w:rPr>
              <w:t xml:space="preserve">metric between 0 and 1 based on new cases confirmed each day. This is captured in two dimensions: </w:t>
            </w:r>
          </w:p>
          <w:p w14:paraId="6A51AC59"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t xml:space="preserve">1. A measure to account for a </w:t>
            </w:r>
            <w:proofErr w:type="spellStart"/>
            <w:r w:rsidRPr="0030287D">
              <w:rPr>
                <w:rFonts w:ascii="바탕" w:eastAsia="바탕" w:hAnsi="바탕"/>
                <w:color w:val="000000" w:themeColor="text1"/>
                <w:sz w:val="22"/>
                <w:szCs w:val="22"/>
              </w:rPr>
              <w:t>localised</w:t>
            </w:r>
            <w:proofErr w:type="spellEnd"/>
            <w:r w:rsidRPr="0030287D">
              <w:rPr>
                <w:rFonts w:ascii="바탕" w:eastAsia="바탕" w:hAnsi="바탕"/>
                <w:color w:val="000000" w:themeColor="text1"/>
                <w:sz w:val="22"/>
                <w:szCs w:val="22"/>
              </w:rPr>
              <w:t xml:space="preserve"> outbreak </w:t>
            </w:r>
          </w:p>
          <w:p w14:paraId="5A4DC040" w14:textId="77777777" w:rsidR="0060144E" w:rsidRPr="0030287D" w:rsidRDefault="0060144E" w:rsidP="00580B0E">
            <w:pPr>
              <w:pStyle w:val="a6"/>
              <w:spacing w:line="480" w:lineRule="auto"/>
              <w:ind w:left="0"/>
              <w:rPr>
                <w:rFonts w:ascii="바탕" w:eastAsia="바탕" w:hAnsi="바탕"/>
                <w:color w:val="000000" w:themeColor="text1"/>
                <w:szCs w:val="22"/>
              </w:rPr>
            </w:pPr>
            <w:r w:rsidRPr="0030287D">
              <w:rPr>
                <w:rFonts w:ascii="바탕" w:eastAsia="바탕" w:hAnsi="바탕"/>
                <w:color w:val="000000" w:themeColor="text1"/>
                <w:szCs w:val="22"/>
              </w:rPr>
              <w:t xml:space="preserve">2. An 'endemic factor' that modulates the index according to the total number of new cases </w:t>
            </w:r>
          </w:p>
        </w:tc>
      </w:tr>
      <w:tr w:rsidR="0060144E" w:rsidRPr="0030287D" w14:paraId="3B21C0A3" w14:textId="77777777" w:rsidTr="00580B0E">
        <w:tc>
          <w:tcPr>
            <w:tcW w:w="2739" w:type="dxa"/>
          </w:tcPr>
          <w:p w14:paraId="5778121E"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t xml:space="preserve">Test / trace / isolate </w:t>
            </w:r>
          </w:p>
        </w:tc>
        <w:tc>
          <w:tcPr>
            <w:tcW w:w="2738" w:type="dxa"/>
          </w:tcPr>
          <w:p w14:paraId="345BEEE0" w14:textId="77777777" w:rsidR="0060144E" w:rsidRPr="0030287D" w:rsidRDefault="0060144E" w:rsidP="00580B0E">
            <w:pPr>
              <w:pStyle w:val="Default"/>
              <w:spacing w:line="480" w:lineRule="auto"/>
              <w:rPr>
                <w:rFonts w:ascii="바탕" w:eastAsia="바탕" w:hAnsi="바탕"/>
                <w:color w:val="000000" w:themeColor="text1"/>
                <w:sz w:val="22"/>
                <w:szCs w:val="22"/>
              </w:rPr>
            </w:pPr>
            <w:proofErr w:type="spellStart"/>
            <w:r w:rsidRPr="0030287D">
              <w:rPr>
                <w:rFonts w:ascii="바탕" w:eastAsia="바탕" w:hAnsi="바탕"/>
                <w:color w:val="000000" w:themeColor="text1"/>
                <w:sz w:val="22"/>
                <w:szCs w:val="22"/>
              </w:rPr>
              <w:t>OxCGRT</w:t>
            </w:r>
            <w:proofErr w:type="spellEnd"/>
            <w:r w:rsidRPr="0030287D">
              <w:rPr>
                <w:rFonts w:ascii="바탕" w:eastAsia="바탕" w:hAnsi="바탕"/>
                <w:color w:val="000000" w:themeColor="text1"/>
                <w:sz w:val="22"/>
                <w:szCs w:val="22"/>
              </w:rPr>
              <w:t xml:space="preserve">: H2 (testing policy) </w:t>
            </w:r>
          </w:p>
          <w:p w14:paraId="45E7E962" w14:textId="77777777" w:rsidR="0060144E" w:rsidRPr="0030287D" w:rsidRDefault="0060144E" w:rsidP="00580B0E">
            <w:pPr>
              <w:pStyle w:val="Default"/>
              <w:spacing w:line="480" w:lineRule="auto"/>
              <w:rPr>
                <w:rFonts w:ascii="바탕" w:eastAsia="바탕" w:hAnsi="바탕"/>
                <w:color w:val="000000" w:themeColor="text1"/>
                <w:sz w:val="22"/>
                <w:szCs w:val="22"/>
              </w:rPr>
            </w:pPr>
            <w:proofErr w:type="spellStart"/>
            <w:r w:rsidRPr="0030287D">
              <w:rPr>
                <w:rFonts w:ascii="바탕" w:eastAsia="바탕" w:hAnsi="바탕"/>
                <w:color w:val="000000" w:themeColor="text1"/>
                <w:sz w:val="22"/>
                <w:szCs w:val="22"/>
              </w:rPr>
              <w:t>OxCGRT</w:t>
            </w:r>
            <w:proofErr w:type="spellEnd"/>
            <w:r w:rsidRPr="0030287D">
              <w:rPr>
                <w:rFonts w:ascii="바탕" w:eastAsia="바탕" w:hAnsi="바탕"/>
                <w:color w:val="000000" w:themeColor="text1"/>
                <w:sz w:val="22"/>
                <w:szCs w:val="22"/>
              </w:rPr>
              <w:t xml:space="preserve">: H3 (contact </w:t>
            </w:r>
            <w:r w:rsidRPr="0030287D">
              <w:rPr>
                <w:rFonts w:ascii="바탕" w:eastAsia="바탕" w:hAnsi="바탕"/>
                <w:color w:val="000000" w:themeColor="text1"/>
                <w:sz w:val="22"/>
                <w:szCs w:val="22"/>
              </w:rPr>
              <w:lastRenderedPageBreak/>
              <w:t xml:space="preserve">tracing policy) </w:t>
            </w:r>
          </w:p>
          <w:p w14:paraId="6CF11E8E" w14:textId="77777777" w:rsidR="0060144E" w:rsidRPr="0030287D" w:rsidRDefault="0060144E" w:rsidP="00580B0E">
            <w:pPr>
              <w:pStyle w:val="a6"/>
              <w:spacing w:line="480" w:lineRule="auto"/>
              <w:ind w:left="0"/>
              <w:rPr>
                <w:rFonts w:ascii="바탕" w:eastAsia="바탕" w:hAnsi="바탕"/>
                <w:color w:val="000000" w:themeColor="text1"/>
                <w:szCs w:val="22"/>
              </w:rPr>
            </w:pPr>
            <w:r w:rsidRPr="0030287D">
              <w:rPr>
                <w:rFonts w:ascii="바탕" w:eastAsia="바탕" w:hAnsi="바탕"/>
                <w:color w:val="000000" w:themeColor="text1"/>
                <w:szCs w:val="22"/>
              </w:rPr>
              <w:t xml:space="preserve">Testing data from Our World in Data </w:t>
            </w:r>
          </w:p>
        </w:tc>
        <w:tc>
          <w:tcPr>
            <w:tcW w:w="2739" w:type="dxa"/>
          </w:tcPr>
          <w:p w14:paraId="792E1223"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lastRenderedPageBreak/>
              <w:t xml:space="preserve">A metric between 0 and 1; half based on testing and contact tracing </w:t>
            </w:r>
            <w:r w:rsidRPr="0030287D">
              <w:rPr>
                <w:rFonts w:ascii="바탕" w:eastAsia="바탕" w:hAnsi="바탕"/>
                <w:color w:val="000000" w:themeColor="text1"/>
                <w:sz w:val="22"/>
                <w:szCs w:val="22"/>
              </w:rPr>
              <w:lastRenderedPageBreak/>
              <w:t xml:space="preserve">policy, and half based on the number of tests-per-case a country has conducted. </w:t>
            </w:r>
          </w:p>
          <w:p w14:paraId="777ABFEC" w14:textId="77777777" w:rsidR="0060144E" w:rsidRPr="0030287D" w:rsidRDefault="0060144E" w:rsidP="00580B0E">
            <w:pPr>
              <w:pStyle w:val="a6"/>
              <w:spacing w:line="480" w:lineRule="auto"/>
              <w:ind w:left="0"/>
              <w:rPr>
                <w:rFonts w:ascii="바탕" w:eastAsia="바탕" w:hAnsi="바탕"/>
                <w:color w:val="000000" w:themeColor="text1"/>
                <w:szCs w:val="22"/>
              </w:rPr>
            </w:pPr>
            <w:r w:rsidRPr="0030287D">
              <w:rPr>
                <w:rFonts w:ascii="바탕" w:eastAsia="바탕" w:hAnsi="바탕"/>
                <w:color w:val="000000" w:themeColor="text1"/>
                <w:szCs w:val="22"/>
              </w:rPr>
              <w:t xml:space="preserve">(does not measure isolation) </w:t>
            </w:r>
          </w:p>
        </w:tc>
      </w:tr>
      <w:tr w:rsidR="0060144E" w:rsidRPr="0030287D" w14:paraId="7A4C555C" w14:textId="77777777" w:rsidTr="00580B0E">
        <w:tc>
          <w:tcPr>
            <w:tcW w:w="2739" w:type="dxa"/>
          </w:tcPr>
          <w:p w14:paraId="18E80974"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lastRenderedPageBreak/>
              <w:t xml:space="preserve">High vulnerability settings </w:t>
            </w:r>
          </w:p>
        </w:tc>
        <w:tc>
          <w:tcPr>
            <w:tcW w:w="2738" w:type="dxa"/>
          </w:tcPr>
          <w:p w14:paraId="18BF719F"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i/>
                <w:iCs/>
                <w:color w:val="000000" w:themeColor="text1"/>
                <w:sz w:val="22"/>
                <w:szCs w:val="22"/>
              </w:rPr>
              <w:t xml:space="preserve">Not currently measured </w:t>
            </w:r>
          </w:p>
        </w:tc>
        <w:tc>
          <w:tcPr>
            <w:tcW w:w="2739" w:type="dxa"/>
          </w:tcPr>
          <w:p w14:paraId="0376A95F"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i/>
                <w:iCs/>
                <w:color w:val="000000" w:themeColor="text1"/>
                <w:sz w:val="22"/>
                <w:szCs w:val="22"/>
              </w:rPr>
              <w:t xml:space="preserve">Not currently measured </w:t>
            </w:r>
          </w:p>
        </w:tc>
      </w:tr>
      <w:tr w:rsidR="0060144E" w:rsidRPr="0030287D" w14:paraId="14621AFD" w14:textId="77777777" w:rsidTr="00580B0E">
        <w:tc>
          <w:tcPr>
            <w:tcW w:w="2739" w:type="dxa"/>
          </w:tcPr>
          <w:p w14:paraId="5D739EEF"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t xml:space="preserve">Preventative measures established in workplaces </w:t>
            </w:r>
          </w:p>
        </w:tc>
        <w:tc>
          <w:tcPr>
            <w:tcW w:w="2738" w:type="dxa"/>
          </w:tcPr>
          <w:p w14:paraId="37A5220C"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i/>
                <w:iCs/>
                <w:color w:val="000000" w:themeColor="text1"/>
                <w:sz w:val="22"/>
                <w:szCs w:val="22"/>
              </w:rPr>
              <w:t xml:space="preserve">Not currently measured </w:t>
            </w:r>
          </w:p>
        </w:tc>
        <w:tc>
          <w:tcPr>
            <w:tcW w:w="2739" w:type="dxa"/>
          </w:tcPr>
          <w:p w14:paraId="5517FD6D"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i/>
                <w:iCs/>
                <w:color w:val="000000" w:themeColor="text1"/>
                <w:sz w:val="22"/>
                <w:szCs w:val="22"/>
              </w:rPr>
              <w:t xml:space="preserve">Not currently measured </w:t>
            </w:r>
          </w:p>
        </w:tc>
      </w:tr>
      <w:tr w:rsidR="0060144E" w:rsidRPr="0030287D" w14:paraId="6FD3B782" w14:textId="77777777" w:rsidTr="00580B0E">
        <w:tc>
          <w:tcPr>
            <w:tcW w:w="2739" w:type="dxa"/>
          </w:tcPr>
          <w:p w14:paraId="12B20DF7"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t xml:space="preserve">Manage risk of exporting and importing cases </w:t>
            </w:r>
          </w:p>
        </w:tc>
        <w:tc>
          <w:tcPr>
            <w:tcW w:w="2738" w:type="dxa"/>
          </w:tcPr>
          <w:p w14:paraId="53CE7D18" w14:textId="77777777" w:rsidR="0060144E" w:rsidRPr="0030287D" w:rsidRDefault="0060144E" w:rsidP="00580B0E">
            <w:pPr>
              <w:pStyle w:val="Default"/>
              <w:spacing w:line="480" w:lineRule="auto"/>
              <w:rPr>
                <w:rFonts w:ascii="바탕" w:eastAsia="바탕" w:hAnsi="바탕"/>
                <w:color w:val="000000" w:themeColor="text1"/>
                <w:sz w:val="22"/>
                <w:szCs w:val="22"/>
              </w:rPr>
            </w:pPr>
            <w:proofErr w:type="spellStart"/>
            <w:r w:rsidRPr="0030287D">
              <w:rPr>
                <w:rFonts w:ascii="바탕" w:eastAsia="바탕" w:hAnsi="바탕"/>
                <w:color w:val="000000" w:themeColor="text1"/>
                <w:sz w:val="22"/>
                <w:szCs w:val="22"/>
              </w:rPr>
              <w:t>OxCGRT</w:t>
            </w:r>
            <w:proofErr w:type="spellEnd"/>
            <w:r w:rsidRPr="0030287D">
              <w:rPr>
                <w:rFonts w:ascii="바탕" w:eastAsia="바탕" w:hAnsi="바탕"/>
                <w:color w:val="000000" w:themeColor="text1"/>
                <w:sz w:val="22"/>
                <w:szCs w:val="22"/>
              </w:rPr>
              <w:t xml:space="preserve">: C8 (international travel restrictions) </w:t>
            </w:r>
          </w:p>
        </w:tc>
        <w:tc>
          <w:tcPr>
            <w:tcW w:w="2739" w:type="dxa"/>
          </w:tcPr>
          <w:p w14:paraId="33A1DCAF"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t xml:space="preserve">A metric between 0 and 1 based on the stringency of the country’s restrictions on travel arrivals. </w:t>
            </w:r>
          </w:p>
          <w:p w14:paraId="639BECAE" w14:textId="77777777" w:rsidR="0060144E" w:rsidRPr="0030287D" w:rsidRDefault="0060144E" w:rsidP="00580B0E">
            <w:pPr>
              <w:pStyle w:val="a6"/>
              <w:spacing w:line="480" w:lineRule="auto"/>
              <w:ind w:left="0"/>
              <w:rPr>
                <w:rFonts w:ascii="바탕" w:eastAsia="바탕" w:hAnsi="바탕"/>
                <w:color w:val="000000" w:themeColor="text1"/>
                <w:szCs w:val="22"/>
              </w:rPr>
            </w:pPr>
            <w:r w:rsidRPr="0030287D">
              <w:rPr>
                <w:rFonts w:ascii="바탕" w:eastAsia="바탕" w:hAnsi="바탕"/>
                <w:color w:val="000000" w:themeColor="text1"/>
                <w:szCs w:val="22"/>
              </w:rPr>
              <w:t xml:space="preserve">(does not measure risk of exporting cases) </w:t>
            </w:r>
          </w:p>
        </w:tc>
      </w:tr>
      <w:tr w:rsidR="0060144E" w:rsidRPr="0030287D" w14:paraId="17AFBB7A" w14:textId="77777777" w:rsidTr="00580B0E">
        <w:tc>
          <w:tcPr>
            <w:tcW w:w="2739" w:type="dxa"/>
          </w:tcPr>
          <w:p w14:paraId="2833F070"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t xml:space="preserve">Communities understanding and </w:t>
            </w:r>
            <w:proofErr w:type="spellStart"/>
            <w:r w:rsidRPr="0030287D">
              <w:rPr>
                <w:rFonts w:ascii="바탕" w:eastAsia="바탕" w:hAnsi="바탕"/>
                <w:color w:val="000000" w:themeColor="text1"/>
                <w:sz w:val="22"/>
                <w:szCs w:val="22"/>
              </w:rPr>
              <w:t>behaviour</w:t>
            </w:r>
            <w:proofErr w:type="spellEnd"/>
            <w:r w:rsidRPr="0030287D">
              <w:rPr>
                <w:rFonts w:ascii="바탕" w:eastAsia="바탕" w:hAnsi="바탕"/>
                <w:color w:val="000000" w:themeColor="text1"/>
                <w:sz w:val="22"/>
                <w:szCs w:val="22"/>
              </w:rPr>
              <w:t xml:space="preserve"> change </w:t>
            </w:r>
          </w:p>
        </w:tc>
        <w:tc>
          <w:tcPr>
            <w:tcW w:w="2738" w:type="dxa"/>
          </w:tcPr>
          <w:p w14:paraId="6B9BB60D" w14:textId="77777777" w:rsidR="0060144E" w:rsidRPr="0030287D" w:rsidRDefault="0060144E" w:rsidP="00580B0E">
            <w:pPr>
              <w:pStyle w:val="Default"/>
              <w:spacing w:line="480" w:lineRule="auto"/>
              <w:rPr>
                <w:rFonts w:ascii="바탕" w:eastAsia="바탕" w:hAnsi="바탕"/>
                <w:color w:val="000000" w:themeColor="text1"/>
                <w:sz w:val="22"/>
                <w:szCs w:val="22"/>
              </w:rPr>
            </w:pPr>
            <w:proofErr w:type="spellStart"/>
            <w:r w:rsidRPr="0030287D">
              <w:rPr>
                <w:rFonts w:ascii="바탕" w:eastAsia="바탕" w:hAnsi="바탕"/>
                <w:color w:val="000000" w:themeColor="text1"/>
                <w:sz w:val="22"/>
                <w:szCs w:val="22"/>
              </w:rPr>
              <w:t>OxCGRT</w:t>
            </w:r>
            <w:proofErr w:type="spellEnd"/>
            <w:r w:rsidRPr="0030287D">
              <w:rPr>
                <w:rFonts w:ascii="바탕" w:eastAsia="바탕" w:hAnsi="바탕"/>
                <w:color w:val="000000" w:themeColor="text1"/>
                <w:sz w:val="22"/>
                <w:szCs w:val="22"/>
              </w:rPr>
              <w:t xml:space="preserve">: H1 (public information campaigns) </w:t>
            </w:r>
          </w:p>
          <w:p w14:paraId="4FA407DC"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t xml:space="preserve">Travel and mobility data from Apple and Google. </w:t>
            </w:r>
          </w:p>
          <w:p w14:paraId="62CE5591"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lastRenderedPageBreak/>
              <w:t xml:space="preserve">Daily cases and deaths </w:t>
            </w:r>
          </w:p>
          <w:p w14:paraId="20B582EE" w14:textId="77777777" w:rsidR="0060144E" w:rsidRPr="0030287D" w:rsidRDefault="0060144E" w:rsidP="00580B0E">
            <w:pPr>
              <w:pStyle w:val="a6"/>
              <w:spacing w:line="480" w:lineRule="auto"/>
              <w:ind w:left="0"/>
              <w:rPr>
                <w:rFonts w:ascii="바탕" w:eastAsia="바탕" w:hAnsi="바탕"/>
                <w:color w:val="000000" w:themeColor="text1"/>
                <w:szCs w:val="22"/>
              </w:rPr>
            </w:pPr>
            <w:r w:rsidRPr="0030287D">
              <w:rPr>
                <w:rFonts w:ascii="바탕" w:eastAsia="바탕" w:hAnsi="바탕"/>
                <w:color w:val="000000" w:themeColor="text1"/>
                <w:szCs w:val="22"/>
              </w:rPr>
              <w:t xml:space="preserve">(from European CDC via Our World in Data) </w:t>
            </w:r>
          </w:p>
        </w:tc>
        <w:tc>
          <w:tcPr>
            <w:tcW w:w="2739" w:type="dxa"/>
          </w:tcPr>
          <w:p w14:paraId="6E6CA379" w14:textId="77777777" w:rsidR="0060144E" w:rsidRPr="0030287D" w:rsidRDefault="0060144E" w:rsidP="00580B0E">
            <w:pPr>
              <w:pStyle w:val="Default"/>
              <w:spacing w:line="480" w:lineRule="auto"/>
              <w:rPr>
                <w:rFonts w:ascii="바탕" w:eastAsia="바탕" w:hAnsi="바탕"/>
                <w:color w:val="000000" w:themeColor="text1"/>
                <w:sz w:val="22"/>
                <w:szCs w:val="22"/>
              </w:rPr>
            </w:pPr>
            <w:r w:rsidRPr="0030287D">
              <w:rPr>
                <w:rFonts w:ascii="바탕" w:eastAsia="바탕" w:hAnsi="바탕"/>
                <w:color w:val="000000" w:themeColor="text1"/>
                <w:sz w:val="22"/>
                <w:szCs w:val="22"/>
              </w:rPr>
              <w:lastRenderedPageBreak/>
              <w:t xml:space="preserve">A metric between 0 and 1 based on whether a country has a public information campaign and the level of </w:t>
            </w:r>
            <w:r w:rsidRPr="0030287D">
              <w:rPr>
                <w:rFonts w:ascii="바탕" w:eastAsia="바탕" w:hAnsi="바탕"/>
                <w:color w:val="000000" w:themeColor="text1"/>
                <w:sz w:val="22"/>
                <w:szCs w:val="22"/>
              </w:rPr>
              <w:lastRenderedPageBreak/>
              <w:t xml:space="preserve">mobility reduction, weighted for current transmission risk. </w:t>
            </w:r>
          </w:p>
          <w:p w14:paraId="58C84FF1" w14:textId="77777777" w:rsidR="0060144E" w:rsidRPr="0030287D" w:rsidRDefault="0060144E" w:rsidP="00580B0E">
            <w:pPr>
              <w:spacing w:line="480" w:lineRule="auto"/>
              <w:jc w:val="center"/>
              <w:rPr>
                <w:rFonts w:ascii="바탕" w:eastAsia="바탕" w:hAnsi="바탕"/>
                <w:color w:val="000000" w:themeColor="text1"/>
                <w:szCs w:val="22"/>
              </w:rPr>
            </w:pPr>
          </w:p>
        </w:tc>
      </w:tr>
    </w:tbl>
    <w:p w14:paraId="557B2177" w14:textId="77777777" w:rsidR="0060144E" w:rsidRPr="0060144E" w:rsidRDefault="0060144E">
      <w:pPr>
        <w:rPr>
          <w:rFonts w:ascii="바탕" w:eastAsia="바탕" w:hAnsi="바탕"/>
          <w:b/>
          <w:bCs/>
        </w:rPr>
      </w:pPr>
    </w:p>
    <w:p w14:paraId="68C5F491" w14:textId="0DB04D2A" w:rsidR="00070EE6" w:rsidRPr="00A031B4" w:rsidRDefault="00070EE6" w:rsidP="00A031B4">
      <w:pPr>
        <w:spacing w:line="480" w:lineRule="auto"/>
        <w:ind w:firstLineChars="100" w:firstLine="220"/>
        <w:rPr>
          <w:rFonts w:ascii="바탕" w:eastAsia="바탕" w:hAnsi="바탕"/>
          <w:iCs/>
          <w:szCs w:val="22"/>
        </w:rPr>
      </w:pPr>
      <w:r w:rsidRPr="00A031B4">
        <w:rPr>
          <w:rFonts w:ascii="바탕" w:eastAsia="바탕" w:hAnsi="바탕"/>
          <w:iCs/>
          <w:szCs w:val="22"/>
        </w:rPr>
        <w:t xml:space="preserve">Furthermore, according to the 2023 World Health Organization (WHO) report, </w:t>
      </w:r>
      <w:r w:rsidRPr="00A031B4">
        <w:rPr>
          <w:rFonts w:ascii="바탕" w:eastAsia="바탕" w:hAnsi="바탕"/>
          <w:i/>
          <w:iCs/>
          <w:szCs w:val="22"/>
        </w:rPr>
        <w:t>“Considerations for implementing and adjusting public health and social measures in the context of COVID-19,”</w:t>
      </w:r>
      <w:r w:rsidRPr="00A031B4">
        <w:rPr>
          <w:rFonts w:ascii="바탕" w:eastAsia="바탕" w:hAnsi="바탕"/>
          <w:iCs/>
          <w:szCs w:val="22"/>
        </w:rPr>
        <w:t xml:space="preserve"> Public Health and Social Measures (PHSM) should be implemented and adjusted based on specific situational levels. The recommended categories of PHSM include:</w:t>
      </w:r>
    </w:p>
    <w:p w14:paraId="0D445212" w14:textId="77777777" w:rsidR="00070EE6" w:rsidRPr="00FF3D68" w:rsidRDefault="00070EE6" w:rsidP="00070EE6">
      <w:pPr>
        <w:pStyle w:val="a6"/>
        <w:numPr>
          <w:ilvl w:val="0"/>
          <w:numId w:val="5"/>
        </w:numPr>
        <w:spacing w:line="480" w:lineRule="auto"/>
        <w:rPr>
          <w:rFonts w:ascii="바탕" w:eastAsia="바탕" w:hAnsi="바탕"/>
          <w:iCs/>
          <w:szCs w:val="22"/>
        </w:rPr>
      </w:pPr>
      <w:r w:rsidRPr="00FF3D68">
        <w:rPr>
          <w:rFonts w:ascii="바탕" w:eastAsia="바탕" w:hAnsi="바탕"/>
          <w:iCs/>
          <w:szCs w:val="22"/>
        </w:rPr>
        <w:t>Individual PHSM (e.g., masking, hand hygiene)</w:t>
      </w:r>
    </w:p>
    <w:p w14:paraId="110D2587" w14:textId="77777777" w:rsidR="00070EE6" w:rsidRPr="00FF3D68" w:rsidRDefault="00070EE6" w:rsidP="00070EE6">
      <w:pPr>
        <w:pStyle w:val="a6"/>
        <w:numPr>
          <w:ilvl w:val="0"/>
          <w:numId w:val="5"/>
        </w:numPr>
        <w:spacing w:line="480" w:lineRule="auto"/>
        <w:rPr>
          <w:rFonts w:ascii="바탕" w:eastAsia="바탕" w:hAnsi="바탕"/>
          <w:iCs/>
          <w:szCs w:val="22"/>
        </w:rPr>
      </w:pPr>
      <w:r w:rsidRPr="00FF3D68">
        <w:rPr>
          <w:rFonts w:ascii="바탕" w:eastAsia="바탕" w:hAnsi="바탕"/>
          <w:iCs/>
          <w:szCs w:val="22"/>
        </w:rPr>
        <w:t>Mass gatherings and high-risk settings</w:t>
      </w:r>
    </w:p>
    <w:p w14:paraId="40656D3B" w14:textId="77777777" w:rsidR="00070EE6" w:rsidRPr="00FF3D68" w:rsidRDefault="00070EE6" w:rsidP="00070EE6">
      <w:pPr>
        <w:pStyle w:val="a6"/>
        <w:numPr>
          <w:ilvl w:val="0"/>
          <w:numId w:val="5"/>
        </w:numPr>
        <w:spacing w:line="480" w:lineRule="auto"/>
        <w:rPr>
          <w:rFonts w:ascii="바탕" w:eastAsia="바탕" w:hAnsi="바탕"/>
          <w:iCs/>
          <w:szCs w:val="22"/>
        </w:rPr>
      </w:pPr>
      <w:r w:rsidRPr="00FF3D68">
        <w:rPr>
          <w:rFonts w:ascii="바탕" w:eastAsia="바탕" w:hAnsi="바탕"/>
          <w:iCs/>
          <w:szCs w:val="22"/>
        </w:rPr>
        <w:t>Surveillance, including genomic sequencing</w:t>
      </w:r>
    </w:p>
    <w:p w14:paraId="0E1C4B53" w14:textId="77777777" w:rsidR="00070EE6" w:rsidRPr="00FF3D68" w:rsidRDefault="00070EE6" w:rsidP="00070EE6">
      <w:pPr>
        <w:pStyle w:val="a6"/>
        <w:numPr>
          <w:ilvl w:val="0"/>
          <w:numId w:val="5"/>
        </w:numPr>
        <w:spacing w:line="480" w:lineRule="auto"/>
        <w:rPr>
          <w:rFonts w:ascii="바탕" w:eastAsia="바탕" w:hAnsi="바탕"/>
          <w:iCs/>
          <w:szCs w:val="22"/>
        </w:rPr>
      </w:pPr>
      <w:r w:rsidRPr="00FF3D68">
        <w:rPr>
          <w:rFonts w:ascii="바탕" w:eastAsia="바탕" w:hAnsi="바탕"/>
          <w:iCs/>
          <w:szCs w:val="22"/>
        </w:rPr>
        <w:t>Contact tracing and supported quarantine</w:t>
      </w:r>
    </w:p>
    <w:p w14:paraId="6E826F4A" w14:textId="77777777" w:rsidR="00070EE6" w:rsidRPr="00FF3D68" w:rsidRDefault="00070EE6" w:rsidP="00070EE6">
      <w:pPr>
        <w:pStyle w:val="a6"/>
        <w:numPr>
          <w:ilvl w:val="0"/>
          <w:numId w:val="5"/>
        </w:numPr>
        <w:spacing w:line="480" w:lineRule="auto"/>
        <w:rPr>
          <w:rFonts w:ascii="바탕" w:eastAsia="바탕" w:hAnsi="바탕"/>
          <w:iCs/>
          <w:szCs w:val="22"/>
        </w:rPr>
      </w:pPr>
      <w:r w:rsidRPr="00FF3D68">
        <w:rPr>
          <w:rFonts w:ascii="바탕" w:eastAsia="바탕" w:hAnsi="바탕"/>
          <w:iCs/>
          <w:szCs w:val="22"/>
        </w:rPr>
        <w:t>School settings (e.g., ventilation and hygiene protocols)</w:t>
      </w:r>
    </w:p>
    <w:p w14:paraId="1CF4564E" w14:textId="77777777" w:rsidR="00070EE6" w:rsidRPr="00FF3D68" w:rsidRDefault="00070EE6" w:rsidP="00070EE6">
      <w:pPr>
        <w:pStyle w:val="a6"/>
        <w:numPr>
          <w:ilvl w:val="0"/>
          <w:numId w:val="5"/>
        </w:numPr>
        <w:spacing w:line="480" w:lineRule="auto"/>
        <w:rPr>
          <w:rFonts w:ascii="바탕" w:eastAsia="바탕" w:hAnsi="바탕"/>
          <w:iCs/>
          <w:szCs w:val="22"/>
        </w:rPr>
      </w:pPr>
      <w:r w:rsidRPr="00FF3D68">
        <w:rPr>
          <w:rFonts w:ascii="바탕" w:eastAsia="바탕" w:hAnsi="바탕"/>
          <w:iCs/>
          <w:szCs w:val="22"/>
        </w:rPr>
        <w:t>Businesses (e.g., cleaning, hand hygiene, and ventilation)</w:t>
      </w:r>
    </w:p>
    <w:p w14:paraId="649FC1E1" w14:textId="77777777" w:rsidR="00070EE6" w:rsidRPr="00FF3D68" w:rsidRDefault="00070EE6" w:rsidP="00070EE6">
      <w:pPr>
        <w:pStyle w:val="a6"/>
        <w:numPr>
          <w:ilvl w:val="0"/>
          <w:numId w:val="5"/>
        </w:numPr>
        <w:spacing w:line="480" w:lineRule="auto"/>
        <w:rPr>
          <w:rFonts w:ascii="바탕" w:eastAsia="바탕" w:hAnsi="바탕"/>
          <w:iCs/>
          <w:szCs w:val="22"/>
        </w:rPr>
      </w:pPr>
      <w:r w:rsidRPr="00FF3D68">
        <w:rPr>
          <w:rFonts w:ascii="바탕" w:eastAsia="바탕" w:hAnsi="바탕"/>
          <w:iCs/>
          <w:szCs w:val="22"/>
        </w:rPr>
        <w:t>Domestic movement and travel restrictions</w:t>
      </w:r>
    </w:p>
    <w:p w14:paraId="5FDDC2E2" w14:textId="77777777" w:rsidR="00070EE6" w:rsidRDefault="00070EE6" w:rsidP="00070EE6">
      <w:pPr>
        <w:pStyle w:val="a6"/>
        <w:numPr>
          <w:ilvl w:val="0"/>
          <w:numId w:val="5"/>
        </w:numPr>
        <w:spacing w:line="480" w:lineRule="auto"/>
        <w:rPr>
          <w:rFonts w:ascii="바탕" w:eastAsia="바탕" w:hAnsi="바탕"/>
          <w:iCs/>
          <w:szCs w:val="22"/>
        </w:rPr>
      </w:pPr>
      <w:r w:rsidRPr="00FF3D68">
        <w:rPr>
          <w:rFonts w:ascii="바탕" w:eastAsia="바탕" w:hAnsi="바탕"/>
          <w:iCs/>
          <w:szCs w:val="22"/>
        </w:rPr>
        <w:t>Healthcare (e.g., home isolation protocols and infrastructure)</w:t>
      </w:r>
    </w:p>
    <w:p w14:paraId="2977E659" w14:textId="77777777" w:rsidR="0060144E" w:rsidRPr="00070EE6" w:rsidRDefault="0060144E">
      <w:pPr>
        <w:rPr>
          <w:rFonts w:ascii="바탕" w:eastAsia="바탕" w:hAnsi="바탕"/>
          <w:b/>
          <w:bCs/>
        </w:rPr>
      </w:pPr>
    </w:p>
    <w:p w14:paraId="3060E3CC" w14:textId="77777777" w:rsidR="00CD5D09" w:rsidRDefault="00CD5D09">
      <w:pPr>
        <w:widowControl/>
        <w:wordWrap/>
        <w:autoSpaceDE/>
        <w:autoSpaceDN/>
        <w:rPr>
          <w:rFonts w:ascii="바탕" w:eastAsia="바탕" w:hAnsi="바탕"/>
          <w:b/>
          <w:bCs/>
        </w:rPr>
      </w:pPr>
      <w:r>
        <w:rPr>
          <w:rFonts w:ascii="바탕" w:eastAsia="바탕" w:hAnsi="바탕"/>
          <w:b/>
          <w:bCs/>
        </w:rPr>
        <w:br w:type="page"/>
      </w:r>
    </w:p>
    <w:p w14:paraId="4D7F35FE" w14:textId="7F4C6237" w:rsidR="00157EAA" w:rsidRPr="00157EAA" w:rsidRDefault="00157EAA" w:rsidP="00157EAA">
      <w:pPr>
        <w:rPr>
          <w:rFonts w:ascii="바탕" w:eastAsia="바탕" w:hAnsi="바탕"/>
          <w:b/>
          <w:bCs/>
        </w:rPr>
      </w:pPr>
      <w:r w:rsidRPr="00157EAA">
        <w:rPr>
          <w:rFonts w:ascii="바탕" w:eastAsia="바탕" w:hAnsi="바탕" w:hint="eastAsia"/>
          <w:b/>
          <w:bCs/>
        </w:rPr>
        <w:lastRenderedPageBreak/>
        <w:t>A.5 Derived Risk Indicators</w:t>
      </w:r>
    </w:p>
    <w:p w14:paraId="62CAC689" w14:textId="77777777" w:rsidR="009222B2" w:rsidRDefault="009222B2">
      <w:pPr>
        <w:rPr>
          <w:rFonts w:ascii="바탕" w:eastAsia="바탕" w:hAnsi="바탕"/>
          <w:b/>
          <w:bCs/>
        </w:rPr>
      </w:pPr>
    </w:p>
    <w:p w14:paraId="5AC65844" w14:textId="4A3BCD68" w:rsidR="00157EAA" w:rsidRDefault="00F02F59" w:rsidP="00F02F59">
      <w:pPr>
        <w:jc w:val="center"/>
        <w:rPr>
          <w:rFonts w:ascii="바탕" w:eastAsia="바탕" w:hAnsi="바탕"/>
          <w:b/>
          <w:bCs/>
        </w:rPr>
      </w:pPr>
      <w:r w:rsidRPr="0030287D">
        <w:rPr>
          <w:rFonts w:ascii="바탕" w:eastAsia="바탕" w:hAnsi="바탕"/>
          <w:iCs/>
          <w:noProof/>
          <w:szCs w:val="22"/>
        </w:rPr>
        <w:drawing>
          <wp:inline distT="0" distB="0" distL="0" distR="0" wp14:anchorId="7343F0B6" wp14:editId="6A124645">
            <wp:extent cx="4686300" cy="2106938"/>
            <wp:effectExtent l="0" t="0" r="0" b="7620"/>
            <wp:docPr id="1942751199" name="그림 1" descr="텍스트, 라인, 그래프,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1199" name="그림 1" descr="텍스트, 라인, 그래프, 폰트이(가) 표시된 사진&#10;&#10;AI 생성 콘텐츠는 정확하지 않을 수 있습니다."/>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9774" cy="2108500"/>
                    </a:xfrm>
                    <a:prstGeom prst="rect">
                      <a:avLst/>
                    </a:prstGeom>
                    <a:noFill/>
                    <a:ln>
                      <a:noFill/>
                    </a:ln>
                  </pic:spPr>
                </pic:pic>
              </a:graphicData>
            </a:graphic>
          </wp:inline>
        </w:drawing>
      </w:r>
    </w:p>
    <w:p w14:paraId="70DFEAEA" w14:textId="35A58183" w:rsidR="00F02F59" w:rsidRPr="00277BDA" w:rsidRDefault="00F02F59" w:rsidP="00237D92">
      <w:pPr>
        <w:spacing w:line="480" w:lineRule="auto"/>
        <w:rPr>
          <w:rFonts w:ascii="바탕" w:eastAsia="바탕" w:hAnsi="바탕"/>
          <w:b/>
          <w:bCs/>
          <w:iCs/>
          <w:szCs w:val="22"/>
        </w:rPr>
      </w:pPr>
      <w:bookmarkStart w:id="2" w:name="_Hlk217057053"/>
      <w:r w:rsidRPr="00277BDA">
        <w:rPr>
          <w:rFonts w:ascii="바탕" w:eastAsia="바탕" w:hAnsi="바탕" w:hint="eastAsia"/>
          <w:b/>
          <w:bCs/>
          <w:iCs/>
          <w:szCs w:val="22"/>
        </w:rPr>
        <w:t>Fig</w:t>
      </w:r>
      <w:r w:rsidR="00237D92">
        <w:rPr>
          <w:rFonts w:ascii="바탕" w:eastAsia="바탕" w:hAnsi="바탕" w:hint="eastAsia"/>
          <w:b/>
          <w:bCs/>
          <w:iCs/>
          <w:szCs w:val="22"/>
        </w:rPr>
        <w:t xml:space="preserve">. </w:t>
      </w:r>
      <w:r w:rsidR="00FD36E5">
        <w:rPr>
          <w:rFonts w:ascii="바탕" w:eastAsia="바탕" w:hAnsi="바탕" w:hint="eastAsia"/>
          <w:b/>
          <w:bCs/>
          <w:iCs/>
          <w:szCs w:val="22"/>
        </w:rPr>
        <w:t>4</w:t>
      </w:r>
      <w:r w:rsidRPr="00277BDA">
        <w:rPr>
          <w:rFonts w:ascii="바탕" w:eastAsia="바탕" w:hAnsi="바탕" w:hint="eastAsia"/>
          <w:b/>
          <w:bCs/>
          <w:iCs/>
          <w:szCs w:val="22"/>
        </w:rPr>
        <w:t xml:space="preserve">. </w:t>
      </w:r>
      <w:r w:rsidRPr="00277BDA">
        <w:rPr>
          <w:rFonts w:ascii="바탕" w:eastAsia="바탕" w:hAnsi="바탕"/>
          <w:b/>
          <w:bCs/>
          <w:iCs/>
          <w:szCs w:val="22"/>
        </w:rPr>
        <w:t>A</w:t>
      </w:r>
      <w:r w:rsidRPr="00277BDA">
        <w:rPr>
          <w:rFonts w:ascii="바탕" w:eastAsia="바탕" w:hAnsi="바탕" w:hint="eastAsia"/>
          <w:b/>
          <w:bCs/>
          <w:iCs/>
          <w:szCs w:val="22"/>
        </w:rPr>
        <w:t xml:space="preserve">djusted risk of openness index in South Korea, 2020.01 </w:t>
      </w:r>
      <w:r w:rsidRPr="00277BDA">
        <w:rPr>
          <w:rFonts w:ascii="바탕" w:eastAsia="바탕" w:hAnsi="바탕"/>
          <w:b/>
          <w:bCs/>
          <w:iCs/>
          <w:szCs w:val="22"/>
        </w:rPr>
        <w:t>–</w:t>
      </w:r>
      <w:r w:rsidRPr="00277BDA">
        <w:rPr>
          <w:rFonts w:ascii="바탕" w:eastAsia="바탕" w:hAnsi="바탕" w:hint="eastAsia"/>
          <w:b/>
          <w:bCs/>
          <w:iCs/>
          <w:szCs w:val="22"/>
        </w:rPr>
        <w:t xml:space="preserve"> 2022.07</w:t>
      </w:r>
    </w:p>
    <w:bookmarkEnd w:id="2"/>
    <w:p w14:paraId="6FD636C4" w14:textId="77777777" w:rsidR="008B2C7D" w:rsidRPr="008B2C7D" w:rsidRDefault="008B2C7D" w:rsidP="008A09DE">
      <w:pPr>
        <w:spacing w:line="480" w:lineRule="auto"/>
        <w:rPr>
          <w:rFonts w:ascii="바탕" w:eastAsia="바탕" w:hAnsi="바탕"/>
          <w:szCs w:val="22"/>
        </w:rPr>
      </w:pPr>
      <w:r w:rsidRPr="008B2C7D">
        <w:rPr>
          <w:rFonts w:ascii="바탕" w:eastAsia="바탕" w:hAnsi="바탕" w:hint="eastAsia"/>
          <w:iCs/>
          <w:szCs w:val="22"/>
        </w:rPr>
        <w:t xml:space="preserve">Before March 2021 when </w:t>
      </w:r>
      <w:r w:rsidRPr="008B2C7D">
        <w:rPr>
          <w:rFonts w:ascii="바탕" w:eastAsia="바탕" w:hAnsi="바탕"/>
          <w:iCs/>
          <w:szCs w:val="22"/>
        </w:rPr>
        <w:t>vaccination</w:t>
      </w:r>
      <w:r w:rsidRPr="008B2C7D">
        <w:rPr>
          <w:rFonts w:ascii="바탕" w:eastAsia="바탕" w:hAnsi="바탕" w:hint="eastAsia"/>
          <w:iCs/>
          <w:szCs w:val="22"/>
        </w:rPr>
        <w:t xml:space="preserve"> was initiated, </w:t>
      </w:r>
      <m:oMath>
        <m:r>
          <w:rPr>
            <w:rFonts w:ascii="Cambria Math" w:eastAsia="바탕" w:hAnsi="Cambria Math"/>
            <w:szCs w:val="22"/>
          </w:rPr>
          <m:t>Ro</m:t>
        </m:r>
        <m:sSub>
          <m:sSubPr>
            <m:ctrlPr>
              <w:rPr>
                <w:rFonts w:ascii="Cambria Math" w:eastAsia="바탕" w:hAnsi="Cambria Math"/>
                <w:i/>
                <w:szCs w:val="22"/>
              </w:rPr>
            </m:ctrlPr>
          </m:sSubPr>
          <m:e>
            <m:r>
              <w:rPr>
                <w:rFonts w:ascii="Cambria Math" w:eastAsia="바탕" w:hAnsi="Cambria Math"/>
                <w:szCs w:val="22"/>
              </w:rPr>
              <m:t>OI</m:t>
            </m:r>
          </m:e>
          <m:sub>
            <m:r>
              <w:rPr>
                <w:rFonts w:ascii="Cambria Math" w:eastAsia="바탕" w:hAnsi="Cambria Math"/>
                <w:szCs w:val="22"/>
              </w:rPr>
              <m:t>adjusted</m:t>
            </m:r>
          </m:sub>
        </m:sSub>
      </m:oMath>
      <w:r w:rsidRPr="008B2C7D">
        <w:rPr>
          <w:rFonts w:ascii="바탕" w:eastAsia="바탕" w:hAnsi="바탕" w:hint="eastAsia"/>
          <w:szCs w:val="22"/>
        </w:rPr>
        <w:t xml:space="preserve"> is maintained as 1, then starts to move in a similar pattern with </w:t>
      </w:r>
      <m:oMath>
        <m:r>
          <w:rPr>
            <w:rFonts w:ascii="Cambria Math" w:eastAsia="바탕" w:hAnsi="Cambria Math"/>
            <w:szCs w:val="22"/>
          </w:rPr>
          <m:t>Ro</m:t>
        </m:r>
        <m:sSub>
          <m:sSubPr>
            <m:ctrlPr>
              <w:rPr>
                <w:rFonts w:ascii="Cambria Math" w:eastAsia="바탕" w:hAnsi="Cambria Math"/>
                <w:i/>
                <w:szCs w:val="22"/>
              </w:rPr>
            </m:ctrlPr>
          </m:sSubPr>
          <m:e>
            <m:r>
              <w:rPr>
                <w:rFonts w:ascii="Cambria Math" w:eastAsia="바탕" w:hAnsi="Cambria Math"/>
                <w:szCs w:val="22"/>
              </w:rPr>
              <m:t>OI</m:t>
            </m:r>
          </m:e>
          <m:sub>
            <m:r>
              <w:rPr>
                <w:rFonts w:ascii="Cambria Math" w:eastAsia="바탕" w:hAnsi="Cambria Math"/>
                <w:szCs w:val="22"/>
              </w:rPr>
              <m:t>unadjusted</m:t>
            </m:r>
          </m:sub>
        </m:sSub>
      </m:oMath>
      <w:r w:rsidRPr="008B2C7D">
        <w:rPr>
          <w:rFonts w:ascii="바탕" w:eastAsia="바탕" w:hAnsi="바탕" w:hint="eastAsia"/>
          <w:szCs w:val="22"/>
        </w:rPr>
        <w:t xml:space="preserve"> from December 2021.</w:t>
      </w:r>
    </w:p>
    <w:p w14:paraId="01D41040" w14:textId="77777777" w:rsidR="0060144E" w:rsidRPr="008B2C7D" w:rsidRDefault="0060144E">
      <w:pPr>
        <w:rPr>
          <w:rFonts w:ascii="바탕" w:eastAsia="바탕" w:hAnsi="바탕"/>
          <w:b/>
          <w:bCs/>
        </w:rPr>
      </w:pPr>
    </w:p>
    <w:p w14:paraId="44F21EAA" w14:textId="77777777" w:rsidR="00F70280" w:rsidRDefault="00F70280">
      <w:pPr>
        <w:widowControl/>
        <w:wordWrap/>
        <w:autoSpaceDE/>
        <w:autoSpaceDN/>
        <w:rPr>
          <w:rFonts w:ascii="바탕" w:eastAsia="바탕" w:hAnsi="바탕"/>
          <w:b/>
          <w:bCs/>
        </w:rPr>
      </w:pPr>
      <w:r>
        <w:rPr>
          <w:rFonts w:ascii="바탕" w:eastAsia="바탕" w:hAnsi="바탕"/>
          <w:b/>
          <w:bCs/>
        </w:rPr>
        <w:br w:type="page"/>
      </w:r>
    </w:p>
    <w:p w14:paraId="37385C6E" w14:textId="27F03370" w:rsidR="008B2C7D" w:rsidRDefault="008A3490">
      <w:pPr>
        <w:rPr>
          <w:rFonts w:ascii="바탕" w:eastAsia="바탕" w:hAnsi="바탕" w:hint="eastAsia"/>
          <w:b/>
          <w:bCs/>
        </w:rPr>
      </w:pPr>
      <w:r w:rsidRPr="008A3490">
        <w:rPr>
          <w:rFonts w:ascii="바탕" w:eastAsia="바탕" w:hAnsi="바탕" w:hint="eastAsia"/>
          <w:b/>
          <w:bCs/>
        </w:rPr>
        <w:lastRenderedPageBreak/>
        <w:t>A.6 Weekly practical vaccination rate</w:t>
      </w:r>
    </w:p>
    <w:p w14:paraId="2E71F324" w14:textId="62AA5564" w:rsidR="004061BD" w:rsidRDefault="00857455" w:rsidP="00857455">
      <w:pPr>
        <w:jc w:val="center"/>
        <w:rPr>
          <w:rFonts w:ascii="바탕" w:eastAsia="바탕" w:hAnsi="바탕"/>
          <w:b/>
          <w:bCs/>
        </w:rPr>
      </w:pPr>
      <w:r w:rsidRPr="0030287D">
        <w:rPr>
          <w:rFonts w:ascii="바탕" w:eastAsia="바탕" w:hAnsi="바탕" w:hint="eastAsia"/>
          <w:noProof/>
          <w:szCs w:val="22"/>
        </w:rPr>
        <w:drawing>
          <wp:inline distT="0" distB="0" distL="0" distR="0" wp14:anchorId="3B9ABD29" wp14:editId="0FC740EC">
            <wp:extent cx="4706583" cy="2089150"/>
            <wp:effectExtent l="0" t="0" r="0" b="6350"/>
            <wp:docPr id="84083742" name="그림 1" descr="텍스트, 라인,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3742" name="그림 1" descr="텍스트, 라인, 그래프, 도표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929" cy="2102176"/>
                    </a:xfrm>
                    <a:prstGeom prst="rect">
                      <a:avLst/>
                    </a:prstGeom>
                    <a:noFill/>
                    <a:ln>
                      <a:noFill/>
                    </a:ln>
                  </pic:spPr>
                </pic:pic>
              </a:graphicData>
            </a:graphic>
          </wp:inline>
        </w:drawing>
      </w:r>
    </w:p>
    <w:p w14:paraId="3E8B48EA" w14:textId="3D0A6070" w:rsidR="00857455" w:rsidRPr="008A09DE" w:rsidRDefault="00857455" w:rsidP="008A09DE">
      <w:pPr>
        <w:spacing w:line="480" w:lineRule="auto"/>
        <w:rPr>
          <w:rFonts w:ascii="바탕" w:eastAsia="바탕" w:hAnsi="바탕"/>
          <w:b/>
          <w:bCs/>
          <w:szCs w:val="22"/>
        </w:rPr>
      </w:pPr>
      <w:r w:rsidRPr="008A09DE">
        <w:rPr>
          <w:rFonts w:ascii="바탕" w:eastAsia="바탕" w:hAnsi="바탕" w:hint="eastAsia"/>
          <w:b/>
          <w:bCs/>
          <w:szCs w:val="22"/>
        </w:rPr>
        <w:t>Fig</w:t>
      </w:r>
      <w:r w:rsidR="008A09DE" w:rsidRPr="008A09DE">
        <w:rPr>
          <w:rFonts w:ascii="바탕" w:eastAsia="바탕" w:hAnsi="바탕" w:hint="eastAsia"/>
          <w:b/>
          <w:bCs/>
          <w:szCs w:val="22"/>
        </w:rPr>
        <w:t>. 5</w:t>
      </w:r>
      <w:r w:rsidRPr="008A09DE">
        <w:rPr>
          <w:rFonts w:ascii="바탕" w:eastAsia="바탕" w:hAnsi="바탕" w:hint="eastAsia"/>
          <w:b/>
          <w:bCs/>
          <w:szCs w:val="22"/>
        </w:rPr>
        <w:t xml:space="preserve">. Practical vaccination rate in South Korea, 2021.03 </w:t>
      </w:r>
      <w:r w:rsidRPr="008A09DE">
        <w:rPr>
          <w:rFonts w:ascii="바탕" w:eastAsia="바탕" w:hAnsi="바탕"/>
          <w:b/>
          <w:bCs/>
          <w:szCs w:val="22"/>
        </w:rPr>
        <w:t>–</w:t>
      </w:r>
      <w:r w:rsidRPr="008A09DE">
        <w:rPr>
          <w:rFonts w:ascii="바탕" w:eastAsia="바탕" w:hAnsi="바탕" w:hint="eastAsia"/>
          <w:b/>
          <w:bCs/>
          <w:szCs w:val="22"/>
        </w:rPr>
        <w:t xml:space="preserve"> 2022.07</w:t>
      </w:r>
    </w:p>
    <w:p w14:paraId="68B7F400" w14:textId="77777777" w:rsidR="008B2C7D" w:rsidRPr="00857455" w:rsidRDefault="008B2C7D">
      <w:pPr>
        <w:rPr>
          <w:rFonts w:ascii="바탕" w:eastAsia="바탕" w:hAnsi="바탕"/>
          <w:b/>
          <w:bCs/>
        </w:rPr>
      </w:pPr>
    </w:p>
    <w:p w14:paraId="48EC8CEE" w14:textId="77777777" w:rsidR="00F26541" w:rsidRDefault="00F26541">
      <w:pPr>
        <w:widowControl/>
        <w:wordWrap/>
        <w:autoSpaceDE/>
        <w:autoSpaceDN/>
        <w:rPr>
          <w:rFonts w:ascii="바탕" w:eastAsia="바탕" w:hAnsi="바탕"/>
          <w:b/>
          <w:bCs/>
        </w:rPr>
      </w:pPr>
      <w:r>
        <w:rPr>
          <w:rFonts w:ascii="바탕" w:eastAsia="바탕" w:hAnsi="바탕"/>
          <w:b/>
          <w:bCs/>
        </w:rPr>
        <w:br w:type="page"/>
      </w:r>
    </w:p>
    <w:p w14:paraId="6E7AF667" w14:textId="35278A2C" w:rsidR="00857455" w:rsidRPr="007A6527" w:rsidRDefault="007A6527">
      <w:pPr>
        <w:rPr>
          <w:rFonts w:ascii="바탕" w:eastAsia="바탕" w:hAnsi="바탕"/>
          <w:b/>
          <w:bCs/>
        </w:rPr>
      </w:pPr>
      <w:r w:rsidRPr="007A6527">
        <w:rPr>
          <w:rFonts w:ascii="바탕" w:eastAsia="바탕" w:hAnsi="바탕" w:hint="eastAsia"/>
          <w:b/>
          <w:bCs/>
        </w:rPr>
        <w:lastRenderedPageBreak/>
        <w:t>A.7 Monthly effects of humidity in South Korea by season</w:t>
      </w:r>
    </w:p>
    <w:p w14:paraId="39E6037F" w14:textId="77777777" w:rsidR="00857455" w:rsidRDefault="00857455">
      <w:pPr>
        <w:rPr>
          <w:rFonts w:ascii="바탕" w:eastAsia="바탕" w:hAnsi="바탕"/>
          <w:b/>
          <w:bCs/>
        </w:rPr>
      </w:pPr>
    </w:p>
    <w:p w14:paraId="23FF7D1E" w14:textId="2C8AF38D" w:rsidR="00BE55E5" w:rsidRPr="00BE55E5" w:rsidRDefault="00BE55E5" w:rsidP="00E04503">
      <w:pPr>
        <w:spacing w:line="480" w:lineRule="auto"/>
        <w:rPr>
          <w:rFonts w:ascii="바탕" w:eastAsia="바탕" w:hAnsi="바탕"/>
          <w:szCs w:val="22"/>
        </w:rPr>
      </w:pPr>
      <w:r w:rsidRPr="00BE55E5">
        <w:rPr>
          <w:rFonts w:ascii="바탕" w:eastAsia="바탕" w:hAnsi="바탕" w:hint="eastAsia"/>
          <w:szCs w:val="22"/>
        </w:rPr>
        <w:t>The humidity variable</w:t>
      </w:r>
      <w:r w:rsidRPr="00BE55E5">
        <w:rPr>
          <w:rFonts w:ascii="바탕" w:eastAsia="바탕" w:hAnsi="바탕"/>
          <w:szCs w:val="22"/>
        </w:rPr>
        <w:t xml:space="preserve"> demonstrates distinct seasonality, with its impact varying significantly according to the month and the broader climatic conditions of each season.</w:t>
      </w:r>
    </w:p>
    <w:p w14:paraId="467CE0DA" w14:textId="77777777" w:rsidR="00B566F1" w:rsidRPr="00BE55E5" w:rsidRDefault="00B566F1">
      <w:pPr>
        <w:rPr>
          <w:rFonts w:ascii="바탕" w:eastAsia="바탕" w:hAnsi="바탕"/>
          <w:b/>
          <w:bCs/>
        </w:rPr>
      </w:pPr>
    </w:p>
    <w:p w14:paraId="3361277A" w14:textId="7B9F9505" w:rsidR="00857455" w:rsidRDefault="00B566F1" w:rsidP="00B566F1">
      <w:pPr>
        <w:jc w:val="center"/>
        <w:rPr>
          <w:rFonts w:ascii="바탕" w:eastAsia="바탕" w:hAnsi="바탕"/>
          <w:b/>
          <w:bCs/>
        </w:rPr>
      </w:pPr>
      <w:r w:rsidRPr="0030287D">
        <w:rPr>
          <w:rFonts w:ascii="바탕" w:eastAsia="바탕" w:hAnsi="바탕"/>
          <w:noProof/>
          <w:szCs w:val="22"/>
        </w:rPr>
        <w:drawing>
          <wp:inline distT="0" distB="0" distL="0" distR="0" wp14:anchorId="3424E31E" wp14:editId="3D9744FC">
            <wp:extent cx="4387850" cy="2559364"/>
            <wp:effectExtent l="0" t="0" r="0" b="0"/>
            <wp:docPr id="981366591" name="그림 16" descr="텍스트, 도표,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66591" name="그림 16" descr="텍스트, 도표, 라인, 그래프이(가) 표시된 사진&#10;&#10;AI 생성 콘텐츠는 정확하지 않을 수 있습니다."/>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2303" cy="2561961"/>
                    </a:xfrm>
                    <a:prstGeom prst="rect">
                      <a:avLst/>
                    </a:prstGeom>
                    <a:noFill/>
                    <a:ln>
                      <a:noFill/>
                    </a:ln>
                  </pic:spPr>
                </pic:pic>
              </a:graphicData>
            </a:graphic>
          </wp:inline>
        </w:drawing>
      </w:r>
    </w:p>
    <w:p w14:paraId="0F3AB6DF" w14:textId="3832D9A4" w:rsidR="00B566F1" w:rsidRPr="00F26541" w:rsidRDefault="00B566F1" w:rsidP="00F26541">
      <w:pPr>
        <w:spacing w:line="480" w:lineRule="auto"/>
        <w:rPr>
          <w:rFonts w:ascii="바탕" w:eastAsia="바탕" w:hAnsi="바탕"/>
          <w:b/>
          <w:bCs/>
          <w:szCs w:val="22"/>
        </w:rPr>
      </w:pPr>
      <w:bookmarkStart w:id="3" w:name="_Hlk217058501"/>
      <w:r w:rsidRPr="00F26541">
        <w:rPr>
          <w:rFonts w:ascii="바탕" w:eastAsia="바탕" w:hAnsi="바탕" w:hint="eastAsia"/>
          <w:b/>
          <w:bCs/>
          <w:szCs w:val="22"/>
        </w:rPr>
        <w:t>Fig</w:t>
      </w:r>
      <w:r w:rsidR="00F26541" w:rsidRPr="00F26541">
        <w:rPr>
          <w:rFonts w:ascii="바탕" w:eastAsia="바탕" w:hAnsi="바탕" w:hint="eastAsia"/>
          <w:b/>
          <w:bCs/>
          <w:szCs w:val="22"/>
        </w:rPr>
        <w:t>. 6</w:t>
      </w:r>
      <w:r w:rsidRPr="00F26541">
        <w:rPr>
          <w:rFonts w:ascii="바탕" w:eastAsia="바탕" w:hAnsi="바탕" w:hint="eastAsia"/>
          <w:b/>
          <w:bCs/>
          <w:szCs w:val="22"/>
        </w:rPr>
        <w:t>. The monthly effect of humidity in South Korea</w:t>
      </w:r>
    </w:p>
    <w:bookmarkEnd w:id="3"/>
    <w:p w14:paraId="25F7B352" w14:textId="77777777" w:rsidR="006A0477" w:rsidRPr="00CA7DB8" w:rsidRDefault="006A0477" w:rsidP="00CA7DB8">
      <w:pPr>
        <w:spacing w:line="480" w:lineRule="auto"/>
        <w:ind w:firstLineChars="100" w:firstLine="220"/>
        <w:rPr>
          <w:rFonts w:ascii="바탕" w:eastAsia="바탕" w:hAnsi="바탕"/>
          <w:szCs w:val="22"/>
        </w:rPr>
      </w:pPr>
      <w:r w:rsidRPr="00CA7DB8">
        <w:rPr>
          <w:rFonts w:ascii="바탕" w:eastAsia="바탕" w:hAnsi="바탕" w:hint="eastAsia"/>
          <w:szCs w:val="22"/>
        </w:rPr>
        <w:t>Considering the season and humidity as %, the effect of humidity was higher in the summer.</w:t>
      </w:r>
    </w:p>
    <w:p w14:paraId="337F68E9" w14:textId="77777777" w:rsidR="00E04503" w:rsidRDefault="00E04503">
      <w:pPr>
        <w:widowControl/>
        <w:wordWrap/>
        <w:autoSpaceDE/>
        <w:autoSpaceDN/>
        <w:rPr>
          <w:rFonts w:ascii="맑은 고딕" w:eastAsia="맑은 고딕" w:hAnsi="맑은 고딕"/>
          <w:b/>
          <w:bCs/>
        </w:rPr>
      </w:pPr>
      <w:r>
        <w:rPr>
          <w:rFonts w:ascii="맑은 고딕" w:eastAsia="맑은 고딕" w:hAnsi="맑은 고딕"/>
          <w:b/>
          <w:bCs/>
        </w:rPr>
        <w:br w:type="page"/>
      </w:r>
    </w:p>
    <w:p w14:paraId="39F60A14" w14:textId="51F4B2E2" w:rsidR="006C12C5" w:rsidRDefault="006C12C5" w:rsidP="006C12C5">
      <w:pPr>
        <w:rPr>
          <w:rFonts w:ascii="바탕" w:eastAsia="바탕" w:hAnsi="바탕"/>
          <w:b/>
          <w:bCs/>
        </w:rPr>
      </w:pPr>
      <w:r>
        <w:rPr>
          <w:rFonts w:ascii="맑은 고딕" w:eastAsia="맑은 고딕" w:hAnsi="맑은 고딕" w:hint="eastAsia"/>
          <w:b/>
          <w:bCs/>
        </w:rPr>
        <w:lastRenderedPageBreak/>
        <w:t>B</w:t>
      </w:r>
      <w:r w:rsidRPr="00A56F8F">
        <w:rPr>
          <w:rFonts w:ascii="바탕" w:eastAsia="바탕" w:hAnsi="바탕" w:hint="eastAsia"/>
          <w:b/>
          <w:bCs/>
        </w:rPr>
        <w:t>. Validation</w:t>
      </w:r>
    </w:p>
    <w:p w14:paraId="3C67EA70" w14:textId="77777777" w:rsidR="00F4156B" w:rsidRPr="00A56F8F" w:rsidRDefault="00F4156B" w:rsidP="006C12C5">
      <w:pPr>
        <w:rPr>
          <w:rFonts w:ascii="바탕" w:eastAsia="바탕" w:hAnsi="바탕"/>
          <w:b/>
          <w:bCs/>
        </w:rPr>
      </w:pPr>
    </w:p>
    <w:p w14:paraId="2EED7C15" w14:textId="77777777" w:rsidR="006C12C5" w:rsidRPr="00567B52" w:rsidRDefault="006C12C5" w:rsidP="006C12C5">
      <w:pPr>
        <w:rPr>
          <w:rFonts w:ascii="바탕" w:eastAsia="바탕" w:hAnsi="바탕"/>
          <w:b/>
          <w:bCs/>
        </w:rPr>
      </w:pPr>
      <w:r w:rsidRPr="00567B52">
        <w:rPr>
          <w:rFonts w:ascii="바탕" w:eastAsia="바탕" w:hAnsi="바탕" w:hint="eastAsia"/>
          <w:b/>
          <w:bCs/>
        </w:rPr>
        <w:t>B.1 The sample chains of parameters obtained by MCMC</w:t>
      </w:r>
    </w:p>
    <w:p w14:paraId="140D9A74" w14:textId="77777777" w:rsidR="00F4156B" w:rsidRDefault="00F4156B" w:rsidP="006C12C5">
      <w:pPr>
        <w:rPr>
          <w:rFonts w:ascii="바탕" w:eastAsia="바탕" w:hAnsi="바탕"/>
        </w:rPr>
      </w:pPr>
    </w:p>
    <w:p w14:paraId="1DAC71C2" w14:textId="7B21F706" w:rsidR="00F4156B" w:rsidRDefault="004C3A33" w:rsidP="004C3A33">
      <w:pPr>
        <w:jc w:val="center"/>
        <w:rPr>
          <w:rFonts w:ascii="바탕" w:eastAsia="바탕" w:hAnsi="바탕"/>
        </w:rPr>
      </w:pPr>
      <w:r w:rsidRPr="0030287D">
        <w:rPr>
          <w:rFonts w:ascii="바탕" w:eastAsia="바탕" w:hAnsi="바탕"/>
          <w:noProof/>
          <w:szCs w:val="22"/>
        </w:rPr>
        <w:drawing>
          <wp:inline distT="0" distB="0" distL="0" distR="0" wp14:anchorId="610E8907" wp14:editId="0DDBF6C7">
            <wp:extent cx="4607169" cy="3293311"/>
            <wp:effectExtent l="0" t="0" r="3175" b="2540"/>
            <wp:docPr id="360451503" name="그림 10"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51503" name="그림 10" descr="텍스트, 스크린샷, 폰트이(가) 표시된 사진&#10;&#10;AI 생성 콘텐츠는 정확하지 않을 수 있습니다."/>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08707" cy="3294410"/>
                    </a:xfrm>
                    <a:prstGeom prst="rect">
                      <a:avLst/>
                    </a:prstGeom>
                    <a:noFill/>
                    <a:ln>
                      <a:noFill/>
                    </a:ln>
                  </pic:spPr>
                </pic:pic>
              </a:graphicData>
            </a:graphic>
          </wp:inline>
        </w:drawing>
      </w:r>
    </w:p>
    <w:p w14:paraId="5CF10727" w14:textId="046EF99C" w:rsidR="004C3A33" w:rsidRPr="0083185D" w:rsidRDefault="004C3A33" w:rsidP="0083185D">
      <w:pPr>
        <w:spacing w:line="480" w:lineRule="auto"/>
        <w:rPr>
          <w:rFonts w:ascii="바탕" w:eastAsia="바탕" w:hAnsi="바탕"/>
          <w:b/>
          <w:bCs/>
          <w:szCs w:val="22"/>
        </w:rPr>
      </w:pPr>
      <w:r w:rsidRPr="0083185D">
        <w:rPr>
          <w:rFonts w:ascii="바탕" w:eastAsia="바탕" w:hAnsi="바탕" w:hint="eastAsia"/>
          <w:b/>
          <w:bCs/>
          <w:szCs w:val="22"/>
        </w:rPr>
        <w:t>Fig</w:t>
      </w:r>
      <w:r w:rsidR="0083185D" w:rsidRPr="0083185D">
        <w:rPr>
          <w:rFonts w:ascii="바탕" w:eastAsia="바탕" w:hAnsi="바탕" w:hint="eastAsia"/>
          <w:b/>
          <w:bCs/>
          <w:szCs w:val="22"/>
        </w:rPr>
        <w:t>. 7</w:t>
      </w:r>
      <w:r w:rsidRPr="0083185D">
        <w:rPr>
          <w:rFonts w:ascii="바탕" w:eastAsia="바탕" w:hAnsi="바탕" w:hint="eastAsia"/>
          <w:b/>
          <w:bCs/>
          <w:szCs w:val="22"/>
        </w:rPr>
        <w:t>. The sample chains of parameters obtained by MCMC</w:t>
      </w:r>
    </w:p>
    <w:p w14:paraId="1881DBB1" w14:textId="77777777" w:rsidR="004C3A33" w:rsidRPr="004C3A33" w:rsidRDefault="004C3A33" w:rsidP="004C3A33">
      <w:pPr>
        <w:jc w:val="center"/>
        <w:rPr>
          <w:rFonts w:ascii="바탕" w:eastAsia="바탕" w:hAnsi="바탕"/>
        </w:rPr>
      </w:pPr>
    </w:p>
    <w:p w14:paraId="02E56356" w14:textId="1A10708B" w:rsidR="004C3A33" w:rsidRPr="004C3A33" w:rsidRDefault="004C3A33" w:rsidP="0083185D">
      <w:pPr>
        <w:spacing w:line="480" w:lineRule="auto"/>
        <w:rPr>
          <w:rFonts w:ascii="바탕" w:eastAsia="바탕" w:hAnsi="바탕"/>
          <w:szCs w:val="22"/>
        </w:rPr>
      </w:pPr>
      <w:r w:rsidRPr="004C3A33">
        <w:rPr>
          <w:rFonts w:ascii="바탕" w:eastAsia="바탕" w:hAnsi="바탕"/>
          <w:szCs w:val="22"/>
        </w:rPr>
        <w:t>The figures above illustrate the sample chains for each parameter obtained through the MCMC process. The parameters are defined as follows:</w:t>
      </w:r>
    </w:p>
    <w:p w14:paraId="35208A92" w14:textId="77777777" w:rsidR="004C3A33" w:rsidRPr="00CF431C" w:rsidRDefault="004C3A33" w:rsidP="004C3A33">
      <w:pPr>
        <w:pStyle w:val="a6"/>
        <w:numPr>
          <w:ilvl w:val="0"/>
          <w:numId w:val="6"/>
        </w:numPr>
        <w:spacing w:line="480" w:lineRule="auto"/>
        <w:rPr>
          <w:rFonts w:ascii="바탕" w:eastAsia="바탕" w:hAnsi="바탕"/>
          <w:szCs w:val="22"/>
        </w:rPr>
      </w:pPr>
      <w:r w:rsidRPr="00CF431C">
        <w:rPr>
          <w:rFonts w:ascii="바탕" w:eastAsia="바탕" w:hAnsi="바탕"/>
          <w:szCs w:val="22"/>
        </w:rPr>
        <w:t>Alpha) The intercept, representing the baseline value when all covariate effects are zero.</w:t>
      </w:r>
    </w:p>
    <w:p w14:paraId="3C70E2F3" w14:textId="77777777" w:rsidR="004C3A33" w:rsidRPr="00CF431C" w:rsidRDefault="004C3A33" w:rsidP="004C3A33">
      <w:pPr>
        <w:pStyle w:val="a6"/>
        <w:numPr>
          <w:ilvl w:val="0"/>
          <w:numId w:val="6"/>
        </w:numPr>
        <w:spacing w:line="480" w:lineRule="auto"/>
        <w:rPr>
          <w:rFonts w:ascii="바탕" w:eastAsia="바탕" w:hAnsi="바탕"/>
          <w:szCs w:val="22"/>
        </w:rPr>
      </w:pPr>
      <w:r w:rsidRPr="00CF431C">
        <w:rPr>
          <w:rFonts w:ascii="바탕" w:eastAsia="바탕" w:hAnsi="바탕"/>
          <w:szCs w:val="22"/>
        </w:rPr>
        <w:t xml:space="preserve">Beta: The slope, which represents the effect of the covariates; specifically, it denotes the average change in the dependent variable </w:t>
      </w:r>
      <w:r>
        <w:rPr>
          <w:rFonts w:ascii="바탕" w:eastAsia="바탕" w:hAnsi="바탕" w:hint="eastAsia"/>
          <w:szCs w:val="22"/>
        </w:rPr>
        <w:t>y</w:t>
      </w:r>
      <w:r w:rsidRPr="00CF431C">
        <w:rPr>
          <w:rFonts w:ascii="바탕" w:eastAsia="바탕" w:hAnsi="바탕"/>
          <w:szCs w:val="22"/>
        </w:rPr>
        <w:t xml:space="preserve"> for every unit increase in the independent variable </w:t>
      </w:r>
      <w:r>
        <w:rPr>
          <w:rFonts w:ascii="바탕" w:eastAsia="바탕" w:hAnsi="바탕" w:hint="eastAsia"/>
          <w:szCs w:val="22"/>
        </w:rPr>
        <w:t>x</w:t>
      </w:r>
      <w:r w:rsidRPr="00CF431C">
        <w:rPr>
          <w:rFonts w:ascii="바탕" w:eastAsia="바탕" w:hAnsi="바탕"/>
          <w:szCs w:val="22"/>
        </w:rPr>
        <w:t>.</w:t>
      </w:r>
    </w:p>
    <w:p w14:paraId="51BF61F0" w14:textId="77777777" w:rsidR="004C3A33" w:rsidRPr="00CF431C" w:rsidRDefault="004C3A33" w:rsidP="004C3A33">
      <w:pPr>
        <w:pStyle w:val="a6"/>
        <w:numPr>
          <w:ilvl w:val="0"/>
          <w:numId w:val="6"/>
        </w:numPr>
        <w:spacing w:line="480" w:lineRule="auto"/>
        <w:rPr>
          <w:rFonts w:ascii="바탕" w:eastAsia="바탕" w:hAnsi="바탕"/>
          <w:szCs w:val="22"/>
        </w:rPr>
      </w:pPr>
      <w:r w:rsidRPr="00CF431C">
        <w:rPr>
          <w:rFonts w:ascii="바탕" w:eastAsia="바탕" w:hAnsi="바탕"/>
          <w:szCs w:val="22"/>
        </w:rPr>
        <w:t>Lambda: Represents the effect size or intensity of additional covariates.</w:t>
      </w:r>
    </w:p>
    <w:p w14:paraId="361D0FFA" w14:textId="77777777" w:rsidR="004C3A33" w:rsidRPr="00CF431C" w:rsidRDefault="004C3A33" w:rsidP="004C3A33">
      <w:pPr>
        <w:pStyle w:val="a6"/>
        <w:numPr>
          <w:ilvl w:val="0"/>
          <w:numId w:val="6"/>
        </w:numPr>
        <w:spacing w:line="480" w:lineRule="auto"/>
        <w:rPr>
          <w:rFonts w:ascii="바탕" w:eastAsia="바탕" w:hAnsi="바탕"/>
          <w:szCs w:val="22"/>
        </w:rPr>
      </w:pPr>
      <w:r w:rsidRPr="00CF431C">
        <w:rPr>
          <w:rFonts w:ascii="바탕" w:eastAsia="바탕" w:hAnsi="바탕"/>
          <w:szCs w:val="22"/>
        </w:rPr>
        <w:t xml:space="preserve">Phi: A parameter denoting the correlation or the error structure within the </w:t>
      </w:r>
      <w:r w:rsidRPr="00CF431C">
        <w:rPr>
          <w:rFonts w:ascii="바탕" w:eastAsia="바탕" w:hAnsi="바탕"/>
          <w:szCs w:val="22"/>
        </w:rPr>
        <w:lastRenderedPageBreak/>
        <w:t>model.</w:t>
      </w:r>
    </w:p>
    <w:p w14:paraId="13FAB0DB" w14:textId="77777777" w:rsidR="004C3A33" w:rsidRPr="00CF431C" w:rsidRDefault="004C3A33" w:rsidP="004C3A33">
      <w:pPr>
        <w:pStyle w:val="a6"/>
        <w:numPr>
          <w:ilvl w:val="0"/>
          <w:numId w:val="6"/>
        </w:numPr>
        <w:spacing w:line="480" w:lineRule="auto"/>
        <w:rPr>
          <w:rFonts w:ascii="바탕" w:eastAsia="바탕" w:hAnsi="바탕"/>
          <w:szCs w:val="22"/>
        </w:rPr>
      </w:pPr>
      <w:proofErr w:type="spellStart"/>
      <w:r w:rsidRPr="00CF431C">
        <w:rPr>
          <w:rFonts w:ascii="바탕" w:eastAsia="바탕" w:hAnsi="바탕"/>
          <w:szCs w:val="22"/>
        </w:rPr>
        <w:t>sigma_D</w:t>
      </w:r>
      <w:proofErr w:type="spellEnd"/>
      <w:r w:rsidRPr="00CF431C">
        <w:rPr>
          <w:rFonts w:ascii="바탕" w:eastAsia="바탕" w:hAnsi="바탕"/>
          <w:szCs w:val="22"/>
        </w:rPr>
        <w:t>: Characterizes the dispersion or spread of the data points around the model’s predicted curve.</w:t>
      </w:r>
    </w:p>
    <w:p w14:paraId="2708914E" w14:textId="11CAB374" w:rsidR="004C3A33" w:rsidRPr="0003329A" w:rsidRDefault="004C3A33" w:rsidP="0003329A">
      <w:pPr>
        <w:spacing w:line="480" w:lineRule="auto"/>
        <w:ind w:firstLineChars="100" w:firstLine="220"/>
        <w:rPr>
          <w:rFonts w:ascii="바탕" w:eastAsia="바탕" w:hAnsi="바탕"/>
          <w:szCs w:val="22"/>
        </w:rPr>
      </w:pPr>
      <w:r w:rsidRPr="004C3A33">
        <w:rPr>
          <w:rFonts w:ascii="바탕" w:eastAsia="바탕" w:hAnsi="바탕"/>
          <w:szCs w:val="22"/>
        </w:rPr>
        <w:t xml:space="preserve">The density of these sample chains converges toward the posterior distribution, </w:t>
      </w:r>
      <m:oMath>
        <m:r>
          <w:rPr>
            <w:rFonts w:ascii="Cambria Math" w:eastAsia="바탕" w:hAnsi="Cambria Math"/>
            <w:szCs w:val="22"/>
          </w:rPr>
          <m:t>P(θ)</m:t>
        </m:r>
      </m:oMath>
      <w:r w:rsidRPr="004C3A33">
        <w:rPr>
          <w:rFonts w:ascii="바탕" w:eastAsia="바탕" w:hAnsi="바탕" w:hint="eastAsia"/>
          <w:szCs w:val="22"/>
        </w:rPr>
        <w:t xml:space="preserve">. </w:t>
      </w:r>
      <w:r w:rsidRPr="004C3A33">
        <w:rPr>
          <w:rFonts w:ascii="바탕" w:eastAsia="바탕" w:hAnsi="바탕"/>
          <w:szCs w:val="22"/>
        </w:rPr>
        <w:t xml:space="preserve">To assess the convergence and stability of the model, we utilized the R-hat statistic and the effective sample size </w:t>
      </w:r>
      <m:oMath>
        <m:sSub>
          <m:sSubPr>
            <m:ctrlPr>
              <w:rPr>
                <w:rFonts w:ascii="Cambria Math" w:eastAsia="바탕" w:hAnsi="Cambria Math"/>
                <w:i/>
                <w:szCs w:val="22"/>
              </w:rPr>
            </m:ctrlPr>
          </m:sSubPr>
          <m:e>
            <m:r>
              <w:rPr>
                <w:rFonts w:ascii="Cambria Math" w:eastAsia="바탕" w:hAnsi="Cambria Math"/>
                <w:szCs w:val="22"/>
              </w:rPr>
              <m:t>n</m:t>
            </m:r>
          </m:e>
          <m:sub>
            <m:r>
              <w:rPr>
                <w:rFonts w:ascii="Cambria Math" w:eastAsia="바탕" w:hAnsi="Cambria Math"/>
                <w:szCs w:val="22"/>
              </w:rPr>
              <m:t>eff</m:t>
            </m:r>
          </m:sub>
        </m:sSub>
      </m:oMath>
      <w:r w:rsidRPr="004C3A33">
        <w:rPr>
          <w:rFonts w:ascii="바탕" w:eastAsia="바탕" w:hAnsi="바탕" w:hint="eastAsia"/>
          <w:szCs w:val="22"/>
        </w:rPr>
        <w:t>.</w:t>
      </w:r>
    </w:p>
    <w:p w14:paraId="3EF5D9E2" w14:textId="77777777" w:rsidR="004C3A33" w:rsidRDefault="004C3A33" w:rsidP="006C12C5">
      <w:pPr>
        <w:rPr>
          <w:rFonts w:ascii="바탕" w:eastAsia="바탕" w:hAnsi="바탕"/>
        </w:rPr>
      </w:pPr>
    </w:p>
    <w:p w14:paraId="19D0B04D" w14:textId="77777777" w:rsidR="0083185D" w:rsidRDefault="0083185D">
      <w:pPr>
        <w:widowControl/>
        <w:wordWrap/>
        <w:autoSpaceDE/>
        <w:autoSpaceDN/>
        <w:rPr>
          <w:rFonts w:ascii="바탕" w:eastAsia="바탕" w:hAnsi="바탕"/>
        </w:rPr>
      </w:pPr>
      <w:r>
        <w:rPr>
          <w:rFonts w:ascii="바탕" w:eastAsia="바탕" w:hAnsi="바탕"/>
        </w:rPr>
        <w:br w:type="page"/>
      </w:r>
    </w:p>
    <w:p w14:paraId="67BDEACC" w14:textId="28532C21" w:rsidR="006C12C5" w:rsidRPr="00F70DE4" w:rsidRDefault="006C12C5" w:rsidP="006C12C5">
      <w:pPr>
        <w:rPr>
          <w:rFonts w:ascii="바탕" w:eastAsia="바탕" w:hAnsi="바탕"/>
          <w:b/>
          <w:bCs/>
        </w:rPr>
      </w:pPr>
      <w:r w:rsidRPr="00F70DE4">
        <w:rPr>
          <w:rFonts w:ascii="바탕" w:eastAsia="바탕" w:hAnsi="바탕" w:hint="eastAsia"/>
          <w:b/>
          <w:bCs/>
        </w:rPr>
        <w:lastRenderedPageBreak/>
        <w:t>B.2 Posterior distribution of each parameter</w:t>
      </w:r>
    </w:p>
    <w:p w14:paraId="3FCA72F2" w14:textId="77777777" w:rsidR="007A6527" w:rsidRDefault="007A6527">
      <w:pPr>
        <w:rPr>
          <w:rFonts w:ascii="바탕" w:eastAsia="바탕" w:hAnsi="바탕"/>
          <w:b/>
          <w:bCs/>
        </w:rPr>
      </w:pPr>
    </w:p>
    <w:p w14:paraId="1DD0C67A" w14:textId="205562BA" w:rsidR="0003329A" w:rsidRDefault="0003329A" w:rsidP="0003329A">
      <w:pPr>
        <w:jc w:val="center"/>
        <w:rPr>
          <w:rFonts w:ascii="바탕" w:eastAsia="바탕" w:hAnsi="바탕"/>
          <w:b/>
          <w:bCs/>
        </w:rPr>
      </w:pPr>
      <w:r w:rsidRPr="0030287D">
        <w:rPr>
          <w:rFonts w:ascii="바탕" w:eastAsia="바탕" w:hAnsi="바탕" w:hint="eastAsia"/>
          <w:noProof/>
          <w:szCs w:val="22"/>
        </w:rPr>
        <w:drawing>
          <wp:inline distT="0" distB="0" distL="0" distR="0" wp14:anchorId="06B93DFC" wp14:editId="6F623FE9">
            <wp:extent cx="4607170" cy="3303540"/>
            <wp:effectExtent l="0" t="0" r="3175" b="0"/>
            <wp:docPr id="2010155316" name="그림 12" descr="지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55316" name="그림 12" descr="지도, 스크린샷이(가) 표시된 사진&#10;&#10;AI 생성 콘텐츠는 정확하지 않을 수 있습니다."/>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2325" cy="3307236"/>
                    </a:xfrm>
                    <a:prstGeom prst="rect">
                      <a:avLst/>
                    </a:prstGeom>
                    <a:noFill/>
                    <a:ln>
                      <a:noFill/>
                    </a:ln>
                  </pic:spPr>
                </pic:pic>
              </a:graphicData>
            </a:graphic>
          </wp:inline>
        </w:drawing>
      </w:r>
    </w:p>
    <w:p w14:paraId="31D80BFC" w14:textId="637BBAD7" w:rsidR="009F68A8" w:rsidRPr="00F70DE4" w:rsidRDefault="009F68A8" w:rsidP="00F70DE4">
      <w:pPr>
        <w:spacing w:line="480" w:lineRule="auto"/>
        <w:rPr>
          <w:rFonts w:ascii="바탕" w:eastAsia="바탕" w:hAnsi="바탕"/>
          <w:szCs w:val="22"/>
        </w:rPr>
      </w:pPr>
      <w:bookmarkStart w:id="4" w:name="_Hlk217058765"/>
      <w:r w:rsidRPr="00F70DE4">
        <w:rPr>
          <w:rFonts w:ascii="바탕" w:eastAsia="바탕" w:hAnsi="바탕" w:hint="eastAsia"/>
          <w:szCs w:val="22"/>
        </w:rPr>
        <w:t>Fig</w:t>
      </w:r>
      <w:r w:rsidR="00F70DE4">
        <w:rPr>
          <w:rFonts w:ascii="바탕" w:eastAsia="바탕" w:hAnsi="바탕" w:hint="eastAsia"/>
          <w:szCs w:val="22"/>
        </w:rPr>
        <w:t>. 8</w:t>
      </w:r>
      <w:r w:rsidRPr="00F70DE4">
        <w:rPr>
          <w:rFonts w:ascii="바탕" w:eastAsia="바탕" w:hAnsi="바탕" w:hint="eastAsia"/>
          <w:szCs w:val="22"/>
        </w:rPr>
        <w:t xml:space="preserve">. </w:t>
      </w:r>
      <w:r w:rsidRPr="00F70DE4">
        <w:rPr>
          <w:rFonts w:ascii="바탕" w:eastAsia="바탕" w:hAnsi="바탕"/>
          <w:szCs w:val="22"/>
        </w:rPr>
        <w:t>P</w:t>
      </w:r>
      <w:r w:rsidRPr="00F70DE4">
        <w:rPr>
          <w:rFonts w:ascii="바탕" w:eastAsia="바탕" w:hAnsi="바탕" w:hint="eastAsia"/>
          <w:szCs w:val="22"/>
        </w:rPr>
        <w:t>osterior distribution of each parameter</w:t>
      </w:r>
    </w:p>
    <w:bookmarkEnd w:id="4"/>
    <w:p w14:paraId="0FBDD8B2" w14:textId="77777777" w:rsidR="00D821FA" w:rsidRDefault="00D821FA" w:rsidP="00F70DE4">
      <w:pPr>
        <w:spacing w:line="480" w:lineRule="auto"/>
        <w:rPr>
          <w:rFonts w:ascii="바탕" w:eastAsia="바탕" w:hAnsi="바탕"/>
          <w:szCs w:val="22"/>
        </w:rPr>
      </w:pPr>
      <w:r w:rsidRPr="00D821FA">
        <w:rPr>
          <w:rFonts w:ascii="바탕" w:eastAsia="바탕" w:hAnsi="바탕"/>
          <w:szCs w:val="22"/>
        </w:rPr>
        <w:t>The figures above present the univariate posterior distributions of each parameter via histograms, while the scatter plots illustrate the covariance and correlation structure between parameters.</w:t>
      </w:r>
    </w:p>
    <w:p w14:paraId="5535185B" w14:textId="77B5AD14" w:rsidR="0003329A" w:rsidRPr="00D821FA" w:rsidRDefault="00D821FA" w:rsidP="00D821FA">
      <w:pPr>
        <w:spacing w:line="480" w:lineRule="auto"/>
        <w:ind w:firstLineChars="100" w:firstLine="220"/>
        <w:rPr>
          <w:rFonts w:ascii="바탕" w:eastAsia="바탕" w:hAnsi="바탕"/>
          <w:szCs w:val="22"/>
        </w:rPr>
      </w:pPr>
      <w:r w:rsidRPr="00CF431C">
        <w:rPr>
          <w:rFonts w:ascii="바탕" w:eastAsia="바탕" w:hAnsi="바탕"/>
          <w:szCs w:val="22"/>
        </w:rPr>
        <w:t>A notable negative correlation was observed between beta and lambda. This suggests a high degree of uncertainty when attempting to decompose and present the estimated effects of NPIs and vaccination independently. Consequently, presenting the combined efficacy of vaccination and NPIs provides a higher level of statistical reliability than presenting them in isolation.</w:t>
      </w:r>
    </w:p>
    <w:p w14:paraId="11D5FF2D" w14:textId="77777777" w:rsidR="0003329A" w:rsidRDefault="0003329A">
      <w:pPr>
        <w:rPr>
          <w:rFonts w:ascii="바탕" w:eastAsia="바탕" w:hAnsi="바탕"/>
          <w:b/>
          <w:bCs/>
        </w:rPr>
      </w:pPr>
    </w:p>
    <w:p w14:paraId="1192E81D" w14:textId="77777777" w:rsidR="0003329A" w:rsidRPr="006C12C5" w:rsidRDefault="0003329A">
      <w:pPr>
        <w:rPr>
          <w:rFonts w:ascii="바탕" w:eastAsia="바탕" w:hAnsi="바탕"/>
          <w:b/>
          <w:bCs/>
        </w:rPr>
      </w:pPr>
    </w:p>
    <w:p w14:paraId="063072FC" w14:textId="77777777" w:rsidR="007E2908" w:rsidRPr="002B4089" w:rsidRDefault="007E2908">
      <w:pPr>
        <w:rPr>
          <w:rFonts w:ascii="바탕" w:eastAsia="바탕" w:hAnsi="바탕"/>
        </w:rPr>
      </w:pPr>
    </w:p>
    <w:sectPr w:rsidR="007E2908" w:rsidRPr="002B408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76B6D" w14:textId="77777777" w:rsidR="00E80934" w:rsidRDefault="00E80934" w:rsidP="00F34877">
      <w:pPr>
        <w:spacing w:after="0"/>
      </w:pPr>
      <w:r>
        <w:separator/>
      </w:r>
    </w:p>
  </w:endnote>
  <w:endnote w:type="continuationSeparator" w:id="0">
    <w:p w14:paraId="7FA30437" w14:textId="77777777" w:rsidR="00E80934" w:rsidRDefault="00E80934" w:rsidP="00F348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FF359" w14:textId="77777777" w:rsidR="00E80934" w:rsidRDefault="00E80934" w:rsidP="00F34877">
      <w:pPr>
        <w:spacing w:after="0"/>
      </w:pPr>
      <w:r>
        <w:separator/>
      </w:r>
    </w:p>
  </w:footnote>
  <w:footnote w:type="continuationSeparator" w:id="0">
    <w:p w14:paraId="307D3D07" w14:textId="77777777" w:rsidR="00E80934" w:rsidRDefault="00E80934" w:rsidP="00F348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939"/>
    <w:multiLevelType w:val="multilevel"/>
    <w:tmpl w:val="B9A8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657F1"/>
    <w:multiLevelType w:val="hybridMultilevel"/>
    <w:tmpl w:val="7F58CCE8"/>
    <w:lvl w:ilvl="0" w:tplc="FB269DE2">
      <w:start w:val="1"/>
      <w:numFmt w:val="bullet"/>
      <w:lvlText w:val="-"/>
      <w:lvlJc w:val="left"/>
      <w:pPr>
        <w:ind w:left="800" w:hanging="360"/>
      </w:pPr>
      <w:rPr>
        <w:rFonts w:ascii="바탕" w:eastAsia="바탕" w:hAnsi="바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CDB3505"/>
    <w:multiLevelType w:val="hybridMultilevel"/>
    <w:tmpl w:val="AA0C1D62"/>
    <w:lvl w:ilvl="0" w:tplc="AAF05F18">
      <w:start w:val="1"/>
      <w:numFmt w:val="upperLetter"/>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D83563B"/>
    <w:multiLevelType w:val="multilevel"/>
    <w:tmpl w:val="AD2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5646F3"/>
    <w:multiLevelType w:val="multilevel"/>
    <w:tmpl w:val="1D48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D1D12"/>
    <w:multiLevelType w:val="hybridMultilevel"/>
    <w:tmpl w:val="1FEE76EC"/>
    <w:lvl w:ilvl="0" w:tplc="F62EC7F2">
      <w:start w:val="1"/>
      <w:numFmt w:val="bullet"/>
      <w:lvlText w:val="-"/>
      <w:lvlJc w:val="left"/>
      <w:pPr>
        <w:ind w:left="470" w:hanging="360"/>
      </w:pPr>
      <w:rPr>
        <w:rFonts w:ascii="바탕" w:eastAsia="바탕" w:hAnsi="바탕" w:cstheme="minorBidi" w:hint="eastAsia"/>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num w:numId="1" w16cid:durableId="1934969710">
    <w:abstractNumId w:val="5"/>
  </w:num>
  <w:num w:numId="2" w16cid:durableId="1272476214">
    <w:abstractNumId w:val="2"/>
  </w:num>
  <w:num w:numId="3" w16cid:durableId="217742917">
    <w:abstractNumId w:val="1"/>
  </w:num>
  <w:num w:numId="4" w16cid:durableId="2015494164">
    <w:abstractNumId w:val="3"/>
  </w:num>
  <w:num w:numId="5" w16cid:durableId="1237671873">
    <w:abstractNumId w:val="0"/>
  </w:num>
  <w:num w:numId="6" w16cid:durableId="1445153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77"/>
    <w:rsid w:val="000101AA"/>
    <w:rsid w:val="00013002"/>
    <w:rsid w:val="00014CB1"/>
    <w:rsid w:val="00021F77"/>
    <w:rsid w:val="00032A3B"/>
    <w:rsid w:val="0003329A"/>
    <w:rsid w:val="00054B77"/>
    <w:rsid w:val="00057A87"/>
    <w:rsid w:val="00057C73"/>
    <w:rsid w:val="00063B47"/>
    <w:rsid w:val="00070EE6"/>
    <w:rsid w:val="00084038"/>
    <w:rsid w:val="000859F1"/>
    <w:rsid w:val="000B20C3"/>
    <w:rsid w:val="000B2DA1"/>
    <w:rsid w:val="000C0E23"/>
    <w:rsid w:val="000E2648"/>
    <w:rsid w:val="00112280"/>
    <w:rsid w:val="00130DB1"/>
    <w:rsid w:val="0014181C"/>
    <w:rsid w:val="00157EAA"/>
    <w:rsid w:val="00183245"/>
    <w:rsid w:val="00196006"/>
    <w:rsid w:val="001C167B"/>
    <w:rsid w:val="001C2E06"/>
    <w:rsid w:val="0020482D"/>
    <w:rsid w:val="00212498"/>
    <w:rsid w:val="00237D92"/>
    <w:rsid w:val="00277BDA"/>
    <w:rsid w:val="002B4089"/>
    <w:rsid w:val="002C0AEA"/>
    <w:rsid w:val="002C705E"/>
    <w:rsid w:val="003001D6"/>
    <w:rsid w:val="00350FCF"/>
    <w:rsid w:val="00356A4B"/>
    <w:rsid w:val="003A7ECD"/>
    <w:rsid w:val="003B5753"/>
    <w:rsid w:val="003F55F9"/>
    <w:rsid w:val="004061BD"/>
    <w:rsid w:val="004115FA"/>
    <w:rsid w:val="00425867"/>
    <w:rsid w:val="00425E8A"/>
    <w:rsid w:val="0047294B"/>
    <w:rsid w:val="004C3A33"/>
    <w:rsid w:val="004F24CB"/>
    <w:rsid w:val="00567B52"/>
    <w:rsid w:val="0060144E"/>
    <w:rsid w:val="00673BFA"/>
    <w:rsid w:val="00683EC7"/>
    <w:rsid w:val="00697240"/>
    <w:rsid w:val="006A0477"/>
    <w:rsid w:val="006C102F"/>
    <w:rsid w:val="006C12C5"/>
    <w:rsid w:val="006D686F"/>
    <w:rsid w:val="00705D92"/>
    <w:rsid w:val="0071569F"/>
    <w:rsid w:val="007509C5"/>
    <w:rsid w:val="00771933"/>
    <w:rsid w:val="0077670D"/>
    <w:rsid w:val="00776853"/>
    <w:rsid w:val="007858F9"/>
    <w:rsid w:val="007A6527"/>
    <w:rsid w:val="007E2908"/>
    <w:rsid w:val="008060B7"/>
    <w:rsid w:val="00812E9A"/>
    <w:rsid w:val="0081482F"/>
    <w:rsid w:val="0082493A"/>
    <w:rsid w:val="0083185D"/>
    <w:rsid w:val="00845E01"/>
    <w:rsid w:val="00857455"/>
    <w:rsid w:val="00880583"/>
    <w:rsid w:val="008A09DE"/>
    <w:rsid w:val="008A3490"/>
    <w:rsid w:val="008B2C7D"/>
    <w:rsid w:val="008B6B62"/>
    <w:rsid w:val="009222B2"/>
    <w:rsid w:val="0094332A"/>
    <w:rsid w:val="00976D56"/>
    <w:rsid w:val="0099528D"/>
    <w:rsid w:val="009B2AAE"/>
    <w:rsid w:val="009F68A8"/>
    <w:rsid w:val="00A031B4"/>
    <w:rsid w:val="00A56F8F"/>
    <w:rsid w:val="00A617AF"/>
    <w:rsid w:val="00AB2B6B"/>
    <w:rsid w:val="00B151A0"/>
    <w:rsid w:val="00B26A93"/>
    <w:rsid w:val="00B566F1"/>
    <w:rsid w:val="00B702DC"/>
    <w:rsid w:val="00B764D5"/>
    <w:rsid w:val="00B86FBA"/>
    <w:rsid w:val="00BD60CA"/>
    <w:rsid w:val="00BE55E5"/>
    <w:rsid w:val="00BE5AFA"/>
    <w:rsid w:val="00C45540"/>
    <w:rsid w:val="00C53335"/>
    <w:rsid w:val="00C63D70"/>
    <w:rsid w:val="00CA3384"/>
    <w:rsid w:val="00CA7DB8"/>
    <w:rsid w:val="00CC181B"/>
    <w:rsid w:val="00CC5A1B"/>
    <w:rsid w:val="00CD5D09"/>
    <w:rsid w:val="00D1077E"/>
    <w:rsid w:val="00D13E52"/>
    <w:rsid w:val="00D253CE"/>
    <w:rsid w:val="00D821FA"/>
    <w:rsid w:val="00DB1CE3"/>
    <w:rsid w:val="00DE783C"/>
    <w:rsid w:val="00E04503"/>
    <w:rsid w:val="00E1360A"/>
    <w:rsid w:val="00E410EF"/>
    <w:rsid w:val="00E6310A"/>
    <w:rsid w:val="00E80934"/>
    <w:rsid w:val="00E95551"/>
    <w:rsid w:val="00EB032B"/>
    <w:rsid w:val="00EC4F26"/>
    <w:rsid w:val="00EE069C"/>
    <w:rsid w:val="00F02F59"/>
    <w:rsid w:val="00F26541"/>
    <w:rsid w:val="00F31C1F"/>
    <w:rsid w:val="00F34877"/>
    <w:rsid w:val="00F36BA4"/>
    <w:rsid w:val="00F4156B"/>
    <w:rsid w:val="00F63B4C"/>
    <w:rsid w:val="00F70280"/>
    <w:rsid w:val="00F70DE4"/>
    <w:rsid w:val="00F72E9C"/>
    <w:rsid w:val="00FD36E5"/>
    <w:rsid w:val="00FD5E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7D5C3"/>
  <w15:chartTrackingRefBased/>
  <w15:docId w15:val="{436B365A-40DF-4C0A-BB88-6681F999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54B7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54B7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54B7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54B7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54B7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54B7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54B7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54B7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54B7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54B7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54B7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54B7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54B7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54B7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54B7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54B7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54B7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54B7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54B7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54B7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54B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54B7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54B77"/>
    <w:pPr>
      <w:spacing w:before="160"/>
      <w:jc w:val="center"/>
    </w:pPr>
    <w:rPr>
      <w:i/>
      <w:iCs/>
      <w:color w:val="404040" w:themeColor="text1" w:themeTint="BF"/>
    </w:rPr>
  </w:style>
  <w:style w:type="character" w:customStyle="1" w:styleId="Char1">
    <w:name w:val="인용 Char"/>
    <w:basedOn w:val="a0"/>
    <w:link w:val="a5"/>
    <w:uiPriority w:val="29"/>
    <w:rsid w:val="00054B77"/>
    <w:rPr>
      <w:i/>
      <w:iCs/>
      <w:color w:val="404040" w:themeColor="text1" w:themeTint="BF"/>
    </w:rPr>
  </w:style>
  <w:style w:type="paragraph" w:styleId="a6">
    <w:name w:val="List Paragraph"/>
    <w:basedOn w:val="a"/>
    <w:uiPriority w:val="34"/>
    <w:qFormat/>
    <w:rsid w:val="00054B77"/>
    <w:pPr>
      <w:ind w:left="720"/>
      <w:contextualSpacing/>
    </w:pPr>
  </w:style>
  <w:style w:type="character" w:styleId="a7">
    <w:name w:val="Intense Emphasis"/>
    <w:basedOn w:val="a0"/>
    <w:uiPriority w:val="21"/>
    <w:qFormat/>
    <w:rsid w:val="00054B77"/>
    <w:rPr>
      <w:i/>
      <w:iCs/>
      <w:color w:val="0F4761" w:themeColor="accent1" w:themeShade="BF"/>
    </w:rPr>
  </w:style>
  <w:style w:type="paragraph" w:styleId="a8">
    <w:name w:val="Intense Quote"/>
    <w:basedOn w:val="a"/>
    <w:next w:val="a"/>
    <w:link w:val="Char2"/>
    <w:uiPriority w:val="30"/>
    <w:qFormat/>
    <w:rsid w:val="00054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54B77"/>
    <w:rPr>
      <w:i/>
      <w:iCs/>
      <w:color w:val="0F4761" w:themeColor="accent1" w:themeShade="BF"/>
    </w:rPr>
  </w:style>
  <w:style w:type="character" w:styleId="a9">
    <w:name w:val="Intense Reference"/>
    <w:basedOn w:val="a0"/>
    <w:uiPriority w:val="32"/>
    <w:qFormat/>
    <w:rsid w:val="00054B77"/>
    <w:rPr>
      <w:b/>
      <w:bCs/>
      <w:smallCaps/>
      <w:color w:val="0F4761" w:themeColor="accent1" w:themeShade="BF"/>
      <w:spacing w:val="5"/>
    </w:rPr>
  </w:style>
  <w:style w:type="character" w:styleId="aa">
    <w:name w:val="Hyperlink"/>
    <w:basedOn w:val="a0"/>
    <w:uiPriority w:val="99"/>
    <w:unhideWhenUsed/>
    <w:rsid w:val="003001D6"/>
    <w:rPr>
      <w:color w:val="467886" w:themeColor="hyperlink"/>
      <w:u w:val="single"/>
    </w:rPr>
  </w:style>
  <w:style w:type="table" w:styleId="ab">
    <w:name w:val="Table Grid"/>
    <w:basedOn w:val="a1"/>
    <w:uiPriority w:val="39"/>
    <w:rsid w:val="0060144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0144E"/>
    <w:pPr>
      <w:widowControl w:val="0"/>
      <w:autoSpaceDE w:val="0"/>
      <w:autoSpaceDN w:val="0"/>
      <w:adjustRightInd w:val="0"/>
      <w:spacing w:after="0"/>
    </w:pPr>
    <w:rPr>
      <w:rFonts w:ascii="Calibri" w:hAnsi="Calibri" w:cs="Calibri"/>
      <w:color w:val="000000"/>
      <w:kern w:val="0"/>
      <w:sz w:val="24"/>
    </w:rPr>
  </w:style>
  <w:style w:type="paragraph" w:styleId="ac">
    <w:name w:val="header"/>
    <w:basedOn w:val="a"/>
    <w:link w:val="Char3"/>
    <w:uiPriority w:val="99"/>
    <w:unhideWhenUsed/>
    <w:rsid w:val="00F34877"/>
    <w:pPr>
      <w:tabs>
        <w:tab w:val="center" w:pos="4513"/>
        <w:tab w:val="right" w:pos="9026"/>
      </w:tabs>
      <w:snapToGrid w:val="0"/>
    </w:pPr>
  </w:style>
  <w:style w:type="character" w:customStyle="1" w:styleId="Char3">
    <w:name w:val="머리글 Char"/>
    <w:basedOn w:val="a0"/>
    <w:link w:val="ac"/>
    <w:uiPriority w:val="99"/>
    <w:rsid w:val="00F34877"/>
  </w:style>
  <w:style w:type="paragraph" w:styleId="ad">
    <w:name w:val="footer"/>
    <w:basedOn w:val="a"/>
    <w:link w:val="Char4"/>
    <w:uiPriority w:val="99"/>
    <w:unhideWhenUsed/>
    <w:rsid w:val="00F34877"/>
    <w:pPr>
      <w:tabs>
        <w:tab w:val="center" w:pos="4513"/>
        <w:tab w:val="right" w:pos="9026"/>
      </w:tabs>
      <w:snapToGrid w:val="0"/>
    </w:pPr>
  </w:style>
  <w:style w:type="character" w:customStyle="1" w:styleId="Char4">
    <w:name w:val="바닥글 Char"/>
    <w:basedOn w:val="a0"/>
    <w:link w:val="ad"/>
    <w:uiPriority w:val="99"/>
    <w:rsid w:val="00F34877"/>
  </w:style>
  <w:style w:type="character" w:styleId="ae">
    <w:name w:val="Placeholder Text"/>
    <w:basedOn w:val="a0"/>
    <w:uiPriority w:val="99"/>
    <w:semiHidden/>
    <w:rsid w:val="0083185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1017</Words>
  <Characters>6086</Characters>
  <Application>Microsoft Office Word</Application>
  <DocSecurity>0</DocSecurity>
  <Lines>173</Lines>
  <Paragraphs>75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양채연</dc:creator>
  <cp:keywords/>
  <dc:description/>
  <cp:lastModifiedBy>양채연</cp:lastModifiedBy>
  <cp:revision>166</cp:revision>
  <dcterms:created xsi:type="dcterms:W3CDTF">2026-02-23T03:34:00Z</dcterms:created>
  <dcterms:modified xsi:type="dcterms:W3CDTF">2026-02-24T09:54:00Z</dcterms:modified>
</cp:coreProperties>
</file>