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0B2545"/>
          <w:sz w:val="40"/>
        </w:rPr>
        <w:t>星河园区智能仓储设备采购项目</w:t>
      </w:r>
    </w:p>
    <w:p>
      <w:pPr>
        <w:spacing w:after="180"/>
        <w:jc w:val="center"/>
      </w:pPr>
      <w:r>
        <w:rPr>
          <w:rFonts w:ascii="Calibri" w:hAnsi="Calibri"/>
          <w:b w:val="0"/>
          <w:color w:val="6B7280"/>
          <w:sz w:val="22"/>
        </w:rPr>
        <w:t>采购文件（简版）</w:t>
      </w:r>
    </w:p>
    <w:tbl>
      <w:tblPr>
        <w:tblW w:type="auto" w:w="0"/>
        <w:jc w:val="center"/>
        <w:tblLayout w:type="fixed"/>
        <w:tblLook w:firstColumn="1" w:firstRow="1" w:lastColumn="0" w:lastRow="0" w:noHBand="0" w:noVBand="1" w:val="04A0"/>
        <w:tblW w:w="9360" w:type="dxa"/>
        <w:tblInd w:w="120" w:type="dxa"/>
      </w:tblPr>
      <w:tblGrid>
        <w:gridCol w:w="1800"/>
        <w:gridCol w:w="7560"/>
      </w:tblGrid>
      <w:tr>
        <w:tc>
          <w:tcPr>
            <w:tcW w:type="dxa" w:w="4968"/>
            <w:tcW w:w="1800" w:type="dxa"/>
            <w:shd w:fill="E8EEF5"/>
          </w:tcPr>
          <w:p>
            <w:r>
              <w:t>项目编号</w:t>
            </w:r>
          </w:p>
        </w:tc>
        <w:tc>
          <w:tcPr>
            <w:tcW w:type="dxa" w:w="4968"/>
            <w:tcW w:w="7560" w:type="dxa"/>
            <w:shd w:fill="E8EEF5"/>
          </w:tcPr>
          <w:p>
            <w:r>
              <w:t>XHCG-2026-017</w:t>
            </w:r>
          </w:p>
        </w:tc>
      </w:tr>
      <w:tr>
        <w:tc>
          <w:tcPr>
            <w:tcW w:type="dxa" w:w="1800"/>
            <w:shd w:fill="E8EEF5"/>
          </w:tcPr>
          <w:p>
            <w:r>
              <w:rPr>
                <w:rFonts w:ascii="Calibri" w:hAnsi="Calibri"/>
                <w:b/>
                <w:sz w:val="18"/>
              </w:rPr>
              <w:t>采购方式</w:t>
            </w:r>
          </w:p>
        </w:tc>
        <w:tc>
          <w:tcPr>
            <w:tcW w:type="dxa" w:w="7560"/>
          </w:tcPr>
          <w:p>
            <w:r>
              <w:rPr>
                <w:rFonts w:ascii="Calibri" w:hAnsi="Calibri"/>
                <w:b w:val="0"/>
                <w:sz w:val="18"/>
              </w:rPr>
              <w:t>竞争性磋商</w:t>
            </w:r>
          </w:p>
        </w:tc>
      </w:tr>
      <w:tr>
        <w:tc>
          <w:tcPr>
            <w:tcW w:type="dxa" w:w="1800"/>
            <w:shd w:fill="E8EEF5"/>
          </w:tcPr>
          <w:p>
            <w:r>
              <w:rPr>
                <w:rFonts w:ascii="Calibri" w:hAnsi="Calibri"/>
                <w:b/>
                <w:sz w:val="18"/>
              </w:rPr>
              <w:t>响应截止时间</w:t>
            </w:r>
          </w:p>
        </w:tc>
        <w:tc>
          <w:tcPr>
            <w:tcW w:type="dxa" w:w="7560"/>
          </w:tcPr>
          <w:p>
            <w:r>
              <w:rPr>
                <w:rFonts w:ascii="Calibri" w:hAnsi="Calibri"/>
                <w:b w:val="0"/>
                <w:sz w:val="18"/>
              </w:rPr>
              <w:t>2026年9月18日 10:00（北京时间）</w:t>
            </w:r>
          </w:p>
        </w:tc>
      </w:tr>
    </w:tbl>
    <w:p>
      <w:pPr>
        <w:spacing w:after="100" w:line="264" w:lineRule="auto"/>
      </w:pPr>
      <w:r>
        <w:rPr>
          <w:rFonts w:ascii="Calibri" w:hAnsi="Calibri"/>
          <w:b w:val="0"/>
          <w:sz w:val="21"/>
        </w:rPr>
        <w:t>本项目采购一套面向园区仓储作业的智能搬运与库存协同设备及配套服务，拟通过公开、公平方式选择具备履约能力的供应商，形成可验收、可维护、可持续运行的交付成果。</w:t>
      </w:r>
    </w:p>
    <w:p>
      <w:pPr>
        <w:pStyle w:val="Heading1"/>
      </w:pPr>
      <w:r>
        <w:t>一、项目概况</w:t>
      </w:r>
    </w:p>
    <w:p>
      <w:pPr>
        <w:spacing w:after="100" w:line="264" w:lineRule="auto"/>
      </w:pPr>
      <w:r>
        <w:rPr>
          <w:rFonts w:ascii="Calibri" w:hAnsi="Calibri"/>
          <w:b w:val="0"/>
          <w:sz w:val="21"/>
        </w:rPr>
        <w:t>1. 项目名称：星河园区智能仓储设备采购项目。</w:t>
      </w:r>
    </w:p>
    <w:p>
      <w:pPr>
        <w:spacing w:after="100" w:line="264" w:lineRule="auto"/>
      </w:pPr>
      <w:r>
        <w:rPr>
          <w:rFonts w:ascii="Calibri" w:hAnsi="Calibri"/>
          <w:b w:val="0"/>
          <w:sz w:val="21"/>
        </w:rPr>
        <w:t>2. 建设地点：星河园区物流中心（虚构地点）。</w:t>
      </w:r>
    </w:p>
    <w:p>
      <w:pPr>
        <w:spacing w:after="100" w:line="264" w:lineRule="auto"/>
      </w:pPr>
      <w:r>
        <w:rPr>
          <w:rFonts w:ascii="Calibri" w:hAnsi="Calibri"/>
          <w:b w:val="0"/>
          <w:sz w:val="21"/>
        </w:rPr>
        <w:t>3. 采购预算：人民币86万元，供应商报价不得超过预算金额。</w:t>
      </w:r>
    </w:p>
    <w:p>
      <w:pPr>
        <w:spacing w:after="100" w:line="264" w:lineRule="auto"/>
      </w:pPr>
      <w:r>
        <w:rPr>
          <w:rFonts w:ascii="Calibri" w:hAnsi="Calibri"/>
          <w:b w:val="0"/>
          <w:sz w:val="21"/>
        </w:rPr>
        <w:t>4. 交付周期：合同签订后45个日历日内完成供货、安装、调试及初验。</w:t>
      </w:r>
    </w:p>
    <w:p>
      <w:pPr>
        <w:pStyle w:val="Heading1"/>
      </w:pPr>
      <w:r>
        <w:t>二、供应商资格条件</w:t>
      </w:r>
    </w:p>
    <w:p>
      <w:pPr>
        <w:pStyle w:val="ListBullet"/>
        <w:spacing w:after="60" w:line="264" w:lineRule="auto"/>
      </w:pPr>
      <w:r>
        <w:rPr>
          <w:rFonts w:ascii="Calibri" w:hAnsi="Calibri"/>
          <w:b w:val="0"/>
          <w:sz w:val="21"/>
        </w:rPr>
        <w:t>具有独立承担民事责任的能力，提供有效营业执照或同等主体资格证明。</w:t>
      </w:r>
    </w:p>
    <w:p>
      <w:pPr>
        <w:pStyle w:val="ListBullet"/>
        <w:spacing w:after="60" w:line="264" w:lineRule="auto"/>
      </w:pPr>
      <w:r>
        <w:rPr>
          <w:rFonts w:ascii="Calibri" w:hAnsi="Calibri"/>
          <w:b w:val="0"/>
          <w:sz w:val="21"/>
        </w:rPr>
        <w:t>具有良好的商业信誉和健全的财务会计制度，近三年无重大违法记录。</w:t>
      </w:r>
    </w:p>
    <w:p>
      <w:pPr>
        <w:pStyle w:val="ListBullet"/>
        <w:spacing w:after="60" w:line="264" w:lineRule="auto"/>
      </w:pPr>
      <w:r>
        <w:rPr>
          <w:rFonts w:ascii="Calibri" w:hAnsi="Calibri"/>
          <w:b w:val="0"/>
          <w:sz w:val="21"/>
        </w:rPr>
        <w:t>具备履行合同所必需的设备、人员和专业技术能力，能够提供本项目售后服务。</w:t>
      </w:r>
    </w:p>
    <w:p>
      <w:pPr>
        <w:pStyle w:val="ListBullet"/>
        <w:spacing w:after="60" w:line="264" w:lineRule="auto"/>
      </w:pPr>
      <w:r>
        <w:rPr>
          <w:rFonts w:ascii="Calibri" w:hAnsi="Calibri"/>
          <w:b w:val="0"/>
          <w:sz w:val="21"/>
        </w:rPr>
        <w:t>本项目接受联合体响应。联合体各方应签署联合体协议，并明确牵头单位及分工。</w:t>
      </w:r>
    </w:p>
    <w:p>
      <w:pPr>
        <w:spacing w:after="100" w:line="264" w:lineRule="auto"/>
      </w:pPr>
      <w:r>
        <w:rPr>
          <w:rFonts w:ascii="Calibri" w:hAnsi="Calibri"/>
          <w:b w:val="0"/>
          <w:sz w:val="21"/>
        </w:rPr>
        <w:t>供应商应在响应文件中提供资格证明材料及承诺函，材料复印件须加盖供应商公章。</w:t>
      </w:r>
    </w:p>
    <w:p>
      <w:pPr>
        <w:pStyle w:val="Heading1"/>
      </w:pPr>
      <w:r>
        <w:t>三、采购需求</w:t>
      </w:r>
    </w:p>
    <w:tbl>
      <w:tblPr>
        <w:tblW w:type="auto" w:w="0"/>
        <w:jc w:val="center"/>
        <w:tblLayout w:type="fixed"/>
        <w:tblLook w:firstColumn="1" w:firstRow="1" w:lastColumn="0" w:lastRow="0" w:noHBand="0" w:noVBand="1" w:val="04A0"/>
        <w:tblW w:w="9360" w:type="dxa"/>
        <w:tblInd w:w="120" w:type="dxa"/>
      </w:tblPr>
      <w:tblGrid>
        <w:gridCol w:w="700"/>
        <w:gridCol w:w="3200"/>
        <w:gridCol w:w="1400"/>
        <w:gridCol w:w="4060"/>
      </w:tblGrid>
      <w:tr>
        <w:tc>
          <w:tcPr>
            <w:tcW w:type="dxa" w:w="2484"/>
            <w:tcW w:w="700" w:type="dxa"/>
            <w:shd w:fill="E8EEF5"/>
          </w:tcPr>
          <w:p>
            <w:r>
              <w:rPr>
                <w:rFonts w:ascii="Calibri" w:hAnsi="Calibri"/>
                <w:b/>
                <w:color w:val="0B2545"/>
                <w:sz w:val="18"/>
              </w:rPr>
              <w:t>序号</w:t>
            </w:r>
          </w:p>
        </w:tc>
        <w:tc>
          <w:tcPr>
            <w:tcW w:type="dxa" w:w="2484"/>
            <w:tcW w:w="3200" w:type="dxa"/>
            <w:shd w:fill="E8EEF5"/>
          </w:tcPr>
          <w:p>
            <w:r>
              <w:rPr>
                <w:rFonts w:ascii="Calibri" w:hAnsi="Calibri"/>
                <w:b/>
                <w:color w:val="0B2545"/>
                <w:sz w:val="18"/>
              </w:rPr>
              <w:t>采购内容</w:t>
            </w:r>
          </w:p>
        </w:tc>
        <w:tc>
          <w:tcPr>
            <w:tcW w:type="dxa" w:w="2484"/>
            <w:tcW w:w="1400" w:type="dxa"/>
            <w:shd w:fill="E8EEF5"/>
          </w:tcPr>
          <w:p>
            <w:r>
              <w:rPr>
                <w:rFonts w:ascii="Calibri" w:hAnsi="Calibri"/>
                <w:b/>
                <w:color w:val="0B2545"/>
                <w:sz w:val="18"/>
              </w:rPr>
              <w:t>数量</w:t>
            </w:r>
          </w:p>
        </w:tc>
        <w:tc>
          <w:tcPr>
            <w:tcW w:type="dxa" w:w="2484"/>
            <w:tcW w:w="4060" w:type="dxa"/>
            <w:shd w:fill="E8EEF5"/>
          </w:tcPr>
          <w:p>
            <w:r>
              <w:rPr>
                <w:rFonts w:ascii="Calibri" w:hAnsi="Calibri"/>
                <w:b/>
                <w:color w:val="0B2545"/>
                <w:sz w:val="18"/>
              </w:rPr>
              <w:t>主要技术及服务要求</w:t>
            </w:r>
          </w:p>
        </w:tc>
      </w:tr>
      <w:tr>
        <w:tc>
          <w:tcPr>
            <w:tcW w:type="dxa" w:w="700"/>
          </w:tcPr>
          <w:p>
            <w:r>
              <w:rPr>
                <w:rFonts w:ascii="Calibri" w:hAnsi="Calibri"/>
                <w:b w:val="0"/>
                <w:sz w:val="17"/>
              </w:rPr>
              <w:t>1</w:t>
            </w:r>
          </w:p>
        </w:tc>
        <w:tc>
          <w:tcPr>
            <w:tcW w:type="dxa" w:w="3200"/>
          </w:tcPr>
          <w:p>
            <w:r>
              <w:rPr>
                <w:rFonts w:ascii="Calibri" w:hAnsi="Calibri"/>
                <w:b w:val="0"/>
                <w:sz w:val="17"/>
              </w:rPr>
              <w:t>智能搬运车</w:t>
            </w:r>
          </w:p>
        </w:tc>
        <w:tc>
          <w:tcPr>
            <w:tcW w:type="dxa" w:w="1400"/>
          </w:tcPr>
          <w:p>
            <w:r>
              <w:rPr>
                <w:rFonts w:ascii="Calibri" w:hAnsi="Calibri"/>
                <w:b w:val="0"/>
                <w:sz w:val="17"/>
              </w:rPr>
              <w:t>6台</w:t>
            </w:r>
          </w:p>
        </w:tc>
        <w:tc>
          <w:tcPr>
            <w:tcW w:type="dxa" w:w="4060"/>
          </w:tcPr>
          <w:p>
            <w:r>
              <w:rPr>
                <w:rFonts w:ascii="Calibri" w:hAnsi="Calibri"/>
                <w:b w:val="0"/>
                <w:sz w:val="17"/>
              </w:rPr>
              <w:t>额定载荷不低于500kg；支持二维码/地图导航；连续运行不少于8小时。</w:t>
            </w:r>
          </w:p>
        </w:tc>
      </w:tr>
      <w:tr>
        <w:tc>
          <w:tcPr>
            <w:tcW w:type="dxa" w:w="700"/>
          </w:tcPr>
          <w:p>
            <w:r>
              <w:rPr>
                <w:rFonts w:ascii="Calibri" w:hAnsi="Calibri"/>
                <w:b w:val="0"/>
                <w:sz w:val="17"/>
              </w:rPr>
              <w:t>2</w:t>
            </w:r>
          </w:p>
        </w:tc>
        <w:tc>
          <w:tcPr>
            <w:tcW w:type="dxa" w:w="3200"/>
          </w:tcPr>
          <w:p>
            <w:r>
              <w:rPr>
                <w:rFonts w:ascii="Calibri" w:hAnsi="Calibri"/>
                <w:b w:val="0"/>
                <w:sz w:val="17"/>
              </w:rPr>
              <w:t>库存协同软件</w:t>
            </w:r>
          </w:p>
        </w:tc>
        <w:tc>
          <w:tcPr>
            <w:tcW w:type="dxa" w:w="1400"/>
          </w:tcPr>
          <w:p>
            <w:r>
              <w:rPr>
                <w:rFonts w:ascii="Calibri" w:hAnsi="Calibri"/>
                <w:b w:val="0"/>
                <w:sz w:val="17"/>
              </w:rPr>
              <w:t>1套</w:t>
            </w:r>
          </w:p>
        </w:tc>
        <w:tc>
          <w:tcPr>
            <w:tcW w:type="dxa" w:w="4060"/>
          </w:tcPr>
          <w:p>
            <w:r>
              <w:rPr>
                <w:rFonts w:ascii="Calibri" w:hAnsi="Calibri"/>
                <w:b w:val="0"/>
                <w:sz w:val="17"/>
              </w:rPr>
              <w:t>支持入库、出库、盘点、任务调度及基础报表；提供接口文档。</w:t>
            </w:r>
          </w:p>
        </w:tc>
      </w:tr>
      <w:tr>
        <w:tc>
          <w:tcPr>
            <w:tcW w:type="dxa" w:w="700"/>
          </w:tcPr>
          <w:p>
            <w:r>
              <w:rPr>
                <w:rFonts w:ascii="Calibri" w:hAnsi="Calibri"/>
                <w:b w:val="0"/>
                <w:sz w:val="17"/>
              </w:rPr>
              <w:t>3</w:t>
            </w:r>
          </w:p>
        </w:tc>
        <w:tc>
          <w:tcPr>
            <w:tcW w:type="dxa" w:w="3200"/>
          </w:tcPr>
          <w:p>
            <w:r>
              <w:rPr>
                <w:rFonts w:ascii="Calibri" w:hAnsi="Calibri"/>
                <w:b w:val="0"/>
                <w:sz w:val="17"/>
              </w:rPr>
              <w:t>实施与培训服务</w:t>
            </w:r>
          </w:p>
        </w:tc>
        <w:tc>
          <w:tcPr>
            <w:tcW w:type="dxa" w:w="1400"/>
          </w:tcPr>
          <w:p>
            <w:r>
              <w:rPr>
                <w:rFonts w:ascii="Calibri" w:hAnsi="Calibri"/>
                <w:b w:val="0"/>
                <w:sz w:val="17"/>
              </w:rPr>
              <w:t>1项</w:t>
            </w:r>
          </w:p>
        </w:tc>
        <w:tc>
          <w:tcPr>
            <w:tcW w:type="dxa" w:w="4060"/>
          </w:tcPr>
          <w:p>
            <w:r>
              <w:rPr>
                <w:rFonts w:ascii="Calibri" w:hAnsi="Calibri"/>
                <w:b w:val="0"/>
                <w:sz w:val="17"/>
              </w:rPr>
              <w:t>完成现场部署、联调、操作培训和验收资料编制。</w:t>
            </w:r>
          </w:p>
        </w:tc>
      </w:tr>
      <w:tr>
        <w:tc>
          <w:tcPr>
            <w:tcW w:type="dxa" w:w="700"/>
          </w:tcPr>
          <w:p>
            <w:r>
              <w:rPr>
                <w:rFonts w:ascii="Calibri" w:hAnsi="Calibri"/>
                <w:b w:val="0"/>
                <w:sz w:val="17"/>
              </w:rPr>
              <w:t>4</w:t>
            </w:r>
          </w:p>
        </w:tc>
        <w:tc>
          <w:tcPr>
            <w:tcW w:type="dxa" w:w="3200"/>
          </w:tcPr>
          <w:p>
            <w:r>
              <w:rPr>
                <w:rFonts w:ascii="Calibri" w:hAnsi="Calibri"/>
                <w:b w:val="0"/>
                <w:sz w:val="17"/>
              </w:rPr>
              <w:t>质保及维保</w:t>
            </w:r>
          </w:p>
        </w:tc>
        <w:tc>
          <w:tcPr>
            <w:tcW w:type="dxa" w:w="1400"/>
          </w:tcPr>
          <w:p>
            <w:r>
              <w:rPr>
                <w:rFonts w:ascii="Calibri" w:hAnsi="Calibri"/>
                <w:b w:val="0"/>
                <w:sz w:val="17"/>
              </w:rPr>
              <w:t>1项</w:t>
            </w:r>
          </w:p>
        </w:tc>
        <w:tc>
          <w:tcPr>
            <w:tcW w:type="dxa" w:w="4060"/>
          </w:tcPr>
          <w:p>
            <w:r>
              <w:rPr>
                <w:rFonts w:ascii="Calibri" w:hAnsi="Calibri"/>
                <w:b w:val="0"/>
                <w:sz w:val="17"/>
              </w:rPr>
              <w:t>整机质保不少于24个月；提供7×12小时远程响应。</w:t>
            </w:r>
          </w:p>
        </w:tc>
      </w:tr>
    </w:tbl>
    <w:p>
      <w:pPr>
        <w:spacing w:after="100" w:line="264" w:lineRule="auto"/>
      </w:pPr>
      <w:r>
        <w:rPr>
          <w:rFonts w:ascii="Calibri" w:hAnsi="Calibri"/>
          <w:b w:val="0"/>
          <w:sz w:val="21"/>
        </w:rPr>
        <w:t>供应商可提供性能相当或优于上述要求的产品，但应逐项说明响应情况、偏离情况及依据。采购人有权对关键参数进行现场核验。</w:t>
      </w:r>
    </w:p>
    <w:p>
      <w:pPr>
        <w:pStyle w:val="Heading1"/>
      </w:pPr>
      <w:r>
        <w:t>四、响应文件要求</w:t>
      </w:r>
    </w:p>
    <w:p>
      <w:pPr>
        <w:pStyle w:val="ListBullet"/>
        <w:spacing w:after="60" w:line="264" w:lineRule="auto"/>
      </w:pPr>
      <w:r>
        <w:rPr>
          <w:rFonts w:ascii="Calibri" w:hAnsi="Calibri"/>
          <w:b w:val="0"/>
          <w:sz w:val="21"/>
        </w:rPr>
        <w:t>响应文件包括：报价函、分项报价表、资格证明、技术响应、实施方案、售后服务方案、合同条款响应及相关承诺。</w:t>
      </w:r>
    </w:p>
    <w:p>
      <w:pPr>
        <w:pStyle w:val="ListBullet"/>
        <w:spacing w:after="60" w:line="264" w:lineRule="auto"/>
      </w:pPr>
      <w:r>
        <w:rPr>
          <w:rFonts w:ascii="Calibri" w:hAnsi="Calibri"/>
          <w:b w:val="0"/>
          <w:sz w:val="21"/>
        </w:rPr>
        <w:t>响应文件应加盖公章并由法定代表人或授权代表签字；报价含税、运输、安装、培训等全部费用。</w:t>
      </w:r>
    </w:p>
    <w:p>
      <w:pPr>
        <w:pStyle w:val="ListBullet"/>
        <w:spacing w:after="60" w:line="264" w:lineRule="auto"/>
      </w:pPr>
      <w:r>
        <w:rPr>
          <w:rFonts w:ascii="Calibri" w:hAnsi="Calibri"/>
          <w:b w:val="0"/>
          <w:sz w:val="21"/>
        </w:rPr>
        <w:t>供应商应于响应截止时间前提交电子响应文件，并将纸质响应文件一式两份密封递交至采购人指定地点。</w:t>
      </w:r>
    </w:p>
    <w:p>
      <w:pPr>
        <w:pStyle w:val="ListBullet"/>
        <w:spacing w:after="60" w:line="264" w:lineRule="auto"/>
      </w:pPr>
      <w:r>
        <w:rPr>
          <w:rFonts w:ascii="Calibri" w:hAnsi="Calibri"/>
          <w:b w:val="0"/>
          <w:sz w:val="21"/>
        </w:rPr>
        <w:t>响应有效期为90个日历日，自响应截止之日起计算。</w:t>
      </w:r>
    </w:p>
    <w:p>
      <w:pPr>
        <w:pStyle w:val="Heading1"/>
      </w:pPr>
      <w:r>
        <w:t>五、评审规则</w:t>
      </w:r>
    </w:p>
    <w:tbl>
      <w:tblPr>
        <w:tblW w:type="auto" w:w="0"/>
        <w:jc w:val="center"/>
        <w:tblLayout w:type="fixed"/>
        <w:tblLook w:firstColumn="1" w:firstRow="1" w:lastColumn="0" w:lastRow="0" w:noHBand="0" w:noVBand="1" w:val="04A0"/>
        <w:tblW w:w="9360" w:type="dxa"/>
        <w:tblInd w:w="120" w:type="dxa"/>
      </w:tblPr>
      <w:tblGrid>
        <w:gridCol w:w="2800"/>
        <w:gridCol w:w="1200"/>
        <w:gridCol w:w="5360"/>
      </w:tblGrid>
      <w:tr>
        <w:tc>
          <w:tcPr>
            <w:tcW w:type="dxa" w:w="3312"/>
            <w:tcW w:w="2800" w:type="dxa"/>
            <w:shd w:fill="E8EEF5"/>
          </w:tcPr>
          <w:p>
            <w:r>
              <w:rPr>
                <w:rFonts w:ascii="Calibri" w:hAnsi="Calibri"/>
                <w:b/>
                <w:color w:val="0B2545"/>
                <w:sz w:val="18"/>
              </w:rPr>
              <w:t>评审因素</w:t>
            </w:r>
          </w:p>
        </w:tc>
        <w:tc>
          <w:tcPr>
            <w:tcW w:type="dxa" w:w="3312"/>
            <w:tcW w:w="1200" w:type="dxa"/>
            <w:shd w:fill="E8EEF5"/>
          </w:tcPr>
          <w:p>
            <w:r>
              <w:rPr>
                <w:rFonts w:ascii="Calibri" w:hAnsi="Calibri"/>
                <w:b/>
                <w:color w:val="0B2545"/>
                <w:sz w:val="18"/>
              </w:rPr>
              <w:t>分值</w:t>
            </w:r>
          </w:p>
        </w:tc>
        <w:tc>
          <w:tcPr>
            <w:tcW w:type="dxa" w:w="3312"/>
            <w:tcW w:w="5360" w:type="dxa"/>
            <w:shd w:fill="E8EEF5"/>
          </w:tcPr>
          <w:p>
            <w:r>
              <w:rPr>
                <w:rFonts w:ascii="Calibri" w:hAnsi="Calibri"/>
                <w:b/>
                <w:color w:val="0B2545"/>
                <w:sz w:val="18"/>
              </w:rPr>
              <w:t>评审要点</w:t>
            </w:r>
          </w:p>
        </w:tc>
      </w:tr>
      <w:tr>
        <w:tc>
          <w:tcPr>
            <w:tcW w:type="dxa" w:w="2800"/>
          </w:tcPr>
          <w:p>
            <w:r>
              <w:rPr>
                <w:rFonts w:ascii="Calibri" w:hAnsi="Calibri"/>
                <w:b w:val="0"/>
                <w:sz w:val="17"/>
              </w:rPr>
              <w:t>技术与实施方案</w:t>
            </w:r>
          </w:p>
        </w:tc>
        <w:tc>
          <w:tcPr>
            <w:tcW w:type="dxa" w:w="1200"/>
          </w:tcPr>
          <w:p>
            <w:r>
              <w:rPr>
                <w:rFonts w:ascii="Calibri" w:hAnsi="Calibri"/>
                <w:b w:val="0"/>
                <w:sz w:val="17"/>
              </w:rPr>
              <w:t>35</w:t>
            </w:r>
          </w:p>
        </w:tc>
        <w:tc>
          <w:tcPr>
            <w:tcW w:type="dxa" w:w="5360"/>
          </w:tcPr>
          <w:p>
            <w:r>
              <w:rPr>
                <w:rFonts w:ascii="Calibri" w:hAnsi="Calibri"/>
                <w:b w:val="0"/>
                <w:sz w:val="17"/>
              </w:rPr>
              <w:t>技术指标响应、项目组织、进度及风险控制</w:t>
            </w:r>
          </w:p>
        </w:tc>
      </w:tr>
      <w:tr>
        <w:tc>
          <w:tcPr>
            <w:tcW w:type="dxa" w:w="2800"/>
          </w:tcPr>
          <w:p>
            <w:r>
              <w:rPr>
                <w:rFonts w:ascii="Calibri" w:hAnsi="Calibri"/>
                <w:b w:val="0"/>
                <w:sz w:val="17"/>
              </w:rPr>
              <w:t>售后服务能力</w:t>
            </w:r>
          </w:p>
        </w:tc>
        <w:tc>
          <w:tcPr>
            <w:tcW w:type="dxa" w:w="1200"/>
          </w:tcPr>
          <w:p>
            <w:r>
              <w:rPr>
                <w:rFonts w:ascii="Calibri" w:hAnsi="Calibri"/>
                <w:b w:val="0"/>
                <w:sz w:val="17"/>
              </w:rPr>
              <w:t>20</w:t>
            </w:r>
          </w:p>
        </w:tc>
        <w:tc>
          <w:tcPr>
            <w:tcW w:type="dxa" w:w="5360"/>
          </w:tcPr>
          <w:p>
            <w:r>
              <w:rPr>
                <w:rFonts w:ascii="Calibri" w:hAnsi="Calibri"/>
                <w:b w:val="0"/>
                <w:sz w:val="17"/>
              </w:rPr>
              <w:t>质保承诺、服务团队、响应机制及培训安排</w:t>
            </w:r>
          </w:p>
        </w:tc>
      </w:tr>
      <w:tr>
        <w:tc>
          <w:tcPr>
            <w:tcW w:type="dxa" w:w="2800"/>
          </w:tcPr>
          <w:p>
            <w:r>
              <w:rPr>
                <w:rFonts w:ascii="Calibri" w:hAnsi="Calibri"/>
                <w:b w:val="0"/>
                <w:sz w:val="17"/>
              </w:rPr>
              <w:t>类似项目经验</w:t>
            </w:r>
          </w:p>
        </w:tc>
        <w:tc>
          <w:tcPr>
            <w:tcW w:type="dxa" w:w="1200"/>
          </w:tcPr>
          <w:p>
            <w:r>
              <w:rPr>
                <w:rFonts w:ascii="Calibri" w:hAnsi="Calibri"/>
                <w:b w:val="0"/>
                <w:sz w:val="17"/>
              </w:rPr>
              <w:t>15</w:t>
            </w:r>
          </w:p>
        </w:tc>
        <w:tc>
          <w:tcPr>
            <w:tcW w:type="dxa" w:w="5360"/>
          </w:tcPr>
          <w:p>
            <w:r>
              <w:rPr>
                <w:rFonts w:ascii="Calibri" w:hAnsi="Calibri"/>
                <w:b w:val="0"/>
                <w:sz w:val="17"/>
              </w:rPr>
              <w:t>项目案例、交付能力及用户评价</w:t>
            </w:r>
          </w:p>
        </w:tc>
      </w:tr>
      <w:tr>
        <w:tc>
          <w:tcPr>
            <w:tcW w:type="dxa" w:w="2800"/>
          </w:tcPr>
          <w:p>
            <w:r>
              <w:rPr>
                <w:rFonts w:ascii="Calibri" w:hAnsi="Calibri"/>
                <w:b w:val="0"/>
                <w:sz w:val="17"/>
              </w:rPr>
              <w:t>价格</w:t>
            </w:r>
          </w:p>
        </w:tc>
        <w:tc>
          <w:tcPr>
            <w:tcW w:type="dxa" w:w="1200"/>
          </w:tcPr>
          <w:p>
            <w:r>
              <w:rPr>
                <w:rFonts w:ascii="Calibri" w:hAnsi="Calibri"/>
                <w:b w:val="0"/>
                <w:sz w:val="17"/>
              </w:rPr>
              <w:t>30</w:t>
            </w:r>
          </w:p>
        </w:tc>
        <w:tc>
          <w:tcPr>
            <w:tcW w:type="dxa" w:w="5360"/>
          </w:tcPr>
          <w:p>
            <w:r>
              <w:rPr>
                <w:rFonts w:ascii="Calibri" w:hAnsi="Calibri"/>
                <w:b w:val="0"/>
                <w:sz w:val="17"/>
              </w:rPr>
              <w:t>满足实质性要求前提下，报价越低得分越高</w:t>
            </w:r>
          </w:p>
        </w:tc>
      </w:tr>
    </w:tbl>
    <w:p>
      <w:pPr>
        <w:spacing w:after="100" w:line="264" w:lineRule="auto"/>
      </w:pPr>
      <w:r>
        <w:rPr>
          <w:rFonts w:ascii="Calibri" w:hAnsi="Calibri"/>
          <w:b w:val="0"/>
          <w:sz w:val="21"/>
        </w:rPr>
        <w:t>评审小组对响应文件进行符合性审查和综合评分，按综合得分由高到低推荐成交候选供应商。</w:t>
      </w:r>
    </w:p>
    <w:p>
      <w:pPr>
        <w:pStyle w:val="Heading1"/>
      </w:pPr>
      <w:r>
        <w:t>六、合同主要条款</w:t>
      </w:r>
    </w:p>
    <w:p>
      <w:pPr>
        <w:spacing w:after="100" w:line="264" w:lineRule="auto"/>
      </w:pPr>
      <w:r>
        <w:rPr>
          <w:rFonts w:ascii="Calibri" w:hAnsi="Calibri"/>
          <w:b w:val="0"/>
          <w:sz w:val="21"/>
        </w:rPr>
        <w:t>1. 合同价款：合同总价为包干价，除双方书面确认的变更外，采购人不再承担其他费用。</w:t>
      </w:r>
    </w:p>
    <w:p>
      <w:pPr>
        <w:spacing w:after="100" w:line="264" w:lineRule="auto"/>
      </w:pPr>
      <w:r>
        <w:rPr>
          <w:rFonts w:ascii="Calibri" w:hAnsi="Calibri"/>
          <w:b w:val="0"/>
          <w:sz w:val="21"/>
        </w:rPr>
        <w:t>2. 付款方式：合同签订后支付合同价的30%；设备到货并初验合格后支付60%；终验合格且质保期满无质量争议后支付10%。</w:t>
      </w:r>
    </w:p>
    <w:p>
      <w:pPr>
        <w:spacing w:after="100" w:line="264" w:lineRule="auto"/>
      </w:pPr>
      <w:r>
        <w:rPr>
          <w:rFonts w:ascii="Calibri" w:hAnsi="Calibri"/>
          <w:b w:val="0"/>
          <w:sz w:val="21"/>
        </w:rPr>
        <w:t>3. 验收与违约：供应商应按需求完成交付并配合验收；逾期交付的，每逾期一日按合同价的0.3%支付违约金，累计不超过合同价的10%。</w:t>
      </w:r>
    </w:p>
    <w:p>
      <w:pPr>
        <w:spacing w:after="100" w:line="264" w:lineRule="auto"/>
      </w:pPr>
      <w:r>
        <w:rPr>
          <w:rFonts w:ascii="Calibri" w:hAnsi="Calibri"/>
          <w:b w:val="0"/>
          <w:sz w:val="21"/>
        </w:rPr>
        <w:t>4. 争议解决：协商不成的，向采购人所在地有管辖权的人民法院提起诉讼。</w:t>
      </w:r>
    </w:p>
    <w:p>
      <w:pPr>
        <w:spacing w:after="100" w:line="264" w:lineRule="auto"/>
      </w:pPr>
      <w:r>
        <w:rPr>
          <w:rFonts w:ascii="Calibri" w:hAnsi="Calibri"/>
          <w:b w:val="0"/>
          <w:sz w:val="21"/>
        </w:rPr>
        <w:t>5. 其他：未尽事宜按合同约定及适用法律法规执行。本文件与合同约定不一致的，以双方最终签署的合同为准。</w:t>
      </w:r>
    </w:p>
    <w:sectPr w:rsidR="00FC693F" w:rsidRPr="0006063C" w:rsidSect="00034616">
      <w:headerReference w:type="default" r:id="rId9"/>
      <w:footerReference w:type="default" r:id="rId10"/>
      <w:pgSz w:w="12240" w:h="15840"/>
      <w:pgMar w:top="1008" w:right="1152" w:bottom="936" w:left="1152"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6B7280"/>
        <w:sz w:val="16"/>
      </w:rPr>
      <w:t>虚构项目 | 仅用于链路测试</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color w:val="6B7280"/>
        <w:sz w:val="16"/>
      </w:rPr>
      <w:t>采购文件 · 采购审核测试样本</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星河园区智能仓储设备采购项目采购文件（简版）</dc:title>
  <dc:subject/>
  <dc:creator>采购项目组</dc:creator>
  <cp:keywords/>
  <dc:description>generated by python-docx</dc:description>
  <cp:lastModifiedBy/>
  <cp:revision>1</cp:revision>
  <dcterms:created xsi:type="dcterms:W3CDTF">2013-12-23T23:15:00Z</dcterms:created>
  <dcterms:modified xsi:type="dcterms:W3CDTF">2013-12-23T23:15:00Z</dcterms:modified>
  <cp:category/>
</cp:coreProperties>
</file>