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DWC2026 – T1 Hand-off: Data, Scoring &amp; Baseline</w:t>
      </w:r>
    </w:p>
    <w:p>
      <w:pPr/>
      <w:r>
        <w:t xml:space="preserve">Oct 10, 2026</w:t>
      </w:r>
      <w:r>
        <w:t xml:space="preserve"> · </w:t>
      </w:r>
      <w:r>
        <w:t xml:space="preserve">@Khoonlyn</w:t>
      </w:r>
    </w:p>
    <w:p>
      <w:pPr>
        <w:pStyle w:val="Heading2"/>
      </w:pPr>
      <w:r>
        <w:t xml:space="preserve">Status at a glance</w:t>
      </w:r>
    </w:p>
    <w:p>
      <w:pPr/>
      <w:r>
        <w:t xml:space="preserve">Track 1 (Data &amp; Baseline) is done. The clean data, the shared scoring tool, the baseline ranking and the sensitivity analysis are on branch </w:t>
      </w:r>
      <w:r>
        <w:rPr>
          <w:rStyle w:val="CodeChar"/>
        </w:rPr>
        <w:t xml:space="preserve">t1-data</w:t>
      </w:r>
      <w:r>
        <w:t xml:space="preserve">, going to </w:t>
      </w:r>
      <w:r>
        <w:rPr>
          <w:rStyle w:val="CodeChar"/>
        </w:rPr>
        <w:t xml:space="preserve">main</w:t>
      </w:r>
      <w:r>
        <w:t xml:space="preserve"> through a Pull Request. </w:t>
      </w:r>
      <w:r>
        <w:rPr>
          <w:b/>
        </w:rPr>
        <w:t xml:space="preserve">The score to beat is 0.0036 (Case 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Status</w:t>
            </w:r>
          </w:p>
        </w:tc>
        <w:tc>
          <w:tcPr>
            <w:tcW w:w="3120" w:type="dxa"/>
            <w:shd w:val="clear" w:color="auto" w:fill="F2F2F2"/>
          </w:tcPr>
          <w:p>
            <w:pPr/>
            <w:r>
              <w:t xml:space="preserve">Where</w:t>
            </w:r>
          </w:p>
        </w:tc>
      </w:tr>
      <w:tr>
        <w:tc>
          <w:tcPr>
            <w:tcW w:w="3120" w:type="dxa"/>
          </w:tcPr>
          <w:p>
            <w:pPr/>
            <w:r>
              <w:t xml:space="preserve">Clean data + master table</w:t>
            </w:r>
          </w:p>
        </w:tc>
        <w:tc>
          <w:tcPr>
            <w:tcW w:w="3120" w:type="dxa"/>
          </w:tcPr>
          <w:p>
            <w:pPr/>
            <w:r>
              <w:t xml:space="preserve">Done</w:t>
            </w:r>
          </w:p>
        </w:tc>
        <w:tc>
          <w:tcPr>
            <w:tcW w:w="3120" w:type="dxa"/>
          </w:tcPr>
          <w:p>
            <w:pPr/>
            <w:r>
              <w:rPr>
                <w:rStyle w:val="CodeChar"/>
              </w:rPr>
              <w:t xml:space="preserve">src/load_data.py</w:t>
            </w:r>
            <w:r>
              <w:t xml:space="preserve"> → </w:t>
            </w:r>
            <w:r>
              <w:rPr>
                <w:rStyle w:val="CodeChar"/>
              </w:rPr>
              <w:t xml:space="preserve">data/processed/</w:t>
            </w:r>
          </w:p>
        </w:tc>
      </w:tr>
      <w:tr>
        <w:tc>
          <w:tcPr>
            <w:tcW w:w="3120" w:type="dxa"/>
          </w:tcPr>
          <w:p>
            <w:pPr/>
            <w:r>
              <w:t xml:space="preserve">Shared scoring tool</w:t>
            </w:r>
          </w:p>
        </w:tc>
        <w:tc>
          <w:tcPr>
            <w:tcW w:w="3120" w:type="dxa"/>
          </w:tcPr>
          <w:p>
            <w:pPr/>
            <w:r>
              <w:t xml:space="preserve">Done, tested (6 tests pass)</w:t>
            </w:r>
          </w:p>
        </w:tc>
        <w:tc>
          <w:tcPr>
            <w:tcW w:w="3120" w:type="dxa"/>
          </w:tcPr>
          <w:p>
            <w:pPr/>
            <w:r>
              <w:rPr>
                <w:rStyle w:val="CodeChar"/>
              </w:rPr>
              <w:t xml:space="preserve">src/metrics.py</w:t>
            </w:r>
            <w:r>
              <w:t xml:space="preserve">, </w:t>
            </w:r>
            <w:r>
              <w:rPr>
                <w:rStyle w:val="CodeChar"/>
              </w:rPr>
              <w:t xml:space="preserve">tests/test_metrics.py</w:t>
            </w:r>
          </w:p>
        </w:tc>
      </w:tr>
      <w:tr>
        <w:tc>
          <w:tcPr>
            <w:tcW w:w="3120" w:type="dxa"/>
          </w:tcPr>
          <w:p>
            <w:pPr/>
            <w:r>
              <w:t xml:space="preserve">Baseline: rank the 100 existing cases</w:t>
            </w:r>
          </w:p>
        </w:tc>
        <w:tc>
          <w:tcPr>
            <w:tcW w:w="3120" w:type="dxa"/>
          </w:tcPr>
          <w:p>
            <w:pPr/>
            <w:r>
              <w:t xml:space="preserve">Done</w:t>
            </w:r>
          </w:p>
        </w:tc>
        <w:tc>
          <w:tcPr>
            <w:tcW w:w="3120" w:type="dxa"/>
          </w:tcPr>
          <w:p>
            <w:pPr/>
            <w:r>
              <w:rPr>
                <w:rStyle w:val="CodeChar"/>
              </w:rPr>
              <w:t xml:space="preserve">src/baseline.py</w:t>
            </w:r>
            <w:r>
              <w:t xml:space="preserve"> → </w:t>
            </w:r>
            <w:r>
              <w:rPr>
                <w:rStyle w:val="CodeChar"/>
              </w:rPr>
              <w:t xml:space="preserve">outputs/baseline_ranking.csv</w:t>
            </w:r>
          </w:p>
        </w:tc>
      </w:tr>
      <w:tr>
        <w:tc>
          <w:tcPr>
            <w:tcW w:w="3120" w:type="dxa"/>
          </w:tcPr>
          <w:p>
            <w:pPr/>
            <w:r>
              <w:t xml:space="preserve">Sensitivity: which parameter matters most</w:t>
            </w:r>
          </w:p>
        </w:tc>
        <w:tc>
          <w:tcPr>
            <w:tcW w:w="3120" w:type="dxa"/>
          </w:tcPr>
          <w:p>
            <w:pPr/>
            <w:r>
              <w:t xml:space="preserve">Done</w:t>
            </w:r>
          </w:p>
        </w:tc>
        <w:tc>
          <w:tcPr>
            <w:tcW w:w="3120" w:type="dxa"/>
          </w:tcPr>
          <w:p>
            <w:pPr/>
            <w:r>
              <w:rPr>
                <w:rStyle w:val="CodeChar"/>
              </w:rPr>
              <w:t xml:space="preserve">src/sensitivity.py</w:t>
            </w:r>
            <w:r>
              <w:t xml:space="preserve"> → </w:t>
            </w:r>
            <w:r>
              <w:rPr>
                <w:rStyle w:val="CodeChar"/>
              </w:rPr>
              <w:t xml:space="preserve">outputs/sensitivity_*.csv</w:t>
            </w:r>
          </w:p>
        </w:tc>
      </w:tr>
      <w:tr>
        <w:tc>
          <w:tcPr>
            <w:tcW w:w="3120" w:type="dxa"/>
          </w:tcPr>
          <w:p>
            <w:pPr/>
            <w:r>
              <w:t xml:space="preserve">3D grid files as parquet</w:t>
            </w:r>
          </w:p>
        </w:tc>
        <w:tc>
          <w:tcPr>
            <w:tcW w:w="3120" w:type="dxa"/>
          </w:tcPr>
          <w:p>
            <w:pPr/>
            <w:r>
              <w:t xml:space="preserve">Optional, not needed for the core pipeline</w:t>
            </w:r>
          </w:p>
        </w:tc>
        <w:tc>
          <w:tcPr>
            <w:tcW w:w="3120" w:type="dxa"/>
          </w:tcPr>
          <w:p>
            <w:pPr/>
            <w:r>
              <w:rPr>
                <w:rStyle w:val="CodeChar"/>
              </w:rPr>
              <w:t xml:space="preserve">python -m src.load_data --grid</w:t>
            </w:r>
          </w:p>
        </w:tc>
      </w:tr>
    </w:tbl>
    <w:p>
      <w:pPr/>
      <w:r>
        <w:t xml:space="preserve">What every teammate does now:</w:t>
      </w:r>
    </w:p>
    <w:p>
      <w:pPr>
        <w:pStyle w:val="ListParagraph"/>
        <w:numPr>
          <w:ilvl w:val="0"/>
          <w:numId w:val="2"/>
        </w:numPr>
      </w:pPr>
      <w:r>
        <w:t xml:space="preserve">☐ After the PR is merged: in VS Code, Command Palette → </w:t>
      </w:r>
      <w:r>
        <w:rPr>
          <w:i/>
        </w:rPr>
        <w:t xml:space="preserve">Git: Merge Branch…</w:t>
      </w:r>
      <w:r>
        <w:t xml:space="preserve"> → </w:t>
      </w:r>
      <w:r>
        <w:rPr>
          <w:rStyle w:val="CodeChar"/>
        </w:rPr>
        <w:t xml:space="preserve">origin/main</w:t>
      </w:r>
      <w:r>
        <w:t xml:space="preserve"> (brings T1's code into your branch)</w:t>
      </w:r>
    </w:p>
    <w:p>
      <w:pPr>
        <w:pStyle w:val="ListParagraph"/>
        <w:numPr>
          <w:ilvl w:val="0"/>
          <w:numId w:val="2"/>
        </w:numPr>
      </w:pPr>
      <w:r>
        <w:t xml:space="preserve">☐ Copy the Excel files </w:t>
      </w:r>
      <w:r>
        <w:rPr>
          <w:rStyle w:val="CodeChar"/>
        </w:rPr>
        <w:t xml:space="preserve">01</w:t>
      </w:r>
      <w:r>
        <w:t xml:space="preserve"> and </w:t>
      </w:r>
      <w:r>
        <w:rPr>
          <w:rStyle w:val="CodeChar"/>
        </w:rPr>
        <w:t xml:space="preserve">02</w:t>
      </w:r>
      <w:r>
        <w:t xml:space="preserve"> into </w:t>
      </w:r>
      <w:r>
        <w:rPr>
          <w:rStyle w:val="CodeChar"/>
        </w:rPr>
        <w:t xml:space="preserve">data/raw/</w:t>
      </w:r>
    </w:p>
    <w:p>
      <w:pPr>
        <w:pStyle w:val="ListParagraph"/>
        <w:numPr>
          <w:ilvl w:val="0"/>
          <w:numId w:val="2"/>
        </w:numPr>
      </w:pPr>
      <w:r>
        <w:t xml:space="preserve">☐ Run </w:t>
      </w:r>
      <w:r>
        <w:rPr>
          <w:rStyle w:val="CodeChar"/>
        </w:rPr>
        <w:t xml:space="preserve">python -m src.load_data</w:t>
      </w:r>
      <w:r>
        <w:t xml:space="preserve"> once (about 30 seconds)</w:t>
      </w:r>
    </w:p>
    <w:p>
      <w:pPr>
        <w:pStyle w:val="ListParagraph"/>
        <w:numPr>
          <w:ilvl w:val="0"/>
          <w:numId w:val="2"/>
        </w:numPr>
      </w:pPr>
      <w:r>
        <w:t xml:space="preserve">☐ Read the Data rules section below before modelling</w:t>
      </w:r>
    </w:p>
    <w:p>
      <w:pPr>
        <w:pStyle w:val="Heading2"/>
      </w:pPr>
      <w:r>
        <w:t xml:space="preserve">The project in one picture</w:t>
      </w:r>
    </w:p>
    <w:p>
      <w:pPr/>
      <w:r>
        <w:t xml:space="preserve">The model learns from 100 simulated cases (4 parameters in, production curves out); the real field data is only used to judge and choose.</w:t>
      </w:r>
    </w:p>
    <w:p>
      <w:pPr/>
      <w:r>
        <w:drawing>
          <wp:inline distT="0" distB="0" distL="0" distR="0">
            <wp:extent cx="5486400" cy="3086100"/>
            <wp:docPr id="1" name="image1" descr="project flow · who builds what"/>
            <a:graphic xmlns:a="http://schemas.openxmlformats.org/drawingml/2006/main">
              <a:graphicData uri="http://schemas.openxmlformats.org/drawingml/2006/picture">
                <pic:pic xmlns:pic="http://schemas.openxmlformats.org/drawingml/2006/picture">
                  <pic:nvPicPr>
                    <pic:cNvPr id="1" name="image1" descr="project flow · who builds what"/>
                    <pic:cNvPicPr/>
                  </pic:nvPicPr>
                  <pic:blipFill>
                    <a:blip r:embed="rId3"/>
                    <a:stretch>
                      <a:fillRect/>
                    </a:stretch>
                  </pic:blipFill>
                  <pic:spPr>
                    <a:xfrm>
                      <a:off x="0" y="0"/>
                      <a:ext cx="5486400" cy="3086100"/>
                    </a:xfrm>
                    <a:prstGeom prst="rect">
                      <a:avLst/>
                    </a:prstGeom>
                  </pic:spPr>
                </pic:pic>
              </a:graphicData>
            </a:graphic>
          </wp:inline>
        </w:drawing>
      </w:r>
    </w:p>
    <w:p>
      <w:pPr/>
      <w:r>
        <w:t xml:space="preserve">project flow · who builds what</w:t>
      </w:r>
    </w:p>
    <w:p>
      <w:pPr/>
      <w:r>
        <w:t xml:space="preserve">The 3D grid files (</w:t>
      </w:r>
      <w:r>
        <w:rPr>
          <w:rStyle w:val="CodeChar"/>
        </w:rPr>
        <w:t xml:space="preserve">03</w:t>
      </w:r>
      <w:r>
        <w:t xml:space="preserve">–</w:t>
      </w:r>
      <w:r>
        <w:rPr>
          <w:rStyle w:val="CodeChar"/>
        </w:rPr>
        <w:t xml:space="preserve">08</w:t>
      </w:r>
      <w:r>
        <w:t xml:space="preserve">) are not part of this flow: each grid is just the 4 parameters spread over 90,000 cells, so they are only for visuals and optional extra features.</w:t>
      </w:r>
    </w:p>
    <w:p>
      <w:pPr>
        <w:pStyle w:val="Heading2"/>
      </w:pPr>
      <w:r>
        <w:t xml:space="preserve">What each file does</w:t>
      </w:r>
    </w:p>
    <w:p>
      <w:pPr/>
      <w:r>
        <w:t xml:space="preserve">Every setting lives in </w:t>
      </w:r>
      <w:r>
        <w:rPr>
          <w:rStyle w:val="CodeChar"/>
        </w:rPr>
        <w:t xml:space="preserve">config.py</w:t>
      </w:r>
      <w:r>
        <w:t xml:space="preserve">, every score comes from </w:t>
      </w:r>
      <w:r>
        <w:rPr>
          <w:rStyle w:val="CodeChar"/>
        </w:rPr>
        <w:t xml:space="preserve">metrics.py</w:t>
      </w:r>
      <w:r>
        <w:t xml:space="preserve">, and everything else builds on those two.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What it does, in plain words</w:t>
            </w:r>
          </w:p>
        </w:tc>
        <w:tc>
          <w:tcPr>
            <w:tcW w:w="3120" w:type="dxa"/>
            <w:shd w:val="clear" w:color="auto" w:fill="F2F2F2"/>
          </w:tcPr>
          <w:p>
            <w:pPr/>
            <w:r>
              <w:t xml:space="preserve">Who uses it</w:t>
            </w:r>
          </w:p>
        </w:tc>
      </w:tr>
      <w:tr>
        <w:tc>
          <w:tcPr>
            <w:tcW w:w="3120" w:type="dxa"/>
          </w:tcPr>
          <w:p>
            <w:pPr/>
            <w:r>
              <w:rPr>
                <w:rStyle w:val="CodeChar"/>
              </w:rPr>
              <w:t xml:space="preserve">src/config.py</w:t>
            </w:r>
          </w:p>
        </w:tc>
        <w:tc>
          <w:tcPr>
            <w:tcW w:w="3120" w:type="dxa"/>
          </w:tcPr>
          <w:p>
            <w:pPr/>
            <w:r>
              <w:t xml:space="preserve">The settings page: file paths, the case split, the 41 dates, the scoring weights. Change a setting here only, never inside your own code</w:t>
            </w:r>
          </w:p>
        </w:tc>
        <w:tc>
          <w:tcPr>
            <w:tcW w:w="3120" w:type="dxa"/>
          </w:tcPr>
          <w:p>
            <w:pPr/>
            <w:r>
              <w:t xml:space="preserve">Everyone</w:t>
            </w:r>
          </w:p>
        </w:tc>
      </w:tr>
      <w:tr>
        <w:tc>
          <w:tcPr>
            <w:tcW w:w="3120" w:type="dxa"/>
          </w:tcPr>
          <w:p>
            <w:pPr/>
            <w:r>
              <w:rPr>
                <w:rStyle w:val="CodeChar"/>
              </w:rPr>
              <w:t xml:space="preserve">src/load_data.py</w:t>
            </w:r>
          </w:p>
        </w:tc>
        <w:tc>
          <w:tcPr>
            <w:tcW w:w="3120" w:type="dxa"/>
          </w:tcPr>
          <w:p>
            <w:pPr/>
            <w:r>
              <w:t xml:space="preserve">Reads the Excel files once and saves fast, clean copies (parquet). Also gives </w:t>
            </w:r>
            <w:r>
              <w:rPr>
                <w:rStyle w:val="CodeChar"/>
              </w:rPr>
              <w:t xml:space="preserve">read_master()</w:t>
            </w:r>
            <w:r>
              <w:t xml:space="preserve">, </w:t>
            </w:r>
            <w:r>
              <w:rPr>
                <w:rStyle w:val="CodeChar"/>
              </w:rPr>
              <w:t xml:space="preserve">read_history()</w:t>
            </w:r>
            <w:r>
              <w:t xml:space="preserve"> etc. to load them in one line</w:t>
            </w:r>
          </w:p>
        </w:tc>
        <w:tc>
          <w:tcPr>
            <w:tcW w:w="3120" w:type="dxa"/>
          </w:tcPr>
          <w:p>
            <w:pPr/>
            <w:r>
              <w:t xml:space="preserve">Everyone</w:t>
            </w:r>
          </w:p>
        </w:tc>
      </w:tr>
      <w:tr>
        <w:tc>
          <w:tcPr>
            <w:tcW w:w="3120" w:type="dxa"/>
          </w:tcPr>
          <w:p>
            <w:pPr/>
            <w:r>
              <w:rPr>
                <w:rStyle w:val="CodeChar"/>
              </w:rPr>
              <w:t xml:space="preserve">src/metrics.py</w:t>
            </w:r>
          </w:p>
        </w:tc>
        <w:tc>
          <w:tcPr>
            <w:tcW w:w="3120" w:type="dxa"/>
          </w:tcPr>
          <w:p>
            <w:pPr/>
            <w:r>
              <w:t xml:space="preserve">The judge. Scores how close a curve is to a target (lower = better). Same rules for everyone, so all numbers are comparable</w:t>
            </w:r>
          </w:p>
        </w:tc>
        <w:tc>
          <w:tcPr>
            <w:tcW w:w="3120" w:type="dxa"/>
          </w:tcPr>
          <w:p>
            <w:pPr/>
            <w:r>
              <w:t xml:space="preserve">T2, T3</w:t>
            </w:r>
          </w:p>
        </w:tc>
      </w:tr>
      <w:tr>
        <w:tc>
          <w:tcPr>
            <w:tcW w:w="3120" w:type="dxa"/>
          </w:tcPr>
          <w:p>
            <w:pPr/>
            <w:r>
              <w:rPr>
                <w:rStyle w:val="CodeChar"/>
              </w:rPr>
              <w:t xml:space="preserve">tests/test_metrics.py</w:t>
            </w:r>
          </w:p>
        </w:tc>
        <w:tc>
          <w:tcPr>
            <w:tcW w:w="3120" w:type="dxa"/>
          </w:tcPr>
          <w:p>
            <w:pPr/>
            <w:r>
              <w:t xml:space="preserve">Checks the judge on made-up curves with known answers (a perfect match must score 0). Run </w:t>
            </w:r>
            <w:r>
              <w:rPr>
                <w:rStyle w:val="CodeChar"/>
              </w:rPr>
              <w:t xml:space="preserve">python -m pytest -q</w:t>
            </w:r>
            <w:r>
              <w:t xml:space="preserve"> after any change to </w:t>
            </w:r>
            <w:r>
              <w:rPr>
                <w:rStyle w:val="CodeChar"/>
              </w:rPr>
              <w:t xml:space="preserve">metrics.py</w:t>
            </w:r>
          </w:p>
        </w:tc>
        <w:tc>
          <w:tcPr>
            <w:tcW w:w="3120" w:type="dxa"/>
          </w:tcPr>
          <w:p>
            <w:pPr/>
            <w:r>
              <w:t xml:space="preserve">Anyone editing </w:t>
            </w:r>
            <w:r>
              <w:rPr>
                <w:rStyle w:val="CodeChar"/>
              </w:rPr>
              <w:t xml:space="preserve">metrics.py</w:t>
            </w:r>
          </w:p>
        </w:tc>
      </w:tr>
      <w:tr>
        <w:tc>
          <w:tcPr>
            <w:tcW w:w="3120" w:type="dxa"/>
          </w:tcPr>
          <w:p>
            <w:pPr/>
            <w:r>
              <w:rPr>
                <w:rStyle w:val="CodeChar"/>
              </w:rPr>
              <w:t xml:space="preserve">src/baseline.py</w:t>
            </w:r>
          </w:p>
        </w:tc>
        <w:tc>
          <w:tcPr>
            <w:tcW w:w="3120" w:type="dxa"/>
          </w:tcPr>
          <w:p>
            <w:pPr/>
            <w:r>
              <w:t xml:space="preserve">The first leaderboard. Scores the 100 existing simulated cases against the real field and ranks them. No ML</w:t>
            </w:r>
          </w:p>
        </w:tc>
        <w:tc>
          <w:tcPr>
            <w:tcW w:w="3120" w:type="dxa"/>
          </w:tcPr>
          <w:p>
            <w:pPr/>
            <w:r>
              <w:t xml:space="preserve">T3, T4</w:t>
            </w:r>
          </w:p>
        </w:tc>
      </w:tr>
      <w:tr>
        <w:tc>
          <w:tcPr>
            <w:tcW w:w="3120" w:type="dxa"/>
          </w:tcPr>
          <w:p>
            <w:pPr/>
            <w:r>
              <w:rPr>
                <w:rStyle w:val="CodeChar"/>
              </w:rPr>
              <w:t xml:space="preserve">src/sensitivity.py</w:t>
            </w:r>
          </w:p>
        </w:tc>
        <w:tc>
          <w:tcPr>
            <w:tcW w:w="3120" w:type="dxa"/>
          </w:tcPr>
          <w:p>
            <w:pPr/>
            <w:r>
              <w:t xml:space="preserve">Answers "which parameter affects production most?" with correlations and charts</w:t>
            </w:r>
          </w:p>
        </w:tc>
        <w:tc>
          <w:tcPr>
            <w:tcW w:w="3120" w:type="dxa"/>
          </w:tcPr>
          <w:p>
            <w:pPr/>
            <w:r>
              <w:t xml:space="preserve">T2, T3, T4</w:t>
            </w:r>
          </w:p>
        </w:tc>
      </w:tr>
      <w:tr>
        <w:tc>
          <w:tcPr>
            <w:tcW w:w="3120" w:type="dxa"/>
          </w:tcPr>
          <w:p>
            <w:pPr/>
            <w:r>
              <w:rPr>
                <w:rStyle w:val="CodeChar"/>
              </w:rPr>
              <w:t xml:space="preserve">outputs/</w:t>
            </w:r>
          </w:p>
        </w:tc>
        <w:tc>
          <w:tcPr>
            <w:tcW w:w="3120" w:type="dxa"/>
          </w:tcPr>
          <w:p>
            <w:pPr/>
            <w:r>
              <w:t xml:space="preserve">Result tables and charts (committed, so you get them on pull)</w:t>
            </w:r>
          </w:p>
        </w:tc>
        <w:tc>
          <w:tcPr>
            <w:tcW w:w="3120" w:type="dxa"/>
          </w:tcPr>
          <w:p>
            <w:pPr/>
            <w:r>
              <w:t xml:space="preserve">T4 for slides</w:t>
            </w:r>
          </w:p>
        </w:tc>
      </w:tr>
    </w:tbl>
    <w:p>
      <w:pPr/>
      <w:r>
        <w:t xml:space="preserve">The data files that </w:t>
      </w:r>
      <w:r>
        <w:rPr>
          <w:rStyle w:val="CodeChar"/>
        </w:rPr>
        <w:t xml:space="preserve">load_data</w:t>
      </w:r>
      <w:r>
        <w:t xml:space="preserve"> produces in </w:t>
      </w:r>
      <w:r>
        <w:rPr>
          <w:rStyle w:val="CodeChar"/>
        </w:rPr>
        <w:t xml:space="preserve">data/processed/</w:t>
      </w:r>
      <w:r>
        <w:t xml:space="preserve"> (never committed):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What is inside</w:t>
            </w:r>
          </w:p>
        </w:tc>
        <w:tc>
          <w:tcPr>
            <w:tcW w:w="3120" w:type="dxa"/>
            <w:shd w:val="clear" w:color="auto" w:fill="F2F2F2"/>
          </w:tcPr>
          <w:p>
            <w:pPr/>
            <w:r>
              <w:t xml:space="preserve">Main use</w:t>
            </w:r>
          </w:p>
        </w:tc>
      </w:tr>
      <w:tr>
        <w:tc>
          <w:tcPr>
            <w:tcW w:w="3120" w:type="dxa"/>
          </w:tcPr>
          <w:p>
            <w:pPr/>
            <w:r>
              <w:rPr>
                <w:rStyle w:val="CodeChar"/>
              </w:rPr>
              <w:t xml:space="preserve">params.parquet</w:t>
            </w:r>
          </w:p>
        </w:tc>
        <w:tc>
          <w:tcPr>
            <w:tcW w:w="3120" w:type="dxa"/>
          </w:tcPr>
          <w:p>
            <w:pPr/>
            <w:r>
              <w:t xml:space="preserve">100 cases × the 4 parameters, plus case number and split</w:t>
            </w:r>
          </w:p>
        </w:tc>
        <w:tc>
          <w:tcPr>
            <w:tcW w:w="3120" w:type="dxa"/>
          </w:tcPr>
          <w:p>
            <w:pPr/>
            <w:r>
              <w:t xml:space="preserve">X (inputs)</w:t>
            </w:r>
          </w:p>
        </w:tc>
      </w:tr>
      <w:tr>
        <w:tc>
          <w:tcPr>
            <w:tcW w:w="3120" w:type="dxa"/>
          </w:tcPr>
          <w:p>
            <w:pPr/>
            <w:r>
              <w:rPr>
                <w:rStyle w:val="CodeChar"/>
              </w:rPr>
              <w:t xml:space="preserve">curves_long.parquet</w:t>
            </w:r>
          </w:p>
        </w:tc>
        <w:tc>
          <w:tcPr>
            <w:tcW w:w="3120" w:type="dxa"/>
          </w:tcPr>
          <w:p>
            <w:pPr/>
            <w:r>
              <w:t xml:space="preserve">100 cases × 41 dates: oil, gas, water, each as cumulative and rate</w:t>
            </w:r>
          </w:p>
        </w:tc>
        <w:tc>
          <w:tcPr>
            <w:tcW w:w="3120" w:type="dxa"/>
          </w:tcPr>
          <w:p>
            <w:pPr/>
            <w:r>
              <w:t xml:space="preserve">Plots, rate fitting (T3)</w:t>
            </w:r>
          </w:p>
        </w:tc>
      </w:tr>
      <w:tr>
        <w:tc>
          <w:tcPr>
            <w:tcW w:w="3120" w:type="dxa"/>
          </w:tcPr>
          <w:p>
            <w:pPr/>
            <w:r>
              <w:rPr>
                <w:rStyle w:val="CodeChar"/>
              </w:rPr>
              <w:t xml:space="preserve">history.parquet</w:t>
            </w:r>
          </w:p>
        </w:tc>
        <w:tc>
          <w:tcPr>
            <w:tcW w:w="3120" w:type="dxa"/>
          </w:tcPr>
          <w:p>
            <w:pPr/>
            <w:r>
              <w:t xml:space="preserve">The real field data on the same 41 dates</w:t>
            </w:r>
          </w:p>
        </w:tc>
        <w:tc>
          <w:tcPr>
            <w:tcW w:w="3120" w:type="dxa"/>
          </w:tcPr>
          <w:p>
            <w:pPr/>
            <w:r>
              <w:t xml:space="preserve">The answer key</w:t>
            </w:r>
          </w:p>
        </w:tc>
      </w:tr>
      <w:tr>
        <w:tc>
          <w:tcPr>
            <w:tcW w:w="3120" w:type="dxa"/>
          </w:tcPr>
          <w:p>
            <w:pPr/>
            <w:r>
              <w:rPr>
                <w:rStyle w:val="CodeChar"/>
              </w:rPr>
              <w:t xml:space="preserve">master_table.parquet</w:t>
            </w:r>
            <w:r>
              <w:t xml:space="preserve"> (+ </w:t>
            </w:r>
            <w:r>
              <w:rPr>
                <w:rStyle w:val="CodeChar"/>
              </w:rPr>
              <w:t xml:space="preserve">.csv</w:t>
            </w:r>
            <w:r>
              <w:t xml:space="preserve">)</w:t>
            </w:r>
          </w:p>
        </w:tc>
        <w:tc>
          <w:tcPr>
            <w:tcW w:w="3120" w:type="dxa"/>
          </w:tcPr>
          <w:p>
            <w:pPr/>
            <w:r>
              <w:t xml:space="preserve">100 rows: case, split, 4 parameters and 123 output columns</w:t>
            </w:r>
          </w:p>
        </w:tc>
        <w:tc>
          <w:tcPr>
            <w:tcW w:w="3120" w:type="dxa"/>
          </w:tcPr>
          <w:p>
            <w:pPr/>
            <w:r>
              <w:t xml:space="preserve">Training table (T2)</w:t>
            </w:r>
          </w:p>
        </w:tc>
      </w:tr>
    </w:tbl>
    <w:p>
      <w:pPr/>
      <w:r>
        <w:t xml:space="preserve">The 123 output columns are 3 curves (oil, gas, water cumulative) × 41 dates, named </w:t>
      </w:r>
      <w:r>
        <w:rPr>
          <w:rStyle w:val="CodeChar"/>
        </w:rPr>
        <w:t xml:space="preserve">oil_cum_t01</w:t>
      </w:r>
      <w:r>
        <w:t xml:space="preserve"> (Jan 1998) to </w:t>
      </w:r>
      <w:r>
        <w:rPr>
          <w:rStyle w:val="CodeChar"/>
        </w:rPr>
        <w:t xml:space="preserve">water_cum_t41</w:t>
      </w:r>
      <w:r>
        <w:t xml:space="preserve"> (Jan 2008).</w:t>
      </w:r>
    </w:p>
    <w:p>
      <w:pPr>
        <w:pStyle w:val="Heading2"/>
      </w:pPr>
      <w:r>
        <w:t xml:space="preserve">Data rules and details</w:t>
      </w:r>
    </w:p>
    <w:p>
      <w:pPr/>
      <w:r>
        <w:t xml:space="preserve">Five rules keep our results honest and comparable; breaking one makes the final numbers meaningless.</w:t>
      </w:r>
    </w:p>
    <w:p>
      <w:pPr>
        <w:pStyle w:val="ListParagraph"/>
        <w:numPr>
          <w:ilvl w:val="0"/>
          <w:numId w:val="3"/>
        </w:numPr>
      </w:pPr>
      <w:r>
        <w:rPr>
          <w:b/>
        </w:rPr>
        <w:t xml:space="preserve">Real history is never a training target.</w:t>
      </w:r>
      <w:r>
        <w:t xml:space="preserve"> The model learns from the 100 simulated cases only. The real field data (</w:t>
      </w:r>
      <w:r>
        <w:rPr>
          <w:rStyle w:val="CodeChar"/>
        </w:rPr>
        <w:t xml:space="preserve">RAMP_History</w:t>
      </w:r>
      <w:r>
        <w:t xml:space="preserve">) is only for comparing and choosing the best cases.</w:t>
      </w:r>
    </w:p>
    <w:p>
      <w:pPr>
        <w:pStyle w:val="ListParagraph"/>
        <w:numPr>
          <w:ilvl w:val="0"/>
          <w:numId w:val="3"/>
        </w:numPr>
      </w:pPr>
      <w:r>
        <w:rPr>
          <w:b/>
        </w:rPr>
        <w:t xml:space="preserve">Test cases (86–100) are used once.</w:t>
      </w:r>
      <w:r>
        <w:t xml:space="preserve"> Only for the final "our proxy is X% accurate" number. Never for tuning the model or for the optimiser.</w:t>
      </w:r>
    </w:p>
    <w:p>
      <w:pPr>
        <w:pStyle w:val="ListParagraph"/>
        <w:numPr>
          <w:ilvl w:val="0"/>
          <w:numId w:val="3"/>
        </w:numPr>
      </w:pPr>
      <w:r>
        <w:rPr>
          <w:b/>
        </w:rPr>
        <w:t xml:space="preserve">Inputs must come from the 4 parameters only.</w:t>
      </w:r>
      <w:r>
        <w:t xml:space="preserve"> When the optimiser tries a new parameter set, the 4 numbers are all it has. So a model input (feature) must be computable from those 4 alone.</w:t>
      </w:r>
    </w:p>
    <w:p>
      <w:pPr>
        <w:pStyle w:val="ListParagraph"/>
        <w:numPr>
          <w:ilvl w:val="0"/>
          <w:numId w:val="3"/>
        </w:numPr>
      </w:pPr>
      <w:r>
        <w:rPr>
          <w:b/>
        </w:rPr>
        <w:t xml:space="preserve">The optimiser stays inside the tested range</w:t>
      </w:r>
      <w:r>
        <w:t xml:space="preserve"> (table below). Outside it the proxy is guessing.</w:t>
      </w:r>
    </w:p>
    <w:p>
      <w:pPr>
        <w:pStyle w:val="ListParagraph"/>
        <w:numPr>
          <w:ilvl w:val="0"/>
          <w:numId w:val="3"/>
        </w:numPr>
      </w:pPr>
      <w:r>
        <w:rPr>
          <w:b/>
        </w:rPr>
        <w:t xml:space="preserve">The data is confidential.</w:t>
      </w:r>
      <w:r>
        <w:t xml:space="preserve"> Excel and parquet files are never committed (</w:t>
      </w:r>
      <w:r>
        <w:rPr>
          <w:rStyle w:val="CodeChar"/>
        </w:rPr>
        <w:t xml:space="preserve">data/</w:t>
      </w:r>
      <w:r>
        <w:t xml:space="preserve"> is blocked by </w:t>
      </w:r>
      <w:r>
        <w:rPr>
          <w:rStyle w:val="CodeChar"/>
        </w:rPr>
        <w:t xml:space="preserve">.gitignore</w:t>
      </w:r>
      <w:r>
        <w:t xml:space="preserve">). Clear notebook outputs before committing, since they can show data rows.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Parameter</w:t>
            </w:r>
          </w:p>
        </w:tc>
        <w:tc>
          <w:tcPr>
            <w:tcW w:w="2340" w:type="dxa"/>
            <w:shd w:val="clear" w:color="auto" w:fill="F2F2F2"/>
          </w:tcPr>
          <w:p>
            <w:pPr/>
            <w:r>
              <w:t xml:space="preserve">Min</w:t>
            </w:r>
          </w:p>
        </w:tc>
        <w:tc>
          <w:tcPr>
            <w:tcW w:w="2340" w:type="dxa"/>
            <w:shd w:val="clear" w:color="auto" w:fill="F2F2F2"/>
          </w:tcPr>
          <w:p>
            <w:pPr/>
            <w:r>
              <w:t xml:space="preserve">Max</w:t>
            </w:r>
          </w:p>
        </w:tc>
        <w:tc>
          <w:tcPr>
            <w:tcW w:w="2340" w:type="dxa"/>
            <w:shd w:val="clear" w:color="auto" w:fill="F2F2F2"/>
          </w:tcPr>
          <w:p>
            <w:pPr/>
            <w:r>
              <w:t xml:space="preserve">What it means</w:t>
            </w:r>
          </w:p>
        </w:tc>
      </w:tr>
      <w:tr>
        <w:tc>
          <w:tcPr>
            <w:tcW w:w="2340" w:type="dxa"/>
          </w:tcPr>
          <w:p>
            <w:pPr/>
            <w:r>
              <w:rPr>
                <w:rStyle w:val="CodeChar"/>
              </w:rPr>
              <w:t xml:space="preserve">fault_trans</w:t>
            </w:r>
          </w:p>
        </w:tc>
        <w:tc>
          <w:tcPr>
            <w:tcW w:w="2340" w:type="dxa"/>
          </w:tcPr>
          <w:p>
            <w:pPr/>
            <w:r>
              <w:t xml:space="preserve">0.050</w:t>
            </w:r>
          </w:p>
        </w:tc>
        <w:tc>
          <w:tcPr>
            <w:tcW w:w="2340" w:type="dxa"/>
          </w:tcPr>
          <w:p>
            <w:pPr/>
            <w:r>
              <w:t xml:space="preserve">0.150</w:t>
            </w:r>
          </w:p>
        </w:tc>
        <w:tc>
          <w:tcPr>
            <w:tcW w:w="2340" w:type="dxa"/>
          </w:tcPr>
          <w:p>
            <w:pPr/>
            <w:r>
              <w:t xml:space="preserve">How easily fluid crosses the fault</w:t>
            </w:r>
          </w:p>
        </w:tc>
      </w:tr>
      <w:tr>
        <w:tc>
          <w:tcPr>
            <w:tcW w:w="2340" w:type="dxa"/>
          </w:tcPr>
          <w:p>
            <w:pPr/>
            <w:r>
              <w:rPr>
                <w:rStyle w:val="CodeChar"/>
              </w:rPr>
              <w:t xml:space="preserve">poro_mult</w:t>
            </w:r>
          </w:p>
        </w:tc>
        <w:tc>
          <w:tcPr>
            <w:tcW w:w="2340" w:type="dxa"/>
          </w:tcPr>
          <w:p>
            <w:pPr/>
            <w:r>
              <w:t xml:space="preserve">0.80</w:t>
            </w:r>
          </w:p>
        </w:tc>
        <w:tc>
          <w:tcPr>
            <w:tcW w:w="2340" w:type="dxa"/>
          </w:tcPr>
          <w:p>
            <w:pPr/>
            <w:r>
              <w:t xml:space="preserve">1.49</w:t>
            </w:r>
          </w:p>
        </w:tc>
        <w:tc>
          <w:tcPr>
            <w:tcW w:w="2340" w:type="dxa"/>
          </w:tcPr>
          <w:p>
            <w:pPr/>
            <w:r>
              <w:t xml:space="preserve">Scales the pore space (how much fluid the rock holds)</w:t>
            </w:r>
          </w:p>
        </w:tc>
      </w:tr>
      <w:tr>
        <w:tc>
          <w:tcPr>
            <w:tcW w:w="2340" w:type="dxa"/>
          </w:tcPr>
          <w:p>
            <w:pPr/>
            <w:r>
              <w:rPr>
                <w:rStyle w:val="CodeChar"/>
              </w:rPr>
              <w:t xml:space="preserve">perm_mult</w:t>
            </w:r>
          </w:p>
        </w:tc>
        <w:tc>
          <w:tcPr>
            <w:tcW w:w="2340" w:type="dxa"/>
          </w:tcPr>
          <w:p>
            <w:pPr/>
            <w:r>
              <w:t xml:space="preserve">0.52</w:t>
            </w:r>
          </w:p>
        </w:tc>
        <w:tc>
          <w:tcPr>
            <w:tcW w:w="2340" w:type="dxa"/>
          </w:tcPr>
          <w:p>
            <w:pPr/>
            <w:r>
              <w:t xml:space="preserve">9.78</w:t>
            </w:r>
          </w:p>
        </w:tc>
        <w:tc>
          <w:tcPr>
            <w:tcW w:w="2340" w:type="dxa"/>
          </w:tcPr>
          <w:p>
            <w:pPr/>
            <w:r>
              <w:t xml:space="preserve">Scales how easily fluid flows through the rock (lower layers only)</w:t>
            </w:r>
          </w:p>
        </w:tc>
      </w:tr>
      <w:tr>
        <w:tc>
          <w:tcPr>
            <w:tcW w:w="2340" w:type="dxa"/>
          </w:tcPr>
          <w:p>
            <w:pPr/>
            <w:r>
              <w:rPr>
                <w:rStyle w:val="CodeChar"/>
              </w:rPr>
              <w:t xml:space="preserve">aquifer_pv</w:t>
            </w:r>
          </w:p>
        </w:tc>
        <w:tc>
          <w:tcPr>
            <w:tcW w:w="2340" w:type="dxa"/>
          </w:tcPr>
          <w:p>
            <w:pPr/>
            <w:r>
              <w:t xml:space="preserve">54</w:t>
            </w:r>
          </w:p>
        </w:tc>
        <w:tc>
          <w:tcPr>
            <w:tcW w:w="2340" w:type="dxa"/>
          </w:tcPr>
          <w:p>
            <w:pPr/>
            <w:r>
              <w:t xml:space="preserve">200</w:t>
            </w:r>
          </w:p>
        </w:tc>
        <w:tc>
          <w:tcPr>
            <w:tcW w:w="2340" w:type="dxa"/>
          </w:tcPr>
          <w:p>
            <w:pPr/>
            <w:r>
              <w:t xml:space="preserve">Size of the water body pushing on the reservoir</w:t>
            </w:r>
          </w:p>
        </w:tc>
      </w:tr>
    </w:tbl>
    <w:p>
      <w:pPr/>
      <w:r>
        <w:t xml:space="preserve">How the data was prepared:</w:t>
      </w:r>
    </w:p>
    <w:p>
      <w:pPr>
        <w:pStyle w:val="ListParagraph"/>
        <w:numPr>
          <w:ilvl w:val="0"/>
          <w:numId w:val="4"/>
        </w:numPr>
      </w:pPr>
      <w:r>
        <w:rPr>
          <w:b/>
        </w:rPr>
        <w:t xml:space="preserve">One row per case, on 41 dates.</w:t>
      </w:r>
      <w:r>
        <w:t xml:space="preserve"> The simulator saved values on its own irregular dates, so each case's column was mostly blank. We kept only the 41 quarterly dates where the real field was measured (1 Jan 1998 to 1 Jan 2008). Every case has an exact value on those dates, so nothing is estimated.</w:t>
      </w:r>
    </w:p>
    <w:p>
      <w:pPr>
        <w:pStyle w:val="ListParagraph"/>
        <w:numPr>
          <w:ilvl w:val="0"/>
          <w:numId w:val="4"/>
        </w:numPr>
      </w:pPr>
      <w:r>
        <w:rPr>
          <w:b/>
        </w:rPr>
        <w:t xml:space="preserve">Case split:</w:t>
      </w:r>
      <w:r>
        <w:t xml:space="preserve"> train = cases 1–70, validation = 71–85, test = 86–100 (fixed by the organisers).</w:t>
      </w:r>
    </w:p>
    <w:p>
      <w:pPr>
        <w:pStyle w:val="ListParagraph"/>
        <w:numPr>
          <w:ilvl w:val="0"/>
          <w:numId w:val="4"/>
        </w:numPr>
      </w:pPr>
      <w:r>
        <w:rPr>
          <w:b/>
        </w:rPr>
        <w:t xml:space="preserve">Rates are calculated from the cumulative totals.</w:t>
      </w:r>
      <w:r>
        <w:t xml:space="preserve"> We found the simulator and the real data report rates three months apart: the real rate on 1 Oct 1998 means "Oct–Dec", the simulator's means "Jul–Sep". So we compute every rate the same way: rate = (this quarter's total − last quarter's total) ÷ days in the quarter. </w:t>
      </w:r>
      <w:r>
        <w:rPr>
          <w:b/>
        </w:rPr>
        <w:t xml:space="preserve">Always use our </w:t>
      </w:r>
      <w:r>
        <w:rPr>
          <w:rStyle w:val="CodeChar"/>
          <w:b/>
        </w:rPr>
        <w:t xml:space="preserve">oil_rate</w:t>
      </w:r>
      <w:r>
        <w:rPr>
          <w:b/>
        </w:rPr>
        <w:t xml:space="preserve">, </w:t>
      </w:r>
      <w:r>
        <w:rPr>
          <w:rStyle w:val="CodeChar"/>
          <w:b/>
        </w:rPr>
        <w:t xml:space="preserve">gas_rate</w:t>
      </w:r>
      <w:r>
        <w:rPr>
          <w:b/>
        </w:rPr>
        <w:t xml:space="preserve">, </w:t>
      </w:r>
      <w:r>
        <w:rPr>
          <w:rStyle w:val="CodeChar"/>
          <w:b/>
        </w:rPr>
        <w:t xml:space="preserve">water_rate</w:t>
      </w:r>
      <w:r>
        <w:rPr>
          <w:b/>
        </w:rPr>
        <w:t xml:space="preserve"> columns, never the raw rate sheets.</w:t>
      </w:r>
      <w:r>
        <w:t xml:space="preserve"> The original real rates are kept as </w:t>
      </w:r>
      <w:r>
        <w:rPr>
          <w:rStyle w:val="CodeChar"/>
        </w:rPr>
        <w:t xml:space="preserve">*_reported</w:t>
      </w:r>
      <w:r>
        <w:t xml:space="preserve"> in </w:t>
      </w:r>
      <w:r>
        <w:rPr>
          <w:rStyle w:val="CodeChar"/>
        </w:rPr>
        <w:t xml:space="preserve">history.parquet</w:t>
      </w:r>
      <w:r>
        <w:t xml:space="preserve">.</w:t>
      </w:r>
    </w:p>
    <w:p>
      <w:pPr>
        <w:pStyle w:val="ListParagraph"/>
        <w:numPr>
          <w:ilvl w:val="0"/>
          <w:numId w:val="4"/>
        </w:numPr>
      </w:pPr>
      <w:r>
        <w:rPr>
          <w:b/>
        </w:rPr>
        <w:t xml:space="preserve">No data exists after Jan 2008</w:t>
      </w:r>
      <w:r>
        <w:t xml:space="preserve">, for any case or for the real field. The 2008–2028 forecast is a true prediction (T3).</w:t>
      </w:r>
    </w:p>
    <w:p>
      <w:pPr>
        <w:pStyle w:val="ListParagraph"/>
        <w:numPr>
          <w:ilvl w:val="0"/>
          <w:numId w:val="4"/>
        </w:numPr>
      </w:pPr>
      <w:r>
        <w:rPr>
          <w:b/>
        </w:rPr>
        <w:t xml:space="preserve">Grid files:</w:t>
      </w:r>
      <w:r>
        <w:t xml:space="preserve"> the value −999.25 means an empty cell (no rock) and is turned into a blank. About 42,500 of the 90,365 cells are real rock.</w:t>
      </w:r>
    </w:p>
    <w:p>
      <w:pPr>
        <w:pStyle w:val="Heading2"/>
      </w:pPr>
      <w:r>
        <w:t xml:space="preserve">How the score works</w:t>
      </w:r>
    </w:p>
    <w:p>
      <w:pPr/>
      <w:r>
        <w:t xml:space="preserve">One number says how close a curve is to its target: </w:t>
      </w:r>
      <w:r>
        <w:rPr>
          <w:b/>
        </w:rPr>
        <w:t xml:space="preserve">0 is a perfect match, and 0.01 means the curve is off by about 1% of the field's maximum on average.</w:t>
      </w:r>
    </w:p>
    <w:p>
      <w:pPr/>
      <w:r>
        <w:rPr>
          <w:rStyle w:val="CodeChar"/>
        </w:rPr>
        <w:t xml:space="preserve">metrics.py</w:t>
      </w:r>
      <w:r>
        <w:t xml:space="preserve"> computes it in four steps, the rules the team agreed on 10 Oct:</w:t>
      </w:r>
    </w:p>
    <w:p>
      <w:pPr>
        <w:pStyle w:val="ListParagraph"/>
        <w:numPr>
          <w:ilvl w:val="0"/>
          <w:numId w:val="5"/>
        </w:numPr>
      </w:pPr>
      <w:r>
        <w:rPr>
          <w:b/>
        </w:rPr>
        <w:t xml:space="preserve">Skip the first 3 quarters of 1998.</w:t>
      </w:r>
      <w:r>
        <w:t xml:space="preserve"> Nothing is produced yet, so every case is a perfect 0 there; counting them would flatter everyone. Scoring starts on 1 Oct 1998 (38 of the 41 dates).</w:t>
      </w:r>
    </w:p>
    <w:p>
      <w:pPr>
        <w:pStyle w:val="ListParagraph"/>
        <w:numPr>
          <w:ilvl w:val="0"/>
          <w:numId w:val="5"/>
        </w:numPr>
      </w:pPr>
      <w:r>
        <w:rPr>
          <w:b/>
        </w:rPr>
        <w:t xml:space="preserve">Measure the gap at each date</w:t>
      </w:r>
      <w:r>
        <w:t xml:space="preserve"> between the curve and the target, then take the typical gap (RMSE: square the gaps, average them, take the square root).</w:t>
      </w:r>
    </w:p>
    <w:p>
      <w:pPr>
        <w:pStyle w:val="ListParagraph"/>
        <w:numPr>
          <w:ilvl w:val="0"/>
          <w:numId w:val="5"/>
        </w:numPr>
      </w:pPr>
      <w:r>
        <w:rPr>
          <w:b/>
        </w:rPr>
        <w:t xml:space="preserve">Turn the gap into a share of the real field's maximum</w:t>
      </w:r>
      <w:r>
        <w:t xml:space="preserve"> (NRMSE). Oil reaches about 38 million barrels while gas and water reach 13–14 million, so without this step oil would dominate the score.</w:t>
      </w:r>
    </w:p>
    <w:p>
      <w:pPr>
        <w:pStyle w:val="ListParagraph"/>
        <w:numPr>
          <w:ilvl w:val="0"/>
          <w:numId w:val="5"/>
        </w:numPr>
      </w:pPr>
      <w:r>
        <w:rPr>
          <w:b/>
        </w:rPr>
        <w:t xml:space="preserve">Combine oil, gas and water</w:t>
      </w:r>
      <w:r>
        <w:t xml:space="preserve"> with ⅓ weight each into one score.</w:t>
      </w:r>
    </w:p>
    <w:p>
      <w:pPr>
        <w:pStyle w:val="Code"/>
      </w:pPr>
      <w:bookmarkStart w:id="1" w:name="bongo_lang_latex_1"/>
      <w:bookmarkEnd w:id="1"/>
      <w:r>
        <w:t xml:space="preserve">\text{score} = \tfrac{1}{3}\,\frac{\text{RMSE}_{oil}}{\max \text{oil}_{real}} + \tfrac{1}{3}\,\frac{\text{RMSE}_{gas}}{\max \text{gas}_{real}} + \tfrac{1}{3}\,\frac{\text{RMSE}_{water}}{\max \text{water}_{real}}</w:t>
      </w:r>
    </w:p>
    <w:p>
      <w:pPr/>
      <w:r>
        <w:t xml:space="preserve">Tiny example: if a curve is off by 10 at every date and the real maximum is 100, that stream's NRMSE is 10 ÷ 100 = 0.10. If all three streams are off the same way, the score is 0.10.</w:t>
      </w:r>
    </w:p>
    <w:p>
      <w:pPr/>
      <w:r>
        <w:t xml:space="preserve">The main score uses </w:t>
      </w:r>
      <w:r>
        <w:rPr>
          <w:b/>
        </w:rPr>
        <w:t xml:space="preserve">cumulative</w:t>
      </w:r>
      <w:r>
        <w:t xml:space="preserve"> curves (smooth, and what the final template asks for). Rates are scored as a second opinion: when both rankings agree, the ranking is trustworthy.</w:t>
      </w:r>
    </w:p>
    <w:p>
      <w:pPr/>
      <w:r>
        <w:t xml:space="preserve">The tool has two uses: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Compares</w:t>
            </w:r>
          </w:p>
        </w:tc>
        <w:tc>
          <w:tcPr>
            <w:tcW w:w="3120" w:type="dxa"/>
            <w:shd w:val="clear" w:color="auto" w:fill="F2F2F2"/>
          </w:tcPr>
          <w:p>
            <w:pPr/>
            <w:r>
              <w:t xml:space="preserve">Used by</w:t>
            </w:r>
          </w:p>
        </w:tc>
      </w:tr>
      <w:tr>
        <w:tc>
          <w:tcPr>
            <w:tcW w:w="3120" w:type="dxa"/>
          </w:tcPr>
          <w:p>
            <w:pPr/>
            <w:r>
              <w:rPr>
                <w:rStyle w:val="CodeChar"/>
              </w:rPr>
              <w:t xml:space="preserve">score_vs_history()</w:t>
            </w:r>
          </w:p>
        </w:tc>
        <w:tc>
          <w:tcPr>
            <w:tcW w:w="3120" w:type="dxa"/>
          </w:tcPr>
          <w:p>
            <w:pPr/>
            <w:r>
              <w:t xml:space="preserve">Any curves vs the </w:t>
            </w:r>
            <w:r>
              <w:rPr>
                <w:b/>
              </w:rPr>
              <w:t xml:space="preserve">real field</w:t>
            </w:r>
          </w:p>
        </w:tc>
        <w:tc>
          <w:tcPr>
            <w:tcW w:w="3120" w:type="dxa"/>
          </w:tcPr>
          <w:p>
            <w:pPr/>
            <w:r>
              <w:t xml:space="preserve">T1 baseline, T3 optimiser</w:t>
            </w:r>
          </w:p>
        </w:tc>
      </w:tr>
      <w:tr>
        <w:tc>
          <w:tcPr>
            <w:tcW w:w="3120" w:type="dxa"/>
          </w:tcPr>
          <w:p>
            <w:pPr/>
            <w:r>
              <w:rPr>
                <w:rStyle w:val="CodeChar"/>
              </w:rPr>
              <w:t xml:space="preserve">proxy_report()</w:t>
            </w:r>
          </w:p>
        </w:tc>
        <w:tc>
          <w:tcPr>
            <w:tcW w:w="3120" w:type="dxa"/>
          </w:tcPr>
          <w:p>
            <w:pPr/>
            <w:r>
              <w:t xml:space="preserve">Proxy predictions vs the </w:t>
            </w:r>
            <w:r>
              <w:rPr>
                <w:b/>
              </w:rPr>
              <w:t xml:space="preserve">simulator's own curves</w:t>
            </w:r>
            <w:r>
              <w:t xml:space="preserve"> (validation / test cases). Gives NRMSE, R² and the % error on the 2008 total</w:t>
            </w:r>
          </w:p>
        </w:tc>
        <w:tc>
          <w:tcPr>
            <w:tcW w:w="3120" w:type="dxa"/>
          </w:tcPr>
          <w:p>
            <w:pPr/>
            <w:r>
              <w:t xml:space="preserve">T2</w:t>
            </w:r>
          </w:p>
        </w:tc>
      </w:tr>
    </w:tbl>
    <w:p>
      <w:pPr/>
      <w:r>
        <w:t xml:space="preserve">Never write your own scoring code; import these so every number in the slides is comparable.</w:t>
      </w:r>
    </w:p>
    <w:p>
      <w:pPr>
        <w:pStyle w:val="Heading2"/>
      </w:pPr>
      <w:r>
        <w:t xml:space="preserve">Findings and what they mean for each track</w:t>
      </w:r>
    </w:p>
    <w:p>
      <w:pPr/>
      <w:r>
        <w:t xml:space="preserve">The history pins down porosity (multiplier about 1.36) but not the other three parameters, and no existing case gets the last two years right.</w:t>
      </w:r>
    </w:p>
    <w:p>
      <w:pPr/>
      <w:r>
        <w:rPr>
          <w:b/>
        </w:rPr>
        <w:t xml:space="preserve">Baseline top 10</w:t>
      </w:r>
      <w:r>
        <w:t xml:space="preserve"> (from </w:t>
      </w:r>
      <w:r>
        <w:rPr>
          <w:rStyle w:val="CodeChar"/>
        </w:rPr>
        <w:t xml:space="preserve">outputs/baseline_ranking.csv</w:t>
      </w:r>
      <w:r>
        <w:t xml:space="preserve">; score: lower = better):</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Rank</w:t>
            </w:r>
          </w:p>
        </w:tc>
        <w:tc>
          <w:tcPr>
            <w:tcW w:w="1170" w:type="dxa"/>
            <w:shd w:val="clear" w:color="auto" w:fill="F2F2F2"/>
          </w:tcPr>
          <w:p>
            <w:pPr/>
            <w:r>
              <w:t xml:space="preserve">Case</w:t>
            </w:r>
          </w:p>
        </w:tc>
        <w:tc>
          <w:tcPr>
            <w:tcW w:w="1170" w:type="dxa"/>
            <w:shd w:val="clear" w:color="auto" w:fill="F2F2F2"/>
          </w:tcPr>
          <w:p>
            <w:pPr/>
            <w:r>
              <w:t xml:space="preserve">Split</w:t>
            </w:r>
          </w:p>
        </w:tc>
        <w:tc>
          <w:tcPr>
            <w:tcW w:w="1170" w:type="dxa"/>
            <w:shd w:val="clear" w:color="auto" w:fill="F2F2F2"/>
          </w:tcPr>
          <w:p>
            <w:pPr/>
            <w:r>
              <w:t xml:space="preserve">Porosity</w:t>
            </w:r>
          </w:p>
        </w:tc>
        <w:tc>
          <w:tcPr>
            <w:tcW w:w="1170" w:type="dxa"/>
            <w:shd w:val="clear" w:color="auto" w:fill="F2F2F2"/>
          </w:tcPr>
          <w:p>
            <w:pPr/>
            <w:r>
              <w:t xml:space="preserve">Permeability</w:t>
            </w:r>
          </w:p>
        </w:tc>
        <w:tc>
          <w:tcPr>
            <w:tcW w:w="1170" w:type="dxa"/>
            <w:shd w:val="clear" w:color="auto" w:fill="F2F2F2"/>
          </w:tcPr>
          <w:p>
            <w:pPr/>
            <w:r>
              <w:t xml:space="preserve">Aquifer</w:t>
            </w:r>
          </w:p>
        </w:tc>
        <w:tc>
          <w:tcPr>
            <w:tcW w:w="1170" w:type="dxa"/>
            <w:shd w:val="clear" w:color="auto" w:fill="F2F2F2"/>
          </w:tcPr>
          <w:p>
            <w:pPr/>
            <w:r>
              <w:t xml:space="preserve">Fault</w:t>
            </w:r>
          </w:p>
        </w:tc>
        <w:tc>
          <w:tcPr>
            <w:tcW w:w="1170" w:type="dxa"/>
            <w:shd w:val="clear" w:color="auto" w:fill="F2F2F2"/>
          </w:tcPr>
          <w:p>
            <w:pPr/>
            <w:r>
              <w:t xml:space="preserve">Score</w:t>
            </w:r>
          </w:p>
        </w:tc>
      </w:tr>
      <w:tr>
        <w:tc>
          <w:tcPr>
            <w:tcW w:w="1170" w:type="dxa"/>
          </w:tcPr>
          <w:p>
            <w:pPr/>
            <w:r>
              <w:t xml:space="preserve">1</w:t>
            </w:r>
          </w:p>
        </w:tc>
        <w:tc>
          <w:tcPr>
            <w:tcW w:w="1170" w:type="dxa"/>
          </w:tcPr>
          <w:p>
            <w:pPr/>
            <w:r>
              <w:t xml:space="preserve">6</w:t>
            </w:r>
          </w:p>
        </w:tc>
        <w:tc>
          <w:tcPr>
            <w:tcW w:w="1170" w:type="dxa"/>
          </w:tcPr>
          <w:p>
            <w:pPr/>
            <w:r>
              <w:t xml:space="preserve">train</w:t>
            </w:r>
          </w:p>
        </w:tc>
        <w:tc>
          <w:tcPr>
            <w:tcW w:w="1170" w:type="dxa"/>
          </w:tcPr>
          <w:p>
            <w:pPr/>
            <w:r>
              <w:t xml:space="preserve">1.358</w:t>
            </w:r>
          </w:p>
        </w:tc>
        <w:tc>
          <w:tcPr>
            <w:tcW w:w="1170" w:type="dxa"/>
          </w:tcPr>
          <w:p>
            <w:pPr/>
            <w:r>
              <w:t xml:space="preserve">2.47</w:t>
            </w:r>
          </w:p>
        </w:tc>
        <w:tc>
          <w:tcPr>
            <w:tcW w:w="1170" w:type="dxa"/>
          </w:tcPr>
          <w:p>
            <w:pPr/>
            <w:r>
              <w:t xml:space="preserve">120</w:t>
            </w:r>
          </w:p>
        </w:tc>
        <w:tc>
          <w:tcPr>
            <w:tcW w:w="1170" w:type="dxa"/>
          </w:tcPr>
          <w:p>
            <w:pPr/>
            <w:r>
              <w:t xml:space="preserve">0.058</w:t>
            </w:r>
          </w:p>
        </w:tc>
        <w:tc>
          <w:tcPr>
            <w:tcW w:w="1170" w:type="dxa"/>
          </w:tcPr>
          <w:p>
            <w:pPr/>
            <w:r>
              <w:t xml:space="preserve">0.0036</w:t>
            </w:r>
          </w:p>
        </w:tc>
      </w:tr>
      <w:tr>
        <w:tc>
          <w:tcPr>
            <w:tcW w:w="1170" w:type="dxa"/>
          </w:tcPr>
          <w:p>
            <w:pPr/>
            <w:r>
              <w:t xml:space="preserve">2</w:t>
            </w:r>
          </w:p>
        </w:tc>
        <w:tc>
          <w:tcPr>
            <w:tcW w:w="1170" w:type="dxa"/>
          </w:tcPr>
          <w:p>
            <w:pPr/>
            <w:r>
              <w:t xml:space="preserve">97</w:t>
            </w:r>
          </w:p>
        </w:tc>
        <w:tc>
          <w:tcPr>
            <w:tcW w:w="1170" w:type="dxa"/>
          </w:tcPr>
          <w:p>
            <w:pPr/>
            <w:r>
              <w:t xml:space="preserve">test</w:t>
            </w:r>
          </w:p>
        </w:tc>
        <w:tc>
          <w:tcPr>
            <w:tcW w:w="1170" w:type="dxa"/>
          </w:tcPr>
          <w:p>
            <w:pPr/>
            <w:r>
              <w:t xml:space="preserve">1.346</w:t>
            </w:r>
          </w:p>
        </w:tc>
        <w:tc>
          <w:tcPr>
            <w:tcW w:w="1170" w:type="dxa"/>
          </w:tcPr>
          <w:p>
            <w:pPr/>
            <w:r>
              <w:t xml:space="preserve">5.41</w:t>
            </w:r>
          </w:p>
        </w:tc>
        <w:tc>
          <w:tcPr>
            <w:tcW w:w="1170" w:type="dxa"/>
          </w:tcPr>
          <w:p>
            <w:pPr/>
            <w:r>
              <w:t xml:space="preserve">154</w:t>
            </w:r>
          </w:p>
        </w:tc>
        <w:tc>
          <w:tcPr>
            <w:tcW w:w="1170" w:type="dxa"/>
          </w:tcPr>
          <w:p>
            <w:pPr/>
            <w:r>
              <w:t xml:space="preserve">0.052</w:t>
            </w:r>
          </w:p>
        </w:tc>
        <w:tc>
          <w:tcPr>
            <w:tcW w:w="1170" w:type="dxa"/>
          </w:tcPr>
          <w:p>
            <w:pPr/>
            <w:r>
              <w:t xml:space="preserve">0.0038</w:t>
            </w:r>
          </w:p>
        </w:tc>
      </w:tr>
      <w:tr>
        <w:tc>
          <w:tcPr>
            <w:tcW w:w="1170" w:type="dxa"/>
          </w:tcPr>
          <w:p>
            <w:pPr/>
            <w:r>
              <w:t xml:space="preserve">3</w:t>
            </w:r>
          </w:p>
        </w:tc>
        <w:tc>
          <w:tcPr>
            <w:tcW w:w="1170" w:type="dxa"/>
          </w:tcPr>
          <w:p>
            <w:pPr/>
            <w:r>
              <w:t xml:space="preserve">76</w:t>
            </w:r>
          </w:p>
        </w:tc>
        <w:tc>
          <w:tcPr>
            <w:tcW w:w="1170" w:type="dxa"/>
          </w:tcPr>
          <w:p>
            <w:pPr/>
            <w:r>
              <w:t xml:space="preserve">validation</w:t>
            </w:r>
          </w:p>
        </w:tc>
        <w:tc>
          <w:tcPr>
            <w:tcW w:w="1170" w:type="dxa"/>
          </w:tcPr>
          <w:p>
            <w:pPr/>
            <w:r>
              <w:t xml:space="preserve">1.383</w:t>
            </w:r>
          </w:p>
        </w:tc>
        <w:tc>
          <w:tcPr>
            <w:tcW w:w="1170" w:type="dxa"/>
          </w:tcPr>
          <w:p>
            <w:pPr/>
            <w:r>
              <w:t xml:space="preserve">1.64</w:t>
            </w:r>
          </w:p>
        </w:tc>
        <w:tc>
          <w:tcPr>
            <w:tcW w:w="1170" w:type="dxa"/>
          </w:tcPr>
          <w:p>
            <w:pPr/>
            <w:r>
              <w:t xml:space="preserve">182</w:t>
            </w:r>
          </w:p>
        </w:tc>
        <w:tc>
          <w:tcPr>
            <w:tcW w:w="1170" w:type="dxa"/>
          </w:tcPr>
          <w:p>
            <w:pPr/>
            <w:r>
              <w:t xml:space="preserve">0.108</w:t>
            </w:r>
          </w:p>
        </w:tc>
        <w:tc>
          <w:tcPr>
            <w:tcW w:w="1170" w:type="dxa"/>
          </w:tcPr>
          <w:p>
            <w:pPr/>
            <w:r>
              <w:t xml:space="preserve">0.0039</w:t>
            </w:r>
          </w:p>
        </w:tc>
      </w:tr>
      <w:tr>
        <w:tc>
          <w:tcPr>
            <w:tcW w:w="1170" w:type="dxa"/>
          </w:tcPr>
          <w:p>
            <w:pPr/>
            <w:r>
              <w:t xml:space="preserve">4</w:t>
            </w:r>
          </w:p>
        </w:tc>
        <w:tc>
          <w:tcPr>
            <w:tcW w:w="1170" w:type="dxa"/>
          </w:tcPr>
          <w:p>
            <w:pPr/>
            <w:r>
              <w:t xml:space="preserve">11</w:t>
            </w:r>
          </w:p>
        </w:tc>
        <w:tc>
          <w:tcPr>
            <w:tcW w:w="1170" w:type="dxa"/>
          </w:tcPr>
          <w:p>
            <w:pPr/>
            <w:r>
              <w:t xml:space="preserve">train</w:t>
            </w:r>
          </w:p>
        </w:tc>
        <w:tc>
          <w:tcPr>
            <w:tcW w:w="1170" w:type="dxa"/>
          </w:tcPr>
          <w:p>
            <w:pPr/>
            <w:r>
              <w:t xml:space="preserve">1.354</w:t>
            </w:r>
          </w:p>
        </w:tc>
        <w:tc>
          <w:tcPr>
            <w:tcW w:w="1170" w:type="dxa"/>
          </w:tcPr>
          <w:p>
            <w:pPr/>
            <w:r>
              <w:t xml:space="preserve">7.34</w:t>
            </w:r>
          </w:p>
        </w:tc>
        <w:tc>
          <w:tcPr>
            <w:tcW w:w="1170" w:type="dxa"/>
          </w:tcPr>
          <w:p>
            <w:pPr/>
            <w:r>
              <w:t xml:space="preserve">188</w:t>
            </w:r>
          </w:p>
        </w:tc>
        <w:tc>
          <w:tcPr>
            <w:tcW w:w="1170" w:type="dxa"/>
          </w:tcPr>
          <w:p>
            <w:pPr/>
            <w:r>
              <w:t xml:space="preserve">0.125</w:t>
            </w:r>
          </w:p>
        </w:tc>
        <w:tc>
          <w:tcPr>
            <w:tcW w:w="1170" w:type="dxa"/>
          </w:tcPr>
          <w:p>
            <w:pPr/>
            <w:r>
              <w:t xml:space="preserve">0.0039</w:t>
            </w:r>
          </w:p>
        </w:tc>
      </w:tr>
      <w:tr>
        <w:tc>
          <w:tcPr>
            <w:tcW w:w="1170" w:type="dxa"/>
          </w:tcPr>
          <w:p>
            <w:pPr/>
            <w:r>
              <w:t xml:space="preserve">5</w:t>
            </w:r>
          </w:p>
        </w:tc>
        <w:tc>
          <w:tcPr>
            <w:tcW w:w="1170" w:type="dxa"/>
          </w:tcPr>
          <w:p>
            <w:pPr/>
            <w:r>
              <w:t xml:space="preserve">40</w:t>
            </w:r>
          </w:p>
        </w:tc>
        <w:tc>
          <w:tcPr>
            <w:tcW w:w="1170" w:type="dxa"/>
          </w:tcPr>
          <w:p>
            <w:pPr/>
            <w:r>
              <w:t xml:space="preserve">train</w:t>
            </w:r>
          </w:p>
        </w:tc>
        <w:tc>
          <w:tcPr>
            <w:tcW w:w="1170" w:type="dxa"/>
          </w:tcPr>
          <w:p>
            <w:pPr/>
            <w:r>
              <w:t xml:space="preserve">1.354</w:t>
            </w:r>
          </w:p>
        </w:tc>
        <w:tc>
          <w:tcPr>
            <w:tcW w:w="1170" w:type="dxa"/>
          </w:tcPr>
          <w:p>
            <w:pPr/>
            <w:r>
              <w:t xml:space="preserve">4.96</w:t>
            </w:r>
          </w:p>
        </w:tc>
        <w:tc>
          <w:tcPr>
            <w:tcW w:w="1170" w:type="dxa"/>
          </w:tcPr>
          <w:p>
            <w:pPr/>
            <w:r>
              <w:t xml:space="preserve">133</w:t>
            </w:r>
          </w:p>
        </w:tc>
        <w:tc>
          <w:tcPr>
            <w:tcW w:w="1170" w:type="dxa"/>
          </w:tcPr>
          <w:p>
            <w:pPr/>
            <w:r>
              <w:t xml:space="preserve">0.144</w:t>
            </w:r>
          </w:p>
        </w:tc>
        <w:tc>
          <w:tcPr>
            <w:tcW w:w="1170" w:type="dxa"/>
          </w:tcPr>
          <w:p>
            <w:pPr/>
            <w:r>
              <w:t xml:space="preserve">0.0040</w:t>
            </w:r>
          </w:p>
        </w:tc>
      </w:tr>
      <w:tr>
        <w:tc>
          <w:tcPr>
            <w:tcW w:w="1170" w:type="dxa"/>
          </w:tcPr>
          <w:p>
            <w:pPr/>
            <w:r>
              <w:t xml:space="preserve">6</w:t>
            </w:r>
          </w:p>
        </w:tc>
        <w:tc>
          <w:tcPr>
            <w:tcW w:w="1170" w:type="dxa"/>
          </w:tcPr>
          <w:p>
            <w:pPr/>
            <w:r>
              <w:t xml:space="preserve">73</w:t>
            </w:r>
          </w:p>
        </w:tc>
        <w:tc>
          <w:tcPr>
            <w:tcW w:w="1170" w:type="dxa"/>
          </w:tcPr>
          <w:p>
            <w:pPr/>
            <w:r>
              <w:t xml:space="preserve">validation</w:t>
            </w:r>
          </w:p>
        </w:tc>
        <w:tc>
          <w:tcPr>
            <w:tcW w:w="1170" w:type="dxa"/>
          </w:tcPr>
          <w:p>
            <w:pPr/>
            <w:r>
              <w:t xml:space="preserve">1.354</w:t>
            </w:r>
          </w:p>
        </w:tc>
        <w:tc>
          <w:tcPr>
            <w:tcW w:w="1170" w:type="dxa"/>
          </w:tcPr>
          <w:p>
            <w:pPr/>
            <w:r>
              <w:t xml:space="preserve">1.47</w:t>
            </w:r>
          </w:p>
        </w:tc>
        <w:tc>
          <w:tcPr>
            <w:tcW w:w="1170" w:type="dxa"/>
          </w:tcPr>
          <w:p>
            <w:pPr/>
            <w:r>
              <w:t xml:space="preserve">93</w:t>
            </w:r>
          </w:p>
        </w:tc>
        <w:tc>
          <w:tcPr>
            <w:tcW w:w="1170" w:type="dxa"/>
          </w:tcPr>
          <w:p>
            <w:pPr/>
            <w:r>
              <w:t xml:space="preserve">0.083</w:t>
            </w:r>
          </w:p>
        </w:tc>
        <w:tc>
          <w:tcPr>
            <w:tcW w:w="1170" w:type="dxa"/>
          </w:tcPr>
          <w:p>
            <w:pPr/>
            <w:r>
              <w:t xml:space="preserve">0.0041</w:t>
            </w:r>
          </w:p>
        </w:tc>
      </w:tr>
      <w:tr>
        <w:tc>
          <w:tcPr>
            <w:tcW w:w="1170" w:type="dxa"/>
          </w:tcPr>
          <w:p>
            <w:pPr/>
            <w:r>
              <w:t xml:space="preserve">7</w:t>
            </w:r>
          </w:p>
        </w:tc>
        <w:tc>
          <w:tcPr>
            <w:tcW w:w="1170" w:type="dxa"/>
          </w:tcPr>
          <w:p>
            <w:pPr/>
            <w:r>
              <w:t xml:space="preserve">50</w:t>
            </w:r>
          </w:p>
        </w:tc>
        <w:tc>
          <w:tcPr>
            <w:tcW w:w="1170" w:type="dxa"/>
          </w:tcPr>
          <w:p>
            <w:pPr/>
            <w:r>
              <w:t xml:space="preserve">train</w:t>
            </w:r>
          </w:p>
        </w:tc>
        <w:tc>
          <w:tcPr>
            <w:tcW w:w="1170" w:type="dxa"/>
          </w:tcPr>
          <w:p>
            <w:pPr/>
            <w:r>
              <w:t xml:space="preserve">1.357</w:t>
            </w:r>
          </w:p>
        </w:tc>
        <w:tc>
          <w:tcPr>
            <w:tcW w:w="1170" w:type="dxa"/>
          </w:tcPr>
          <w:p>
            <w:pPr/>
            <w:r>
              <w:t xml:space="preserve">7.46</w:t>
            </w:r>
          </w:p>
        </w:tc>
        <w:tc>
          <w:tcPr>
            <w:tcW w:w="1170" w:type="dxa"/>
          </w:tcPr>
          <w:p>
            <w:pPr/>
            <w:r>
              <w:t xml:space="preserve">171</w:t>
            </w:r>
          </w:p>
        </w:tc>
        <w:tc>
          <w:tcPr>
            <w:tcW w:w="1170" w:type="dxa"/>
          </w:tcPr>
          <w:p>
            <w:pPr/>
            <w:r>
              <w:t xml:space="preserve">0.100</w:t>
            </w:r>
          </w:p>
        </w:tc>
        <w:tc>
          <w:tcPr>
            <w:tcW w:w="1170" w:type="dxa"/>
          </w:tcPr>
          <w:p>
            <w:pPr/>
            <w:r>
              <w:t xml:space="preserve">0.0045</w:t>
            </w:r>
          </w:p>
        </w:tc>
      </w:tr>
      <w:tr>
        <w:tc>
          <w:tcPr>
            <w:tcW w:w="1170" w:type="dxa"/>
          </w:tcPr>
          <w:p>
            <w:pPr/>
            <w:r>
              <w:t xml:space="preserve">8</w:t>
            </w:r>
          </w:p>
        </w:tc>
        <w:tc>
          <w:tcPr>
            <w:tcW w:w="1170" w:type="dxa"/>
          </w:tcPr>
          <w:p>
            <w:pPr/>
            <w:r>
              <w:t xml:space="preserve">20</w:t>
            </w:r>
          </w:p>
        </w:tc>
        <w:tc>
          <w:tcPr>
            <w:tcW w:w="1170" w:type="dxa"/>
          </w:tcPr>
          <w:p>
            <w:pPr/>
            <w:r>
              <w:t xml:space="preserve">train</w:t>
            </w:r>
          </w:p>
        </w:tc>
        <w:tc>
          <w:tcPr>
            <w:tcW w:w="1170" w:type="dxa"/>
          </w:tcPr>
          <w:p>
            <w:pPr/>
            <w:r>
              <w:t xml:space="preserve">1.361</w:t>
            </w:r>
          </w:p>
        </w:tc>
        <w:tc>
          <w:tcPr>
            <w:tcW w:w="1170" w:type="dxa"/>
          </w:tcPr>
          <w:p>
            <w:pPr/>
            <w:r>
              <w:t xml:space="preserve">5.08</w:t>
            </w:r>
          </w:p>
        </w:tc>
        <w:tc>
          <w:tcPr>
            <w:tcW w:w="1170" w:type="dxa"/>
          </w:tcPr>
          <w:p>
            <w:pPr/>
            <w:r>
              <w:t xml:space="preserve">123</w:t>
            </w:r>
          </w:p>
        </w:tc>
        <w:tc>
          <w:tcPr>
            <w:tcW w:w="1170" w:type="dxa"/>
          </w:tcPr>
          <w:p>
            <w:pPr/>
            <w:r>
              <w:t xml:space="preserve">0.062</w:t>
            </w:r>
          </w:p>
        </w:tc>
        <w:tc>
          <w:tcPr>
            <w:tcW w:w="1170" w:type="dxa"/>
          </w:tcPr>
          <w:p>
            <w:pPr/>
            <w:r>
              <w:t xml:space="preserve">0.0050</w:t>
            </w:r>
          </w:p>
        </w:tc>
      </w:tr>
      <w:tr>
        <w:tc>
          <w:tcPr>
            <w:tcW w:w="1170" w:type="dxa"/>
          </w:tcPr>
          <w:p>
            <w:pPr/>
            <w:r>
              <w:t xml:space="preserve">9</w:t>
            </w:r>
          </w:p>
        </w:tc>
        <w:tc>
          <w:tcPr>
            <w:tcW w:w="1170" w:type="dxa"/>
          </w:tcPr>
          <w:p>
            <w:pPr/>
            <w:r>
              <w:t xml:space="preserve">26</w:t>
            </w:r>
          </w:p>
        </w:tc>
        <w:tc>
          <w:tcPr>
            <w:tcW w:w="1170" w:type="dxa"/>
          </w:tcPr>
          <w:p>
            <w:pPr/>
            <w:r>
              <w:t xml:space="preserve">train</w:t>
            </w:r>
          </w:p>
        </w:tc>
        <w:tc>
          <w:tcPr>
            <w:tcW w:w="1170" w:type="dxa"/>
          </w:tcPr>
          <w:p>
            <w:pPr/>
            <w:r>
              <w:t xml:space="preserve">1.346</w:t>
            </w:r>
          </w:p>
        </w:tc>
        <w:tc>
          <w:tcPr>
            <w:tcW w:w="1170" w:type="dxa"/>
          </w:tcPr>
          <w:p>
            <w:pPr/>
            <w:r>
              <w:t xml:space="preserve">1.94</w:t>
            </w:r>
          </w:p>
        </w:tc>
        <w:tc>
          <w:tcPr>
            <w:tcW w:w="1170" w:type="dxa"/>
          </w:tcPr>
          <w:p>
            <w:pPr/>
            <w:r>
              <w:t xml:space="preserve">54</w:t>
            </w:r>
          </w:p>
        </w:tc>
        <w:tc>
          <w:tcPr>
            <w:tcW w:w="1170" w:type="dxa"/>
          </w:tcPr>
          <w:p>
            <w:pPr/>
            <w:r>
              <w:t xml:space="preserve">0.098</w:t>
            </w:r>
          </w:p>
        </w:tc>
        <w:tc>
          <w:tcPr>
            <w:tcW w:w="1170" w:type="dxa"/>
          </w:tcPr>
          <w:p>
            <w:pPr/>
            <w:r>
              <w:t xml:space="preserve">0.0059</w:t>
            </w:r>
          </w:p>
        </w:tc>
      </w:tr>
      <w:tr>
        <w:tc>
          <w:tcPr>
            <w:tcW w:w="1170" w:type="dxa"/>
          </w:tcPr>
          <w:p>
            <w:pPr/>
            <w:r>
              <w:t xml:space="preserve">10</w:t>
            </w:r>
          </w:p>
        </w:tc>
        <w:tc>
          <w:tcPr>
            <w:tcW w:w="1170" w:type="dxa"/>
          </w:tcPr>
          <w:p>
            <w:pPr/>
            <w:r>
              <w:t xml:space="preserve">4</w:t>
            </w:r>
          </w:p>
        </w:tc>
        <w:tc>
          <w:tcPr>
            <w:tcW w:w="1170" w:type="dxa"/>
          </w:tcPr>
          <w:p>
            <w:pPr/>
            <w:r>
              <w:t xml:space="preserve">train</w:t>
            </w:r>
          </w:p>
        </w:tc>
        <w:tc>
          <w:tcPr>
            <w:tcW w:w="1170" w:type="dxa"/>
          </w:tcPr>
          <w:p>
            <w:pPr/>
            <w:r>
              <w:t xml:space="preserve">1.364</w:t>
            </w:r>
          </w:p>
        </w:tc>
        <w:tc>
          <w:tcPr>
            <w:tcW w:w="1170" w:type="dxa"/>
          </w:tcPr>
          <w:p>
            <w:pPr/>
            <w:r>
              <w:t xml:space="preserve">8.60</w:t>
            </w:r>
          </w:p>
        </w:tc>
        <w:tc>
          <w:tcPr>
            <w:tcW w:w="1170" w:type="dxa"/>
          </w:tcPr>
          <w:p>
            <w:pPr/>
            <w:r>
              <w:t xml:space="preserve">158</w:t>
            </w:r>
          </w:p>
        </w:tc>
        <w:tc>
          <w:tcPr>
            <w:tcW w:w="1170" w:type="dxa"/>
          </w:tcPr>
          <w:p>
            <w:pPr/>
            <w:r>
              <w:t xml:space="preserve">0.146</w:t>
            </w:r>
          </w:p>
        </w:tc>
        <w:tc>
          <w:tcPr>
            <w:tcW w:w="1170" w:type="dxa"/>
          </w:tcPr>
          <w:p>
            <w:pPr/>
            <w:r>
              <w:t xml:space="preserve">0.0066</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What it means</w:t>
            </w:r>
          </w:p>
        </w:tc>
        <w:tc>
          <w:tcPr>
            <w:tcW w:w="3120" w:type="dxa"/>
            <w:shd w:val="clear" w:color="auto" w:fill="F2F2F2"/>
          </w:tcPr>
          <w:p>
            <w:pPr/>
            <w:r>
              <w:t xml:space="preserve">For</w:t>
            </w:r>
          </w:p>
        </w:tc>
      </w:tr>
      <w:tr>
        <w:tc>
          <w:tcPr>
            <w:tcW w:w="3120" w:type="dxa"/>
          </w:tcPr>
          <w:p>
            <w:pPr/>
            <w:r>
              <w:t xml:space="preserve">The best existing case (Case 6) scores 0.0036: its curves are off by about 0.4% of the field maximum</w:t>
            </w:r>
          </w:p>
        </w:tc>
        <w:tc>
          <w:tcPr>
            <w:tcW w:w="3120" w:type="dxa"/>
          </w:tcPr>
          <w:p>
            <w:pPr/>
            <w:r>
              <w:t xml:space="preserve">This is </w:t>
            </w:r>
            <w:r>
              <w:rPr>
                <w:b/>
              </w:rPr>
              <w:t xml:space="preserve">RMSE_baseline, the number to beat</w:t>
            </w:r>
            <w:r>
              <w:t xml:space="preserve">. Headline later: "ML improved the match by X%"</w:t>
            </w:r>
          </w:p>
        </w:tc>
        <w:tc>
          <w:tcPr>
            <w:tcW w:w="3120" w:type="dxa"/>
          </w:tcPr>
          <w:p>
            <w:pPr/>
            <w:r>
              <w:t xml:space="preserve">T3, T4</w:t>
            </w:r>
          </w:p>
        </w:tc>
      </w:tr>
      <w:tr>
        <w:tc>
          <w:tcPr>
            <w:tcW w:w="3120" w:type="dxa"/>
          </w:tcPr>
          <w:p>
            <w:pPr/>
            <w:r>
              <w:t xml:space="preserve">Water is the hardest stream: its error is 3–4 times larger than oil and gas in every top case</w:t>
            </w:r>
          </w:p>
        </w:tc>
        <w:tc>
          <w:tcPr>
            <w:tcW w:w="3120" w:type="dxa"/>
          </w:tcPr>
          <w:p>
            <w:pPr/>
            <w:r>
              <w:t xml:space="preserve">Most room to improve is in water</w:t>
            </w:r>
          </w:p>
        </w:tc>
        <w:tc>
          <w:tcPr>
            <w:tcW w:w="3120" w:type="dxa"/>
          </w:tcPr>
          <w:p>
            <w:pPr/>
            <w:r>
              <w:t xml:space="preserve">T3</w:t>
            </w:r>
          </w:p>
        </w:tc>
      </w:tr>
      <w:tr>
        <w:tc>
          <w:tcPr>
            <w:tcW w:w="3120" w:type="dxa"/>
          </w:tcPr>
          <w:p>
            <w:pPr/>
            <w:r>
              <w:t xml:space="preserve">Porosity sits at 1.35–1.38 in all top 10 cases, and drives every key output (correlation 0.93–1.00)</w:t>
            </w:r>
          </w:p>
        </w:tc>
        <w:tc>
          <w:tcPr>
            <w:tcW w:w="3120" w:type="dxa"/>
          </w:tcPr>
          <w:p>
            <w:pPr/>
            <w:r>
              <w:t xml:space="preserve">More pore space = more oil, later water arrival, longer plateau. The history decides porosity</w:t>
            </w:r>
          </w:p>
        </w:tc>
        <w:tc>
          <w:tcPr>
            <w:tcW w:w="3120" w:type="dxa"/>
          </w:tcPr>
          <w:p>
            <w:pPr/>
            <w:r>
              <w:t xml:space="preserve">T2, T3</w:t>
            </w:r>
          </w:p>
        </w:tc>
      </w:tr>
      <w:tr>
        <w:tc>
          <w:tcPr>
            <w:tcW w:w="3120" w:type="dxa"/>
          </w:tcPr>
          <w:p>
            <w:pPr/>
            <w:r>
              <w:t xml:space="preserve">Permeability (1.5–8.6), aquifer (54–188) and fault (0.05–0.15) vary widely in the top 10; correlation with outputs only ±0.15</w:t>
            </w:r>
          </w:p>
        </w:tc>
        <w:tc>
          <w:tcPr>
            <w:tcW w:w="3120" w:type="dxa"/>
          </w:tcPr>
          <w:p>
            <w:pPr/>
            <w:r>
              <w:t xml:space="preserve">The past cannot tell their values (non-uniqueness). Different reservoirs fit equally well, so </w:t>
            </w:r>
            <w:r>
              <w:rPr>
                <w:b/>
              </w:rPr>
              <w:t xml:space="preserve">forecasts after 2008 will spread out</w:t>
            </w:r>
            <w:r>
              <w:t xml:space="preserve">: that spread is our P10/P50/P90 range</w:t>
            </w:r>
          </w:p>
        </w:tc>
        <w:tc>
          <w:tcPr>
            <w:tcW w:w="3120" w:type="dxa"/>
          </w:tcPr>
          <w:p>
            <w:pPr/>
            <w:r>
              <w:t xml:space="preserve">T3, T4</w:t>
            </w:r>
          </w:p>
        </w:tc>
      </w:tr>
      <w:tr>
        <w:tc>
          <w:tcPr>
            <w:tcW w:w="3120" w:type="dxa"/>
          </w:tcPr>
          <w:p>
            <w:pPr/>
            <w:r>
              <w:t xml:space="preserve">All top 10 make the same mistake in 2007–08: too much oil and gas (up to +1.4%), too little water (up to −4.5%)</w:t>
            </w:r>
          </w:p>
        </w:tc>
        <w:tc>
          <w:tcPr>
            <w:tcW w:w="3120" w:type="dxa"/>
          </w:tcPr>
          <w:p>
            <w:pPr/>
            <w:r>
              <w:t xml:space="preserve">No existing case captures the field's late trend. Used as-is, they would give an </w:t>
            </w:r>
            <w:r>
              <w:rPr>
                <w:b/>
              </w:rPr>
              <w:t xml:space="preserve">optimistic</w:t>
            </w:r>
            <w:r>
              <w:t xml:space="preserve"> forecast (too much oil, too little water)</w:t>
            </w:r>
          </w:p>
        </w:tc>
        <w:tc>
          <w:tcPr>
            <w:tcW w:w="3120" w:type="dxa"/>
          </w:tcPr>
          <w:p>
            <w:pPr/>
            <w:r>
              <w:t xml:space="preserve">T3, T4</w:t>
            </w:r>
          </w:p>
        </w:tc>
      </w:tr>
      <w:tr>
        <w:tc>
          <w:tcPr>
            <w:tcW w:w="3120" w:type="dxa"/>
          </w:tcPr>
          <w:p>
            <w:pPr/>
            <w:r>
              <w:t xml:space="preserve">Rate-based and cumulative rankings agree on 8 of the top 10</w:t>
            </w:r>
          </w:p>
        </w:tc>
        <w:tc>
          <w:tcPr>
            <w:tcW w:w="3120" w:type="dxa"/>
          </w:tcPr>
          <w:p>
            <w:pPr/>
            <w:r>
              <w:t xml:space="preserve">The ranking is trustworthy</w:t>
            </w:r>
          </w:p>
        </w:tc>
        <w:tc>
          <w:tcPr>
            <w:tcW w:w="3120" w:type="dxa"/>
          </w:tcPr>
          <w:p>
            <w:pPr/>
            <w:r>
              <w:t xml:space="preserve">Everyone</w:t>
            </w:r>
          </w:p>
        </w:tc>
      </w:tr>
      <w:tr>
        <w:tc>
          <w:tcPr>
            <w:tcW w:w="3120" w:type="dxa"/>
          </w:tcPr>
          <w:p>
            <w:pPr/>
            <w:r>
              <w:t xml:space="preserve">Real field: water arrives 2.08 years after start; the oil plateau ends after 3.37 years</w:t>
            </w:r>
          </w:p>
        </w:tc>
        <w:tc>
          <w:tcPr>
            <w:tcW w:w="3120" w:type="dxa"/>
          </w:tcPr>
          <w:p>
            <w:pPr/>
            <w:r>
              <w:t xml:space="preserve">Useful checks for any matched or forecast curve</w:t>
            </w:r>
          </w:p>
        </w:tc>
        <w:tc>
          <w:tcPr>
            <w:tcW w:w="3120" w:type="dxa"/>
          </w:tcPr>
          <w:p>
            <w:pPr/>
            <w:r>
              <w:t xml:space="preserve">T3</w:t>
            </w:r>
          </w:p>
        </w:tc>
      </w:tr>
    </w:tbl>
    <w:p>
      <w:pPr/>
      <w:r>
        <w:t xml:space="preserve">Practical tips:</w:t>
      </w:r>
    </w:p>
    <w:p>
      <w:pPr>
        <w:pStyle w:val="ListParagraph"/>
        <w:numPr>
          <w:ilvl w:val="0"/>
          <w:numId w:val="6"/>
        </w:numPr>
      </w:pPr>
      <w:r>
        <w:rPr>
          <w:b/>
        </w:rPr>
        <w:t xml:space="preserve">T2 (proxy):</w:t>
      </w:r>
      <w:r>
        <w:t xml:space="preserve"> porosity will be learned easily; check that the model also captures the small effects of the other three. A Gaussian Process, or using log(perm_mult) as input, may help. Report accuracy with </w:t>
      </w:r>
      <w:r>
        <w:rPr>
          <w:rStyle w:val="CodeChar"/>
        </w:rPr>
        <w:t xml:space="preserve">proxy_report()</w:t>
      </w:r>
      <w:r>
        <w:t xml:space="preserve"> on validation, and on test once at the end.</w:t>
      </w:r>
    </w:p>
    <w:p>
      <w:pPr>
        <w:pStyle w:val="ListParagraph"/>
        <w:numPr>
          <w:ilvl w:val="0"/>
          <w:numId w:val="6"/>
        </w:numPr>
      </w:pPr>
      <w:r>
        <w:rPr>
          <w:b/>
        </w:rPr>
        <w:t xml:space="preserve">T3 (optimise + forecast):</w:t>
      </w:r>
      <w:r>
        <w:t xml:space="preserve"> expect the optimiser to agree on porosity near 1.36 and spread on the rest. Success = the error lines in </w:t>
      </w:r>
      <w:r>
        <w:rPr>
          <w:rStyle w:val="CodeChar"/>
        </w:rPr>
        <w:t xml:space="preserve">baseline_top10_closeup.png</w:t>
      </w:r>
      <w:r>
        <w:t xml:space="preserve"> hugging zero in 2006–08, especially water. Pick 10 </w:t>
      </w:r>
      <w:r>
        <w:rPr>
          <w:b/>
        </w:rPr>
        <w:t xml:space="preserve">different</w:t>
      </w:r>
      <w:r>
        <w:t xml:space="preserve"> parameter sets, not 10 copies of one.</w:t>
      </w:r>
    </w:p>
    <w:p>
      <w:pPr>
        <w:pStyle w:val="ListParagraph"/>
        <w:numPr>
          <w:ilvl w:val="0"/>
          <w:numId w:val="6"/>
        </w:numPr>
      </w:pPr>
      <w:r>
        <w:rPr>
          <w:b/>
        </w:rPr>
        <w:t xml:space="preserve">T4 (story):</w:t>
      </w:r>
      <w:r>
        <w:t xml:space="preserve"> good slide visuals are </w:t>
      </w:r>
      <w:r>
        <w:rPr>
          <w:rStyle w:val="CodeChar"/>
        </w:rPr>
        <w:t xml:space="preserve">baseline_top10.png</w:t>
      </w:r>
      <w:r>
        <w:t xml:space="preserve"> (fan vs real data), </w:t>
      </w:r>
      <w:r>
        <w:rPr>
          <w:rStyle w:val="CodeChar"/>
        </w:rPr>
        <w:t xml:space="preserve">baseline_top10_closeup.png</w:t>
      </w:r>
      <w:r>
        <w:t xml:space="preserve"> (the shared late error) and </w:t>
      </w:r>
      <w:r>
        <w:rPr>
          <w:rStyle w:val="CodeChar"/>
        </w:rPr>
        <w:t xml:space="preserve">sensitivity_tornado.png</w:t>
      </w:r>
      <w:r>
        <w:t xml:space="preserve"> (porosity dominates). Say "porosity dominates the 1998–2008 history", not "porosity is the only thing that matters": the others may matter more after 2008.</w:t>
      </w:r>
    </w:p>
    <w:p>
      <w:pPr>
        <w:pStyle w:val="ListParagraph"/>
        <w:numPr>
          <w:ilvl w:val="0"/>
          <w:numId w:val="6"/>
        </w:numPr>
      </w:pPr>
      <w:r>
        <w:rPr>
          <w:b/>
        </w:rPr>
        <w:t xml:space="preserve">Weights:</w:t>
      </w:r>
      <w:r>
        <w:t xml:space="preserve"> gas is almost exactly 0.363 × oil in this data, so equal weights count oil twice. Oil ½ + water ½ (gas reported, not weighted) is a reasonable alternative; it is one line in </w:t>
      </w:r>
      <w:r>
        <w:rPr>
          <w:rStyle w:val="CodeChar"/>
        </w:rPr>
        <w:t xml:space="preserve">config.py</w:t>
      </w:r>
      <w:r>
        <w:t xml:space="preserve">.</w:t>
      </w:r>
    </w:p>
    <w:p>
      <w:pPr>
        <w:pStyle w:val="Heading2"/>
      </w:pPr>
      <w:r>
        <w:t xml:space="preserve">Getting started and next steps</w:t>
      </w:r>
    </w:p>
    <w:p>
      <w:pPr/>
      <w:r>
        <w:t xml:space="preserve">Only one command is required on your laptop; the README in the repo has the full guide and a troubleshooting table.</w:t>
      </w:r>
    </w:p>
    <w:p>
      <w:pPr>
        <w:pStyle w:val="ListParagraph"/>
        <w:numPr>
          <w:ilvl w:val="0"/>
          <w:numId w:val="7"/>
        </w:numPr>
      </w:pPr>
      <w:r>
        <w:t xml:space="preserve">Python </w:t>
      </w:r>
      <w:r>
        <w:rPr>
          <w:b/>
        </w:rPr>
        <w:t xml:space="preserve">3.12</w:t>
      </w:r>
      <w:r>
        <w:t xml:space="preserve">, a </w:t>
      </w:r>
      <w:r>
        <w:rPr>
          <w:rStyle w:val="CodeChar"/>
        </w:rPr>
        <w:t xml:space="preserve">.venv</w:t>
      </w:r>
      <w:r>
        <w:t xml:space="preserve"> environment with </w:t>
      </w:r>
      <w:r>
        <w:rPr>
          <w:rStyle w:val="CodeChar"/>
        </w:rPr>
        <w:t xml:space="preserve">requirements.txt</w:t>
      </w:r>
      <w:r>
        <w:t xml:space="preserve"> installed (VS Code: </w:t>
      </w:r>
      <w:r>
        <w:rPr>
          <w:i/>
        </w:rPr>
        <w:t xml:space="preserve">Python: Create Environment</w:t>
      </w:r>
      <w:r>
        <w:t xml:space="preserve">).</w:t>
      </w:r>
    </w:p>
    <w:p>
      <w:pPr>
        <w:pStyle w:val="ListParagraph"/>
        <w:numPr>
          <w:ilvl w:val="0"/>
          <w:numId w:val="7"/>
        </w:numPr>
      </w:pPr>
      <w:r>
        <w:t xml:space="preserve">Excel files </w:t>
      </w:r>
      <w:r>
        <w:rPr>
          <w:rStyle w:val="CodeChar"/>
        </w:rPr>
        <w:t xml:space="preserve">01</w:t>
      </w:r>
      <w:r>
        <w:t xml:space="preserve"> and </w:t>
      </w:r>
      <w:r>
        <w:rPr>
          <w:rStyle w:val="CodeChar"/>
        </w:rPr>
        <w:t xml:space="preserve">02</w:t>
      </w:r>
      <w:r>
        <w:t xml:space="preserve"> in </w:t>
      </w:r>
      <w:r>
        <w:rPr>
          <w:rStyle w:val="CodeChar"/>
        </w:rPr>
        <w:t xml:space="preserve">data/raw/</w:t>
      </w:r>
      <w:r>
        <w:t xml:space="preserve"> (only the 2-digit prefix of the name matters).</w:t>
      </w:r>
    </w:p>
    <w:p>
      <w:pPr>
        <w:pStyle w:val="ListParagraph"/>
        <w:numPr>
          <w:ilvl w:val="0"/>
          <w:numId w:val="7"/>
        </w:numPr>
      </w:pPr>
      <w:r>
        <w:t xml:space="preserve">In the terminal, from the repo root: </w:t>
      </w:r>
      <w:r>
        <w:rPr>
          <w:rStyle w:val="CodeChar"/>
        </w:rPr>
        <w:t xml:space="preserve">python -m src.load_data</w:t>
      </w:r>
      <w:r>
        <w:t xml:space="preserve">. Expect </w:t>
      </w:r>
      <w:r>
        <w:rPr>
          <w:rStyle w:val="CodeChar"/>
        </w:rPr>
        <w:t xml:space="preserve">master_table (100, 129)</w:t>
      </w:r>
      <w:r>
        <w:t xml:space="preserve"> and no warnings.</w:t>
      </w:r>
    </w:p>
    <w:p>
      <w:pPr>
        <w:pStyle w:val="ListParagraph"/>
        <w:numPr>
          <w:ilvl w:val="0"/>
          <w:numId w:val="7"/>
        </w:numPr>
      </w:pPr>
      <w:r>
        <w:t xml:space="preserve">Optional, to re-create T1's results: </w:t>
      </w:r>
      <w:r>
        <w:rPr>
          <w:rStyle w:val="CodeChar"/>
        </w:rPr>
        <w:t xml:space="preserve">python -m pytest -q</w:t>
      </w:r>
      <w:r>
        <w:t xml:space="preserve"> (expect </w:t>
      </w:r>
      <w:r>
        <w:rPr>
          <w:rStyle w:val="CodeChar"/>
        </w:rPr>
        <w:t xml:space="preserve">6 passed</w:t>
      </w:r>
      <w:r>
        <w:t xml:space="preserve">), </w:t>
      </w:r>
      <w:r>
        <w:rPr>
          <w:rStyle w:val="CodeChar"/>
        </w:rPr>
        <w:t xml:space="preserve">python -m src.baseline</w:t>
      </w:r>
      <w:r>
        <w:t xml:space="preserve">, </w:t>
      </w:r>
      <w:r>
        <w:rPr>
          <w:rStyle w:val="CodeChar"/>
        </w:rPr>
        <w:t xml:space="preserve">python -m src.sensitivity</w:t>
      </w:r>
      <w:r>
        <w:t xml:space="preserve">.</w:t>
      </w:r>
    </w:p>
    <w:p>
      <w:pPr/>
      <w:r>
        <w:t xml:space="preserve">Loading the data in your own code:</w:t>
      </w:r>
    </w:p>
    <w:p>
      <w:pPr>
        <w:pStyle w:val="Code"/>
      </w:pPr>
      <w:bookmarkStart w:id="2" w:name="bongo_lang_python_2"/>
      <w:bookmarkEnd w:id="2"/>
      <w:r>
        <w:t xml:space="preserve">from src import config as C</w:t>
        <w:br/>
        <w:t xml:space="preserve">from src.load_data import read_master, read_history, y_columns</w:t>
        <w:br/>
        <w:t xml:space="preserve">from src.metrics import score_vs_history, proxy_report, split_y</w:t>
        <w:br/>
        <w:br/>
        <w:t xml:space="preserve">master = read_master()</w:t>
        <w:br/>
        <w:t xml:space="preserve">X = master[C.PARAM_COLS]              # 4 inputs</w:t>
        <w:br/>
        <w:t xml:space="preserve">y = master[y_columns()]               # 123 outputs</w:t>
        <w:br/>
        <w:t xml:space="preserve">train = master[master.split == "train"]</w:t>
      </w:r>
    </w:p>
    <w:p>
      <w:pPr/>
      <w:r>
        <w:t xml:space="preserve">Next steps by track: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Track</w:t>
            </w:r>
          </w:p>
        </w:tc>
        <w:tc>
          <w:tcPr>
            <w:tcW w:w="3120" w:type="dxa"/>
            <w:shd w:val="clear" w:color="auto" w:fill="F2F2F2"/>
          </w:tcPr>
          <w:p>
            <w:pPr/>
            <w:r>
              <w:t xml:space="preserve">Next step</w:t>
            </w:r>
          </w:p>
        </w:tc>
        <w:tc>
          <w:tcPr>
            <w:tcW w:w="3120" w:type="dxa"/>
            <w:shd w:val="clear" w:color="auto" w:fill="F2F2F2"/>
          </w:tcPr>
          <w:p>
            <w:pPr/>
            <w:r>
              <w:t xml:space="preserve">Uses from T1</w:t>
            </w:r>
          </w:p>
        </w:tc>
      </w:tr>
      <w:tr>
        <w:tc>
          <w:tcPr>
            <w:tcW w:w="3120" w:type="dxa"/>
          </w:tcPr>
          <w:p>
            <w:pPr/>
            <w:r>
              <w:t xml:space="preserve">T2 Proxy</w:t>
            </w:r>
          </w:p>
        </w:tc>
        <w:tc>
          <w:tcPr>
            <w:tcW w:w="3120" w:type="dxa"/>
          </w:tcPr>
          <w:p>
            <w:pPr/>
            <w:r>
              <w:t xml:space="preserve">Train on cases 1–70, tune with 5-fold cross-validation + validation (71–85), test once</w:t>
            </w:r>
          </w:p>
        </w:tc>
        <w:tc>
          <w:tcPr>
            <w:tcW w:w="3120" w:type="dxa"/>
          </w:tcPr>
          <w:p>
            <w:pPr/>
            <w:r>
              <w:rPr>
                <w:rStyle w:val="CodeChar"/>
              </w:rPr>
              <w:t xml:space="preserve">master_table</w:t>
            </w:r>
            <w:r>
              <w:t xml:space="preserve">, </w:t>
            </w:r>
            <w:r>
              <w:rPr>
                <w:rStyle w:val="CodeChar"/>
              </w:rPr>
              <w:t xml:space="preserve">proxy_report()</w:t>
            </w:r>
          </w:p>
        </w:tc>
      </w:tr>
      <w:tr>
        <w:tc>
          <w:tcPr>
            <w:tcW w:w="3120" w:type="dxa"/>
          </w:tcPr>
          <w:p>
            <w:pPr/>
            <w:r>
              <w:t xml:space="preserve">T3 History match</w:t>
            </w:r>
          </w:p>
        </w:tc>
        <w:tc>
          <w:tcPr>
            <w:tcW w:w="3120" w:type="dxa"/>
          </w:tcPr>
          <w:p>
            <w:pPr/>
            <w:r>
              <w:t xml:space="preserve">Search thousands of new parameter sets through the proxy; keep the 10 best and different ones; beat 0.0036</w:t>
            </w:r>
          </w:p>
        </w:tc>
        <w:tc>
          <w:tcPr>
            <w:tcW w:w="3120" w:type="dxa"/>
          </w:tcPr>
          <w:p>
            <w:pPr/>
            <w:r>
              <w:rPr>
                <w:rStyle w:val="CodeChar"/>
              </w:rPr>
              <w:t xml:space="preserve">score_vs_history()</w:t>
            </w:r>
            <w:r>
              <w:t xml:space="preserve">, parameter ranges</w:t>
            </w:r>
          </w:p>
        </w:tc>
      </w:tr>
      <w:tr>
        <w:tc>
          <w:tcPr>
            <w:tcW w:w="3120" w:type="dxa"/>
          </w:tcPr>
          <w:p>
            <w:pPr/>
            <w:r>
              <w:t xml:space="preserve">T3 Forecast</w:t>
            </w:r>
          </w:p>
        </w:tc>
        <w:tc>
          <w:tcPr>
            <w:tcW w:w="3120" w:type="dxa"/>
          </w:tcPr>
          <w:p>
            <w:pPr/>
            <w:r>
              <w:t xml:space="preserve">Fit decline curves to the late rates of the top 10; project to 2028; fill the template</w:t>
            </w:r>
          </w:p>
        </w:tc>
        <w:tc>
          <w:tcPr>
            <w:tcW w:w="3120" w:type="dxa"/>
          </w:tcPr>
          <w:p>
            <w:pPr/>
            <w:r>
              <w:rPr>
                <w:rStyle w:val="CodeChar"/>
              </w:rPr>
              <w:t xml:space="preserve">curves_long</w:t>
            </w:r>
            <w:r>
              <w:t xml:space="preserve"> rates, </w:t>
            </w:r>
            <w:r>
              <w:rPr>
                <w:rStyle w:val="CodeChar"/>
              </w:rPr>
              <w:t xml:space="preserve">history</w:t>
            </w:r>
          </w:p>
        </w:tc>
      </w:tr>
      <w:tr>
        <w:tc>
          <w:tcPr>
            <w:tcW w:w="3120" w:type="dxa"/>
          </w:tcPr>
          <w:p>
            <w:pPr/>
            <w:r>
              <w:t xml:space="preserve">T4 Story</w:t>
            </w:r>
          </w:p>
        </w:tc>
        <w:tc>
          <w:tcPr>
            <w:tcW w:w="3120" w:type="dxa"/>
          </w:tcPr>
          <w:p>
            <w:pPr/>
            <w:r>
              <w:t xml:space="preserve">Background slides, dashboard layout, T1 charts</w:t>
            </w:r>
          </w:p>
        </w:tc>
        <w:tc>
          <w:tcPr>
            <w:tcW w:w="3120" w:type="dxa"/>
          </w:tcPr>
          <w:p>
            <w:pPr/>
            <w:r>
              <w:rPr>
                <w:rStyle w:val="CodeChar"/>
              </w:rPr>
              <w:t xml:space="preserve">outputs/figures/</w:t>
            </w:r>
          </w:p>
        </w:tc>
      </w:tr>
    </w:tbl>
    <w:p>
      <w:pPr/>
      <w:r>
        <w:t xml:space="preserve">Open questions for the team:</w:t>
      </w:r>
    </w:p>
    <w:p>
      <w:pPr>
        <w:pStyle w:val="ListParagraph"/>
        <w:numPr>
          <w:ilvl w:val="0"/>
          <w:numId w:val="8"/>
        </w:numPr>
      </w:pPr>
      <w:r>
        <w:t xml:space="preserve">Keep equal weights (⅓ each), or switch to oil ½ + water ½?</w:t>
      </w:r>
    </w:p>
    <w:p>
      <w:pPr>
        <w:pStyle w:val="ListParagraph"/>
        <w:numPr>
          <w:ilvl w:val="0"/>
          <w:numId w:val="8"/>
        </w:numPr>
      </w:pPr>
      <w:r>
        <w:t xml:space="preserve">The proxy only covers 1998–2008 (no simulated data after). Agree early how T3 extends the top 10 to 2028 (decline curves are the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DWC2026 – T1 Hand-off Data, Scoring &amp; Baseline</dc:title>
  <dc:description>Claude Docs node/15ea0ce2-fe1c@8 docx-w6</dc:description>
  <cp:revision>8</cp:revision>
</cp:coreProperties>
</file>