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A45B5" w14:textId="77777777" w:rsidR="000237DD" w:rsidRPr="000237DD" w:rsidRDefault="000237DD" w:rsidP="000237DD">
      <w:pPr>
        <w:pStyle w:val="a3"/>
        <w:rPr>
          <w:rFonts w:ascii="Times New Roman" w:hAnsi="Times New Roman" w:cs="Times New Roman"/>
          <w:sz w:val="30"/>
          <w:szCs w:val="30"/>
        </w:rPr>
      </w:pPr>
      <w:r w:rsidRPr="000237DD">
        <w:rPr>
          <w:rFonts w:ascii="Times New Roman" w:eastAsia="宋体" w:hAnsi="Times New Roman" w:cs="Times New Roman"/>
          <w:b/>
          <w:sz w:val="30"/>
          <w:szCs w:val="30"/>
        </w:rPr>
        <w:t>Lab 2: Fabrication and Characterization of Perovskite Solar Cells</w:t>
      </w:r>
    </w:p>
    <w:p w14:paraId="78482EB1" w14:textId="5BE0B23F" w:rsidR="003F65C4" w:rsidRPr="000237DD" w:rsidRDefault="000237DD">
      <w:pPr>
        <w:rPr>
          <w:rFonts w:ascii="Times New Roman" w:hAnsi="Times New Roman" w:cs="Times New Roman"/>
          <w:b/>
          <w:bCs/>
        </w:rPr>
      </w:pPr>
      <w:r w:rsidRPr="000237DD">
        <w:rPr>
          <w:rFonts w:ascii="Times New Roman" w:hAnsi="Times New Roman" w:cs="Times New Roman"/>
          <w:b/>
          <w:bCs/>
        </w:rPr>
        <w:t xml:space="preserve">Name: He </w:t>
      </w:r>
      <w:proofErr w:type="spellStart"/>
      <w:r w:rsidRPr="000237DD">
        <w:rPr>
          <w:rFonts w:ascii="Times New Roman" w:hAnsi="Times New Roman" w:cs="Times New Roman"/>
          <w:b/>
          <w:bCs/>
        </w:rPr>
        <w:t>Yanning</w:t>
      </w:r>
      <w:proofErr w:type="spellEnd"/>
    </w:p>
    <w:p w14:paraId="1885F90D" w14:textId="706D00C7" w:rsidR="000237DD" w:rsidRDefault="000237DD">
      <w:pPr>
        <w:rPr>
          <w:rFonts w:ascii="Times New Roman" w:hAnsi="Times New Roman" w:cs="Times New Roman"/>
          <w:b/>
          <w:bCs/>
        </w:rPr>
      </w:pPr>
      <w:r w:rsidRPr="000237DD">
        <w:rPr>
          <w:rFonts w:ascii="Times New Roman" w:hAnsi="Times New Roman" w:cs="Times New Roman"/>
          <w:b/>
          <w:bCs/>
        </w:rPr>
        <w:t>Student ID: 12311512</w:t>
      </w:r>
    </w:p>
    <w:p w14:paraId="71D7B886" w14:textId="1EB4E537" w:rsidR="000237DD" w:rsidRPr="000237DD" w:rsidRDefault="000237DD" w:rsidP="000237DD">
      <w:pPr>
        <w:jc w:val="right"/>
        <w:rPr>
          <w:rFonts w:ascii="Times New Roman" w:eastAsiaTheme="minorEastAsia" w:hAnsi="Times New Roman" w:cs="Times New Roman" w:hint="eastAsia"/>
          <w:b/>
          <w:bCs/>
        </w:rPr>
      </w:pPr>
      <w:r>
        <w:rPr>
          <w:rFonts w:ascii="Times New Roman" w:eastAsiaTheme="minorEastAsia" w:hAnsi="Times New Roman" w:cs="Times New Roman"/>
          <w:b/>
          <w:bCs/>
        </w:rPr>
        <w:t>2026/4/29</w:t>
      </w:r>
    </w:p>
    <w:p w14:paraId="4C14CF44" w14:textId="77777777" w:rsidR="000237DD" w:rsidRDefault="000237DD">
      <w:pPr>
        <w:rPr>
          <w:rFonts w:ascii="Times New Roman" w:eastAsiaTheme="minorEastAsia" w:hAnsi="Times New Roman" w:cs="Times New Roman"/>
          <w:b/>
          <w:bCs/>
        </w:rPr>
      </w:pPr>
    </w:p>
    <w:p w14:paraId="138FBD8C" w14:textId="729C754D" w:rsidR="000237DD" w:rsidRPr="00815086" w:rsidRDefault="000237DD">
      <w:pPr>
        <w:rPr>
          <w:rFonts w:ascii="Times New Roman" w:eastAsiaTheme="minorEastAsia" w:hAnsi="Times New Roman" w:cs="Times New Roman"/>
          <w:b/>
          <w:bCs/>
          <w:sz w:val="28"/>
          <w:szCs w:val="28"/>
        </w:rPr>
      </w:pPr>
      <w:r w:rsidRPr="00815086">
        <w:rPr>
          <w:rFonts w:ascii="Times New Roman" w:eastAsiaTheme="minorEastAsia" w:hAnsi="Times New Roman" w:cs="Times New Roman" w:hint="eastAsia"/>
          <w:b/>
          <w:bCs/>
          <w:sz w:val="28"/>
          <w:szCs w:val="28"/>
        </w:rPr>
        <w:t>Abstract</w:t>
      </w:r>
    </w:p>
    <w:p w14:paraId="61FA6BC9" w14:textId="4DD4FB8D" w:rsidR="000237DD" w:rsidRPr="000237DD" w:rsidRDefault="000237DD">
      <w:pPr>
        <w:rPr>
          <w:rFonts w:ascii="Times New Roman" w:eastAsiaTheme="minorEastAsia" w:hAnsi="Times New Roman" w:cs="Times New Roman"/>
        </w:rPr>
      </w:pPr>
      <w:r>
        <w:rPr>
          <w:rFonts w:ascii="Times New Roman" w:eastAsia="宋体" w:hAnsi="Times New Roman"/>
        </w:rPr>
        <w:t>This experiment focuses on the fabrication and characterization of inverted p-</w:t>
      </w:r>
      <w:proofErr w:type="spellStart"/>
      <w:r>
        <w:rPr>
          <w:rFonts w:ascii="Times New Roman" w:eastAsia="宋体" w:hAnsi="Times New Roman"/>
        </w:rPr>
        <w:t>i</w:t>
      </w:r>
      <w:proofErr w:type="spellEnd"/>
      <w:r>
        <w:rPr>
          <w:rFonts w:ascii="Times New Roman" w:eastAsia="宋体" w:hAnsi="Times New Roman"/>
        </w:rPr>
        <w:t>-n perovskite solar cells. The lab includes normal-bandgap perovskite, Cs0.05FA0.902MA0.048PbI2.7Br0.3, and wide-bandgap perovskite, Cs0.25FA0.75</w:t>
      </w:r>
      <w:proofErr w:type="gramStart"/>
      <w:r>
        <w:rPr>
          <w:rFonts w:ascii="Times New Roman" w:eastAsia="宋体" w:hAnsi="Times New Roman"/>
        </w:rPr>
        <w:t>Pb(</w:t>
      </w:r>
      <w:proofErr w:type="gramEnd"/>
      <w:r>
        <w:rPr>
          <w:rFonts w:ascii="Times New Roman" w:eastAsia="宋体" w:hAnsi="Times New Roman"/>
        </w:rPr>
        <w:t>Br0.5I0.5)3. Based on the provided J-V and EQE data, the normal-bandgap devices show higher short-circuit current density and higher power conversion efficiency, while the wide-bandgap devices show higher open-circuit voltage. From the Origin-style J-V curves, the average estimated performance is JSC = 25.03 mA cm-2, VOC = 1.167 V, FF = 0.777, and PCE = 22.70% for the normal-bandgap cells, and JSC = 14.17 mA cm-2, VOC = 1.345 V, FF = 0.797, and PCE = 15.22% for the wide-bandgap cells. From the EQE absorption edges, the estimated bandgaps are approximately 1.56 eV for the normal-bandgap perovskite and approximately 1.83 eV for the wide-bandgap perovskite.</w:t>
      </w:r>
    </w:p>
    <w:p w14:paraId="116ADDE1" w14:textId="4A030971" w:rsidR="000237DD" w:rsidRPr="00815086" w:rsidRDefault="000237DD">
      <w:pPr>
        <w:rPr>
          <w:rFonts w:ascii="Times New Roman" w:eastAsiaTheme="minorEastAsia" w:hAnsi="Times New Roman" w:cs="Times New Roman"/>
          <w:b/>
          <w:bCs/>
          <w:sz w:val="28"/>
          <w:szCs w:val="28"/>
        </w:rPr>
      </w:pPr>
      <w:r w:rsidRPr="00815086">
        <w:rPr>
          <w:rFonts w:ascii="Times New Roman" w:eastAsiaTheme="minorEastAsia" w:hAnsi="Times New Roman" w:cs="Times New Roman" w:hint="eastAsia"/>
          <w:b/>
          <w:bCs/>
          <w:sz w:val="28"/>
          <w:szCs w:val="28"/>
        </w:rPr>
        <w:t>Introduction</w:t>
      </w:r>
    </w:p>
    <w:p w14:paraId="3B36ED50" w14:textId="77777777" w:rsidR="000237DD" w:rsidRDefault="000237DD" w:rsidP="000237DD">
      <w:pPr>
        <w:spacing w:after="100" w:line="259" w:lineRule="auto"/>
      </w:pPr>
      <w:r>
        <w:rPr>
          <w:rFonts w:ascii="Times New Roman" w:eastAsia="宋体" w:hAnsi="Times New Roman"/>
        </w:rPr>
        <w:t>Metal-halide perovskite solar cells have attracted great attention because they combine strong optical absorption, tunable bandgap, long carrier diffusion length, and low-temperature solution processing. By changing the halide composition, especially the I/Br ratio, the bandgap can be tuned from a normal-bandgap value suitable for high-current single-junction devices to a wide-bandgap value suitable for tandem solar cells.</w:t>
      </w:r>
    </w:p>
    <w:p w14:paraId="7EE89206" w14:textId="5B2D2B22" w:rsidR="000237DD" w:rsidRPr="000237DD" w:rsidRDefault="000237DD">
      <w:pPr>
        <w:rPr>
          <w:rFonts w:ascii="Times New Roman" w:eastAsiaTheme="minorEastAsia" w:hAnsi="Times New Roman" w:cs="Times New Roman"/>
        </w:rPr>
      </w:pPr>
      <w:r>
        <w:rPr>
          <w:rFonts w:ascii="Times New Roman" w:eastAsia="宋体" w:hAnsi="Times New Roman"/>
        </w:rPr>
        <w:t>In this lab, the device structure is an inverted p-</w:t>
      </w:r>
      <w:proofErr w:type="spellStart"/>
      <w:r>
        <w:rPr>
          <w:rFonts w:ascii="Times New Roman" w:eastAsia="宋体" w:hAnsi="Times New Roman"/>
        </w:rPr>
        <w:t>i</w:t>
      </w:r>
      <w:proofErr w:type="spellEnd"/>
      <w:r>
        <w:rPr>
          <w:rFonts w:ascii="Times New Roman" w:eastAsia="宋体" w:hAnsi="Times New Roman"/>
        </w:rPr>
        <w:t>-n configuration: ITO/glass / hole transport layer / perovskite absorber / electron transport layer / hole blocking layer / metal electrode. The main characterization methods are J-V measurement under AM1.5G illumination and external quantum efficiency measurement.</w:t>
      </w:r>
    </w:p>
    <w:p w14:paraId="6F702FC0" w14:textId="54E96C91" w:rsidR="000237DD" w:rsidRPr="00815086" w:rsidRDefault="000237DD">
      <w:pPr>
        <w:rPr>
          <w:rFonts w:ascii="Times New Roman" w:eastAsiaTheme="minorEastAsia" w:hAnsi="Times New Roman" w:cs="Times New Roman"/>
          <w:b/>
          <w:bCs/>
          <w:sz w:val="28"/>
          <w:szCs w:val="28"/>
        </w:rPr>
      </w:pPr>
      <w:r w:rsidRPr="00815086">
        <w:rPr>
          <w:rFonts w:ascii="Times New Roman" w:eastAsiaTheme="minorEastAsia" w:hAnsi="Times New Roman" w:cs="Times New Roman" w:hint="eastAsia"/>
          <w:b/>
          <w:bCs/>
          <w:sz w:val="28"/>
          <w:szCs w:val="28"/>
        </w:rPr>
        <w:t>Working Principle</w:t>
      </w:r>
    </w:p>
    <w:p w14:paraId="15D9480C" w14:textId="77777777" w:rsidR="00661FDC" w:rsidRDefault="00661FDC" w:rsidP="00661FDC">
      <w:pPr>
        <w:spacing w:after="100" w:line="259" w:lineRule="auto"/>
      </w:pPr>
      <w:r>
        <w:rPr>
          <w:rFonts w:ascii="Times New Roman" w:eastAsia="宋体" w:hAnsi="Times New Roman"/>
        </w:rPr>
        <w:t xml:space="preserve">A perovskite solar cell converts light into electrical energy through photon absorption, charge generation, charge separation, and charge collection. When incident photons with energy higher than the perovskite bandgap enter the device, they are absorbed by the perovskite layer </w:t>
      </w:r>
      <w:r>
        <w:rPr>
          <w:rFonts w:ascii="Times New Roman" w:eastAsia="宋体" w:hAnsi="Times New Roman"/>
        </w:rPr>
        <w:lastRenderedPageBreak/>
        <w:t>and generate electron-hole pairs. Because metal-halide perovskites have relatively low exciton binding energy, these photogenerated carriers can be separated efficiently at room temperature.</w:t>
      </w:r>
    </w:p>
    <w:p w14:paraId="20DB3770" w14:textId="77777777" w:rsidR="00661FDC" w:rsidRDefault="00661FDC" w:rsidP="00661FDC">
      <w:pPr>
        <w:spacing w:after="100" w:line="259" w:lineRule="auto"/>
      </w:pPr>
      <w:r>
        <w:rPr>
          <w:rFonts w:ascii="Times New Roman" w:eastAsia="宋体" w:hAnsi="Times New Roman"/>
        </w:rPr>
        <w:t>In the inverted p-</w:t>
      </w:r>
      <w:proofErr w:type="spellStart"/>
      <w:r>
        <w:rPr>
          <w:rFonts w:ascii="Times New Roman" w:eastAsia="宋体" w:hAnsi="Times New Roman"/>
        </w:rPr>
        <w:t>i</w:t>
      </w:r>
      <w:proofErr w:type="spellEnd"/>
      <w:r>
        <w:rPr>
          <w:rFonts w:ascii="Times New Roman" w:eastAsia="宋体" w:hAnsi="Times New Roman"/>
        </w:rPr>
        <w:t>-n device, selective transport layers drive the photogenerated carriers toward different electrodes. Holes are extracted by the hole transport layer and collected by the ITO front electrode, while electrons are extracted by PC61BM and collected by the top metal electrode. The selective contacts suppress carrier recombination and help maintain a high quasi-Fermi-level splitting, which determines the open-circuit voltage. The photocurrent under short-circuit conditions is mainly determined by the absorption range, EQE, and charge-collection efficiency.</w:t>
      </w:r>
    </w:p>
    <w:p w14:paraId="6132E67A" w14:textId="457C438E" w:rsidR="00661FDC" w:rsidRPr="00661FDC" w:rsidRDefault="00661FDC" w:rsidP="00661FDC">
      <w:pPr>
        <w:spacing w:after="100" w:line="259" w:lineRule="auto"/>
        <w:rPr>
          <w:rFonts w:eastAsiaTheme="minorEastAsia" w:hint="eastAsia"/>
        </w:rPr>
      </w:pPr>
      <w:r>
        <w:rPr>
          <w:rFonts w:ascii="Times New Roman" w:eastAsia="宋体" w:hAnsi="Times New Roman"/>
        </w:rPr>
        <w:t>The main photovoltaic parameters are JSC, VOC, FF, and PCE. JSC represents the collected current density at zero voltage. VOC is the voltage at zero net current and is strongly related to the absorber bandgap and recombination loss. FF reflects the squareness of the J-V curve and is affected by series resistance, shunt resistance, and diode quality. PCE is calculated from PCE = JSC x VOC x FF / Pin, where Pin is the incident light power density.</w:t>
      </w:r>
    </w:p>
    <w:p w14:paraId="2D81BFED" w14:textId="7DD8BEA2" w:rsidR="000237DD" w:rsidRPr="00815086" w:rsidRDefault="000237DD">
      <w:pPr>
        <w:rPr>
          <w:rFonts w:ascii="Times New Roman" w:eastAsiaTheme="minorEastAsia" w:hAnsi="Times New Roman" w:cs="Times New Roman"/>
          <w:b/>
          <w:bCs/>
          <w:sz w:val="28"/>
          <w:szCs w:val="28"/>
        </w:rPr>
      </w:pPr>
      <w:r w:rsidRPr="00815086">
        <w:rPr>
          <w:rFonts w:ascii="Times New Roman" w:eastAsiaTheme="minorEastAsia" w:hAnsi="Times New Roman" w:cs="Times New Roman" w:hint="eastAsia"/>
          <w:b/>
          <w:bCs/>
          <w:sz w:val="28"/>
          <w:szCs w:val="28"/>
        </w:rPr>
        <w:t>Device Architecture</w:t>
      </w:r>
    </w:p>
    <w:p w14:paraId="43B67F32" w14:textId="1941F26E" w:rsidR="00F232B7" w:rsidRPr="00815086" w:rsidRDefault="00F232B7">
      <w:pPr>
        <w:rPr>
          <w:rFonts w:ascii="Times New Roman" w:eastAsiaTheme="minorEastAsia" w:hAnsi="Times New Roman" w:cs="Times New Roman" w:hint="eastAsia"/>
          <w:b/>
          <w:bCs/>
          <w:szCs w:val="22"/>
        </w:rPr>
      </w:pPr>
      <w:r w:rsidRPr="00815086">
        <w:rPr>
          <w:rFonts w:ascii="Times New Roman" w:hAnsi="Times New Roman"/>
          <w:szCs w:val="22"/>
        </w:rPr>
        <w:t>Device types</w:t>
      </w:r>
      <w:r w:rsidRPr="00815086">
        <w:rPr>
          <w:rFonts w:ascii="Times New Roman" w:eastAsiaTheme="minorEastAsia" w:hAnsi="Times New Roman" w:hint="eastAsia"/>
          <w:szCs w:val="22"/>
        </w:rPr>
        <w:t xml:space="preserve">: </w:t>
      </w:r>
      <w:r w:rsidRPr="00815086">
        <w:rPr>
          <w:rFonts w:ascii="Times New Roman" w:hAnsi="Times New Roman"/>
          <w:szCs w:val="22"/>
        </w:rPr>
        <w:t>Normal-bandgap (NBG) and wide-bandgap (WBG) perovskite solar cells</w:t>
      </w:r>
    </w:p>
    <w:p w14:paraId="4DC49E0C" w14:textId="39412D79" w:rsidR="00661FDC" w:rsidRPr="00815086" w:rsidRDefault="00661FDC">
      <w:pPr>
        <w:rPr>
          <w:rFonts w:ascii="Times New Roman" w:eastAsia="宋体" w:hAnsi="Times New Roman"/>
          <w:szCs w:val="22"/>
        </w:rPr>
      </w:pPr>
      <w:r w:rsidRPr="00815086">
        <w:rPr>
          <w:rFonts w:ascii="Times New Roman" w:eastAsia="宋体" w:hAnsi="Times New Roman"/>
          <w:szCs w:val="22"/>
        </w:rPr>
        <w:t>The device used in this experiment is an inverted positive-intrinsic-negative, or p-</w:t>
      </w:r>
      <w:proofErr w:type="spellStart"/>
      <w:r w:rsidRPr="00815086">
        <w:rPr>
          <w:rFonts w:ascii="Times New Roman" w:eastAsia="宋体" w:hAnsi="Times New Roman"/>
          <w:szCs w:val="22"/>
        </w:rPr>
        <w:t>i</w:t>
      </w:r>
      <w:proofErr w:type="spellEnd"/>
      <w:r w:rsidRPr="00815086">
        <w:rPr>
          <w:rFonts w:ascii="Times New Roman" w:eastAsia="宋体" w:hAnsi="Times New Roman"/>
          <w:szCs w:val="22"/>
        </w:rPr>
        <w:t>-n, perovskite solar cell. The layer sequence is ITO/glass / 4PADCB / perovskite / PC61BM / BCP / metal electrode. Light enters from the ITO/glass side, passes through the transparent conducting substrate and the ultrathin hole transport layer, and is absorbed mainly by the perovskite film.</w:t>
      </w:r>
    </w:p>
    <w:p w14:paraId="64EB727F" w14:textId="77777777" w:rsidR="00661FDC" w:rsidRPr="00815086" w:rsidRDefault="00661FDC" w:rsidP="00661FDC">
      <w:pPr>
        <w:spacing w:after="100" w:line="259" w:lineRule="auto"/>
        <w:rPr>
          <w:szCs w:val="22"/>
        </w:rPr>
      </w:pPr>
      <w:r w:rsidRPr="00815086">
        <w:rPr>
          <w:rFonts w:ascii="Times New Roman" w:eastAsia="宋体" w:hAnsi="Times New Roman"/>
          <w:szCs w:val="22"/>
        </w:rPr>
        <w:t>ITO/glass serves as the transparent front electrode and mechanical substrate. 4PADCB is a self-assembled monolayer hole transport layer that improves hole extraction and interfacial selectivity. The perovskite layer is the intrinsic absorber, and its composition determines whether the device is normal-bandgap or wide-bandgap. PC61BM acts as the electron transport layer, BCP acts as a hole blocking layer, and the evaporated metal electrode works as the back contact for electron collection.</w:t>
      </w:r>
    </w:p>
    <w:p w14:paraId="63F468A9" w14:textId="233A2874" w:rsidR="00D57F7D" w:rsidRDefault="00661FDC" w:rsidP="00D57F7D">
      <w:pPr>
        <w:spacing w:after="100" w:line="259" w:lineRule="auto"/>
        <w:rPr>
          <w:rFonts w:ascii="Times New Roman" w:eastAsia="宋体" w:hAnsi="Times New Roman"/>
          <w:szCs w:val="22"/>
        </w:rPr>
      </w:pPr>
      <w:r w:rsidRPr="00815086">
        <w:rPr>
          <w:rFonts w:ascii="Times New Roman" w:eastAsia="宋体" w:hAnsi="Times New Roman"/>
          <w:szCs w:val="22"/>
        </w:rPr>
        <w:t>This architecture is different from a conventional n-</w:t>
      </w:r>
      <w:proofErr w:type="spellStart"/>
      <w:r w:rsidRPr="00815086">
        <w:rPr>
          <w:rFonts w:ascii="Times New Roman" w:eastAsia="宋体" w:hAnsi="Times New Roman"/>
          <w:szCs w:val="22"/>
        </w:rPr>
        <w:t>i</w:t>
      </w:r>
      <w:proofErr w:type="spellEnd"/>
      <w:r w:rsidRPr="00815086">
        <w:rPr>
          <w:rFonts w:ascii="Times New Roman" w:eastAsia="宋体" w:hAnsi="Times New Roman"/>
          <w:szCs w:val="22"/>
        </w:rPr>
        <w:t>-p device because the hole-selective contact is placed at the illuminated ITO side and the electron-selective contact is placed near the top metal electrode. This inverted structure is commonly used in perovskite devices because it can be processed at relatively low temperature, is compatible with self-assembled monolayers, and is suitable for tandem solar cell integration.</w:t>
      </w:r>
    </w:p>
    <w:p w14:paraId="2D229851" w14:textId="608ED7F6" w:rsidR="00661FDC" w:rsidRPr="00815086" w:rsidRDefault="00D57F7D" w:rsidP="00D57F7D">
      <w:pPr>
        <w:widowControl/>
        <w:rPr>
          <w:rFonts w:ascii="Times New Roman" w:eastAsia="宋体" w:hAnsi="Times New Roman" w:hint="eastAsia"/>
          <w:szCs w:val="22"/>
        </w:rPr>
      </w:pPr>
      <w:r>
        <w:rPr>
          <w:rFonts w:ascii="Times New Roman" w:eastAsia="宋体" w:hAnsi="Times New Roman"/>
          <w:szCs w:val="22"/>
        </w:rPr>
        <w:br w:type="page"/>
      </w:r>
    </w:p>
    <w:tbl>
      <w:tblPr>
        <w:tblStyle w:val="af2"/>
        <w:tblW w:w="0" w:type="auto"/>
        <w:jc w:val="center"/>
        <w:tblLook w:val="04A0" w:firstRow="1" w:lastRow="0" w:firstColumn="1" w:lastColumn="0" w:noHBand="0" w:noVBand="1"/>
      </w:tblPr>
      <w:tblGrid>
        <w:gridCol w:w="2546"/>
        <w:gridCol w:w="3130"/>
        <w:gridCol w:w="2620"/>
      </w:tblGrid>
      <w:tr w:rsidR="00F232B7" w14:paraId="68FB4298" w14:textId="77777777" w:rsidTr="00F232B7">
        <w:trPr>
          <w:jc w:val="center"/>
        </w:trPr>
        <w:tc>
          <w:tcPr>
            <w:tcW w:w="2546" w:type="dxa"/>
            <w:vAlign w:val="center"/>
          </w:tcPr>
          <w:p w14:paraId="33162D61" w14:textId="2FB054C2" w:rsidR="00F232B7" w:rsidRDefault="00F232B7" w:rsidP="004A56EB">
            <w:pPr>
              <w:jc w:val="center"/>
              <w:rPr>
                <w:rFonts w:hint="eastAsia"/>
                <w:lang w:eastAsia="zh-CN"/>
              </w:rPr>
            </w:pPr>
            <w:r>
              <w:rPr>
                <w:rFonts w:ascii="Times New Roman" w:eastAsia="宋体" w:hAnsi="Times New Roman"/>
                <w:b/>
                <w:sz w:val="15"/>
              </w:rPr>
              <w:lastRenderedPageBreak/>
              <w:t>Layer</w:t>
            </w:r>
          </w:p>
        </w:tc>
        <w:tc>
          <w:tcPr>
            <w:tcW w:w="3130" w:type="dxa"/>
            <w:vAlign w:val="center"/>
          </w:tcPr>
          <w:p w14:paraId="74D7AD17" w14:textId="3C5F96A0" w:rsidR="00F232B7" w:rsidRDefault="00F232B7" w:rsidP="004A56EB">
            <w:pPr>
              <w:jc w:val="center"/>
              <w:rPr>
                <w:rFonts w:hint="eastAsia"/>
                <w:lang w:eastAsia="zh-CN"/>
              </w:rPr>
            </w:pPr>
            <w:r>
              <w:rPr>
                <w:rFonts w:ascii="Times New Roman" w:eastAsia="宋体" w:hAnsi="Times New Roman"/>
                <w:b/>
                <w:sz w:val="15"/>
              </w:rPr>
              <w:t>Material</w:t>
            </w:r>
          </w:p>
        </w:tc>
        <w:tc>
          <w:tcPr>
            <w:tcW w:w="2620" w:type="dxa"/>
            <w:vAlign w:val="center"/>
          </w:tcPr>
          <w:p w14:paraId="111836CE" w14:textId="76665450" w:rsidR="00F232B7" w:rsidRDefault="00F232B7" w:rsidP="004A56EB">
            <w:pPr>
              <w:jc w:val="center"/>
              <w:rPr>
                <w:rFonts w:hint="eastAsia"/>
                <w:lang w:eastAsia="zh-CN"/>
              </w:rPr>
            </w:pPr>
            <w:r>
              <w:rPr>
                <w:rFonts w:ascii="Times New Roman" w:eastAsia="宋体" w:hAnsi="Times New Roman"/>
                <w:b/>
                <w:sz w:val="15"/>
              </w:rPr>
              <w:t>Function</w:t>
            </w:r>
          </w:p>
        </w:tc>
      </w:tr>
      <w:tr w:rsidR="00F232B7" w14:paraId="6924360B" w14:textId="77777777" w:rsidTr="00F232B7">
        <w:trPr>
          <w:jc w:val="center"/>
        </w:trPr>
        <w:tc>
          <w:tcPr>
            <w:tcW w:w="2546" w:type="dxa"/>
            <w:vAlign w:val="center"/>
          </w:tcPr>
          <w:p w14:paraId="0A369F2F" w14:textId="7D4037D5" w:rsidR="00F232B7" w:rsidRDefault="00F232B7" w:rsidP="004A56EB">
            <w:r>
              <w:rPr>
                <w:rFonts w:ascii="Times New Roman" w:eastAsia="宋体" w:hAnsi="Times New Roman"/>
                <w:sz w:val="15"/>
              </w:rPr>
              <w:t xml:space="preserve">Transparent front electrode and substrate </w:t>
            </w:r>
          </w:p>
        </w:tc>
        <w:tc>
          <w:tcPr>
            <w:tcW w:w="3130" w:type="dxa"/>
            <w:vAlign w:val="center"/>
          </w:tcPr>
          <w:p w14:paraId="6C857901" w14:textId="2A14DBC7" w:rsidR="00F232B7" w:rsidRDefault="00F232B7" w:rsidP="004A56EB">
            <w:pPr>
              <w:rPr>
                <w:rFonts w:hint="eastAsia"/>
                <w:lang w:eastAsia="zh-CN"/>
              </w:rPr>
            </w:pPr>
            <w:r>
              <w:rPr>
                <w:rFonts w:ascii="Times New Roman" w:eastAsia="宋体" w:hAnsi="Times New Roman"/>
                <w:sz w:val="15"/>
              </w:rPr>
              <w:t>ITO/glass</w:t>
            </w:r>
          </w:p>
        </w:tc>
        <w:tc>
          <w:tcPr>
            <w:tcW w:w="2620" w:type="dxa"/>
            <w:vAlign w:val="center"/>
          </w:tcPr>
          <w:p w14:paraId="57801EA3" w14:textId="2627F2CC" w:rsidR="00F232B7" w:rsidRDefault="00F232B7" w:rsidP="004A56EB">
            <w:pPr>
              <w:rPr>
                <w:lang w:eastAsia="zh-CN"/>
              </w:rPr>
            </w:pPr>
            <w:r>
              <w:rPr>
                <w:rFonts w:ascii="Times New Roman" w:eastAsia="宋体" w:hAnsi="Times New Roman"/>
                <w:sz w:val="15"/>
              </w:rPr>
              <w:t>Provides mechanical support and transparent electrical contact. It allows light to enter from the front side and collects holes in the inverted p-</w:t>
            </w:r>
            <w:proofErr w:type="spellStart"/>
            <w:r>
              <w:rPr>
                <w:rFonts w:ascii="Times New Roman" w:eastAsia="宋体" w:hAnsi="Times New Roman"/>
                <w:sz w:val="15"/>
              </w:rPr>
              <w:t>i</w:t>
            </w:r>
            <w:proofErr w:type="spellEnd"/>
            <w:r>
              <w:rPr>
                <w:rFonts w:ascii="Times New Roman" w:eastAsia="宋体" w:hAnsi="Times New Roman"/>
                <w:sz w:val="15"/>
              </w:rPr>
              <w:t>-n device.</w:t>
            </w:r>
            <w:r>
              <w:rPr>
                <w:lang w:eastAsia="zh-CN"/>
              </w:rPr>
              <w:t xml:space="preserve"> </w:t>
            </w:r>
          </w:p>
        </w:tc>
      </w:tr>
      <w:tr w:rsidR="00F232B7" w14:paraId="1922AD69" w14:textId="77777777" w:rsidTr="00F232B7">
        <w:trPr>
          <w:jc w:val="center"/>
        </w:trPr>
        <w:tc>
          <w:tcPr>
            <w:tcW w:w="2546" w:type="dxa"/>
            <w:vAlign w:val="center"/>
          </w:tcPr>
          <w:p w14:paraId="2D3A343D" w14:textId="17B71327" w:rsidR="00F232B7" w:rsidRDefault="00F232B7" w:rsidP="004A56EB">
            <w:pPr>
              <w:rPr>
                <w:rFonts w:hint="eastAsia"/>
                <w:lang w:eastAsia="zh-CN"/>
              </w:rPr>
            </w:pPr>
            <w:r>
              <w:rPr>
                <w:rFonts w:ascii="Times New Roman" w:eastAsia="宋体" w:hAnsi="Times New Roman"/>
                <w:sz w:val="15"/>
              </w:rPr>
              <w:t>Hole transport layer, HTL</w:t>
            </w:r>
          </w:p>
        </w:tc>
        <w:tc>
          <w:tcPr>
            <w:tcW w:w="3130" w:type="dxa"/>
            <w:vAlign w:val="center"/>
          </w:tcPr>
          <w:p w14:paraId="2CF2E5BF" w14:textId="6D2EE187" w:rsidR="00F232B7" w:rsidRDefault="00F232B7" w:rsidP="004A56EB">
            <w:r>
              <w:rPr>
                <w:rFonts w:ascii="Times New Roman" w:eastAsia="宋体" w:hAnsi="Times New Roman"/>
                <w:sz w:val="15"/>
              </w:rPr>
              <w:t>4PADCB self-assembled monolayer</w:t>
            </w:r>
          </w:p>
        </w:tc>
        <w:tc>
          <w:tcPr>
            <w:tcW w:w="2620" w:type="dxa"/>
            <w:vAlign w:val="center"/>
          </w:tcPr>
          <w:p w14:paraId="7D64A534" w14:textId="085CD16B" w:rsidR="00F232B7" w:rsidRDefault="00F232B7" w:rsidP="004A56EB">
            <w:pPr>
              <w:rPr>
                <w:lang w:eastAsia="zh-CN"/>
              </w:rPr>
            </w:pPr>
            <w:r>
              <w:rPr>
                <w:rFonts w:ascii="Times New Roman" w:eastAsia="宋体" w:hAnsi="Times New Roman"/>
                <w:sz w:val="15"/>
              </w:rPr>
              <w:t>Selectively extracts holes, blocks electrons, improves ITO/perovskite interface contact, and reduces interfacial recombination.</w:t>
            </w:r>
          </w:p>
        </w:tc>
      </w:tr>
      <w:tr w:rsidR="00F232B7" w14:paraId="5E84F22B" w14:textId="77777777" w:rsidTr="00F232B7">
        <w:trPr>
          <w:jc w:val="center"/>
        </w:trPr>
        <w:tc>
          <w:tcPr>
            <w:tcW w:w="2546" w:type="dxa"/>
            <w:vAlign w:val="center"/>
          </w:tcPr>
          <w:p w14:paraId="62634FD0" w14:textId="6BDABE2D" w:rsidR="00F232B7" w:rsidRDefault="00F232B7" w:rsidP="004A56EB">
            <w:r>
              <w:rPr>
                <w:rFonts w:ascii="Times New Roman" w:eastAsia="宋体" w:hAnsi="Times New Roman"/>
                <w:sz w:val="15"/>
              </w:rPr>
              <w:t xml:space="preserve">Perovskite absorber </w:t>
            </w:r>
          </w:p>
        </w:tc>
        <w:tc>
          <w:tcPr>
            <w:tcW w:w="3130" w:type="dxa"/>
            <w:vAlign w:val="center"/>
          </w:tcPr>
          <w:p w14:paraId="16F9C105" w14:textId="77777777" w:rsidR="00F232B7" w:rsidRDefault="00F232B7" w:rsidP="004A56EB">
            <w:r>
              <w:rPr>
                <w:rFonts w:ascii="Times New Roman" w:eastAsia="宋体" w:hAnsi="Times New Roman"/>
                <w:sz w:val="15"/>
              </w:rPr>
              <w:t>NBG: Cs0.05FA0.902MA0.048PbI2.7Br0.3; WBG: Cs0.25FA0.75</w:t>
            </w:r>
            <w:proofErr w:type="gramStart"/>
            <w:r>
              <w:rPr>
                <w:rFonts w:ascii="Times New Roman" w:eastAsia="宋体" w:hAnsi="Times New Roman"/>
                <w:sz w:val="15"/>
              </w:rPr>
              <w:t>Pb(</w:t>
            </w:r>
            <w:proofErr w:type="gramEnd"/>
            <w:r>
              <w:rPr>
                <w:rFonts w:ascii="Times New Roman" w:eastAsia="宋体" w:hAnsi="Times New Roman"/>
                <w:sz w:val="15"/>
              </w:rPr>
              <w:t>Br0.5I0.5)3</w:t>
            </w:r>
          </w:p>
        </w:tc>
        <w:tc>
          <w:tcPr>
            <w:tcW w:w="2620" w:type="dxa"/>
            <w:vAlign w:val="center"/>
          </w:tcPr>
          <w:p w14:paraId="066EAA39" w14:textId="1AFA2AB6" w:rsidR="00F232B7" w:rsidRDefault="00F232B7" w:rsidP="004A56EB">
            <w:pPr>
              <w:rPr>
                <w:lang w:eastAsia="zh-CN"/>
              </w:rPr>
            </w:pPr>
            <w:r>
              <w:rPr>
                <w:rFonts w:ascii="Times New Roman" w:eastAsia="宋体" w:hAnsi="Times New Roman"/>
                <w:sz w:val="15"/>
              </w:rPr>
              <w:t>Absorbs incident photons, generates electron-hole pairs, and determines the absorption edge, JSC, and VOC potential through its bandgap.</w:t>
            </w:r>
            <w:r>
              <w:rPr>
                <w:lang w:eastAsia="zh-CN"/>
              </w:rPr>
              <w:t xml:space="preserve"> </w:t>
            </w:r>
          </w:p>
        </w:tc>
      </w:tr>
      <w:tr w:rsidR="00F232B7" w14:paraId="7BDF0C10" w14:textId="77777777" w:rsidTr="00F232B7">
        <w:trPr>
          <w:jc w:val="center"/>
        </w:trPr>
        <w:tc>
          <w:tcPr>
            <w:tcW w:w="2546" w:type="dxa"/>
            <w:vAlign w:val="center"/>
          </w:tcPr>
          <w:p w14:paraId="2D4B54EE" w14:textId="1DB2C064" w:rsidR="00F232B7" w:rsidRDefault="00F232B7" w:rsidP="004A56EB">
            <w:r>
              <w:rPr>
                <w:rFonts w:ascii="Times New Roman" w:eastAsia="宋体" w:hAnsi="Times New Roman"/>
                <w:sz w:val="15"/>
              </w:rPr>
              <w:t>Electron transport layer, ETL</w:t>
            </w:r>
          </w:p>
        </w:tc>
        <w:tc>
          <w:tcPr>
            <w:tcW w:w="3130" w:type="dxa"/>
            <w:vAlign w:val="center"/>
          </w:tcPr>
          <w:p w14:paraId="3E060B39" w14:textId="77777777" w:rsidR="00F232B7" w:rsidRDefault="00F232B7" w:rsidP="004A56EB">
            <w:r>
              <w:rPr>
                <w:rFonts w:ascii="Times New Roman" w:eastAsia="宋体" w:hAnsi="Times New Roman"/>
                <w:sz w:val="15"/>
              </w:rPr>
              <w:t>PC61BM</w:t>
            </w:r>
          </w:p>
        </w:tc>
        <w:tc>
          <w:tcPr>
            <w:tcW w:w="2620" w:type="dxa"/>
            <w:vAlign w:val="center"/>
          </w:tcPr>
          <w:p w14:paraId="08E95E9B" w14:textId="5D44E957" w:rsidR="00F232B7" w:rsidRDefault="00F232B7" w:rsidP="004A56EB">
            <w:pPr>
              <w:rPr>
                <w:lang w:eastAsia="zh-CN"/>
              </w:rPr>
            </w:pPr>
            <w:r>
              <w:rPr>
                <w:rFonts w:ascii="Times New Roman" w:eastAsia="宋体" w:hAnsi="Times New Roman"/>
                <w:sz w:val="15"/>
              </w:rPr>
              <w:t>Selectively extracts electrons from the perovskite and blocks holes, improving electron collection and suppressing recombination near the back contact.</w:t>
            </w:r>
            <w:r>
              <w:rPr>
                <w:lang w:eastAsia="zh-CN"/>
              </w:rPr>
              <w:t xml:space="preserve"> </w:t>
            </w:r>
          </w:p>
        </w:tc>
      </w:tr>
      <w:tr w:rsidR="00F232B7" w14:paraId="7B9917AD" w14:textId="77777777" w:rsidTr="00F232B7">
        <w:trPr>
          <w:jc w:val="center"/>
        </w:trPr>
        <w:tc>
          <w:tcPr>
            <w:tcW w:w="2546" w:type="dxa"/>
            <w:vAlign w:val="center"/>
          </w:tcPr>
          <w:p w14:paraId="36DEC503" w14:textId="4239B6D4" w:rsidR="00F232B7" w:rsidRDefault="00F232B7" w:rsidP="004A56EB">
            <w:r>
              <w:rPr>
                <w:rFonts w:ascii="Times New Roman" w:eastAsia="宋体" w:hAnsi="Times New Roman"/>
                <w:sz w:val="15"/>
              </w:rPr>
              <w:t>Hole blocking layer</w:t>
            </w:r>
          </w:p>
        </w:tc>
        <w:tc>
          <w:tcPr>
            <w:tcW w:w="3130" w:type="dxa"/>
            <w:vAlign w:val="center"/>
          </w:tcPr>
          <w:p w14:paraId="1B38E008" w14:textId="77777777" w:rsidR="00F232B7" w:rsidRDefault="00F232B7" w:rsidP="004A56EB">
            <w:r>
              <w:rPr>
                <w:rFonts w:ascii="Times New Roman" w:eastAsia="宋体" w:hAnsi="Times New Roman"/>
                <w:sz w:val="15"/>
              </w:rPr>
              <w:t>BCP</w:t>
            </w:r>
          </w:p>
        </w:tc>
        <w:tc>
          <w:tcPr>
            <w:tcW w:w="2620" w:type="dxa"/>
            <w:vAlign w:val="center"/>
          </w:tcPr>
          <w:p w14:paraId="6FF74182" w14:textId="00033E09" w:rsidR="00F232B7" w:rsidRDefault="00F232B7" w:rsidP="004A56EB">
            <w:pPr>
              <w:rPr>
                <w:lang w:eastAsia="zh-CN"/>
              </w:rPr>
            </w:pPr>
            <w:r>
              <w:rPr>
                <w:rFonts w:ascii="Times New Roman" w:eastAsia="宋体" w:hAnsi="Times New Roman"/>
                <w:sz w:val="15"/>
              </w:rPr>
              <w:t xml:space="preserve">Blocks holes from reaching the metal electrode, improves electron-selective contact, and helps reduce leakage and interfacial recombination. </w:t>
            </w:r>
          </w:p>
        </w:tc>
      </w:tr>
      <w:tr w:rsidR="00F232B7" w14:paraId="652FD2E7" w14:textId="77777777" w:rsidTr="00F232B7">
        <w:trPr>
          <w:jc w:val="center"/>
        </w:trPr>
        <w:tc>
          <w:tcPr>
            <w:tcW w:w="2546" w:type="dxa"/>
            <w:vAlign w:val="center"/>
          </w:tcPr>
          <w:p w14:paraId="3B2E4700" w14:textId="66E3BA72" w:rsidR="00F232B7" w:rsidRDefault="00F232B7" w:rsidP="004A56EB">
            <w:r>
              <w:rPr>
                <w:rFonts w:ascii="Times New Roman" w:eastAsia="宋体" w:hAnsi="Times New Roman"/>
                <w:sz w:val="15"/>
              </w:rPr>
              <w:t>Back metal electrode</w:t>
            </w:r>
          </w:p>
        </w:tc>
        <w:tc>
          <w:tcPr>
            <w:tcW w:w="3130" w:type="dxa"/>
            <w:vAlign w:val="center"/>
          </w:tcPr>
          <w:p w14:paraId="7966AE47" w14:textId="2CA5AED9" w:rsidR="00F232B7" w:rsidRDefault="00F232B7" w:rsidP="004A56EB">
            <w:r>
              <w:rPr>
                <w:rFonts w:ascii="Times New Roman" w:eastAsia="宋体" w:hAnsi="Times New Roman"/>
                <w:sz w:val="15"/>
              </w:rPr>
              <w:t>Evaporated Ag or Au</w:t>
            </w:r>
          </w:p>
        </w:tc>
        <w:tc>
          <w:tcPr>
            <w:tcW w:w="2620" w:type="dxa"/>
            <w:vAlign w:val="center"/>
          </w:tcPr>
          <w:p w14:paraId="7338CD7B" w14:textId="17A0547E" w:rsidR="00F232B7" w:rsidRDefault="00F232B7" w:rsidP="004A56EB">
            <w:pPr>
              <w:rPr>
                <w:lang w:eastAsia="zh-CN"/>
              </w:rPr>
            </w:pPr>
            <w:r>
              <w:rPr>
                <w:rFonts w:ascii="Times New Roman" w:eastAsia="宋体" w:hAnsi="Times New Roman"/>
                <w:sz w:val="15"/>
              </w:rPr>
              <w:t xml:space="preserve">Collects electrons from the ETL side and completes the external circuit. </w:t>
            </w:r>
          </w:p>
        </w:tc>
      </w:tr>
    </w:tbl>
    <w:p w14:paraId="386C701F" w14:textId="70925813" w:rsidR="00F232B7" w:rsidRPr="00815086" w:rsidRDefault="00F232B7" w:rsidP="00815086">
      <w:pPr>
        <w:jc w:val="center"/>
        <w:rPr>
          <w:rFonts w:eastAsiaTheme="minorEastAsia" w:hint="eastAsia"/>
        </w:rPr>
      </w:pPr>
      <w:r>
        <w:t>Table 1. Functions of each layer in the inverted perovskite solar cell.</w:t>
      </w:r>
    </w:p>
    <w:p w14:paraId="08A3DF75" w14:textId="399DF596" w:rsidR="000237DD" w:rsidRPr="00815086" w:rsidRDefault="000237DD">
      <w:pPr>
        <w:rPr>
          <w:rFonts w:ascii="Times New Roman" w:eastAsiaTheme="minorEastAsia" w:hAnsi="Times New Roman" w:cs="Times New Roman"/>
          <w:b/>
          <w:bCs/>
          <w:sz w:val="28"/>
          <w:szCs w:val="28"/>
        </w:rPr>
      </w:pPr>
      <w:r w:rsidRPr="00815086">
        <w:rPr>
          <w:rFonts w:ascii="Times New Roman" w:eastAsiaTheme="minorEastAsia" w:hAnsi="Times New Roman" w:cs="Times New Roman" w:hint="eastAsia"/>
          <w:b/>
          <w:bCs/>
          <w:sz w:val="28"/>
          <w:szCs w:val="28"/>
        </w:rPr>
        <w:t>Experimental Method</w:t>
      </w:r>
    </w:p>
    <w:p w14:paraId="58A9EDF1" w14:textId="1E7B7062" w:rsidR="000237DD" w:rsidRDefault="000237DD" w:rsidP="00815086">
      <w:pPr>
        <w:jc w:val="center"/>
        <w:rPr>
          <w:rFonts w:ascii="Times New Roman" w:eastAsiaTheme="minorEastAsia" w:hAnsi="Times New Roman" w:cs="Times New Roman"/>
          <w:b/>
          <w:bCs/>
        </w:rPr>
      </w:pPr>
      <w:r w:rsidRPr="000237DD">
        <w:rPr>
          <w:rFonts w:ascii="Times New Roman" w:eastAsiaTheme="minorEastAsia" w:hAnsi="Times New Roman" w:cs="Times New Roman"/>
          <w:b/>
          <w:bCs/>
        </w:rPr>
        <w:drawing>
          <wp:inline distT="0" distB="0" distL="0" distR="0" wp14:anchorId="00932B0F" wp14:editId="4E7EFE4C">
            <wp:extent cx="2862469" cy="1742777"/>
            <wp:effectExtent l="0" t="0" r="0" b="0"/>
            <wp:docPr id="1369917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17577" name=""/>
                    <pic:cNvPicPr/>
                  </pic:nvPicPr>
                  <pic:blipFill>
                    <a:blip r:embed="rId6"/>
                    <a:stretch>
                      <a:fillRect/>
                    </a:stretch>
                  </pic:blipFill>
                  <pic:spPr>
                    <a:xfrm>
                      <a:off x="0" y="0"/>
                      <a:ext cx="2909962" cy="1771693"/>
                    </a:xfrm>
                    <a:prstGeom prst="rect">
                      <a:avLst/>
                    </a:prstGeom>
                  </pic:spPr>
                </pic:pic>
              </a:graphicData>
            </a:graphic>
          </wp:inline>
        </w:drawing>
      </w:r>
    </w:p>
    <w:p w14:paraId="1D1DB4C3" w14:textId="0D92BAE4" w:rsidR="00815086" w:rsidRPr="00815086" w:rsidRDefault="00815086" w:rsidP="00815086">
      <w:pPr>
        <w:jc w:val="center"/>
        <w:rPr>
          <w:rFonts w:eastAsiaTheme="minorEastAsia" w:hint="eastAsia"/>
        </w:rPr>
      </w:pPr>
      <w:r>
        <w:t>Figure 1.</w:t>
      </w:r>
      <w:r>
        <w:rPr>
          <w:rFonts w:eastAsiaTheme="minorEastAsia" w:hint="eastAsia"/>
        </w:rPr>
        <w:t xml:space="preserve"> Device Fabrication Steps</w:t>
      </w:r>
      <w:r>
        <w:t>.</w:t>
      </w:r>
    </w:p>
    <w:p w14:paraId="0971DCF5" w14:textId="70DF1F7C" w:rsidR="000237DD" w:rsidRDefault="000237DD">
      <w:pPr>
        <w:rPr>
          <w:rFonts w:ascii="Times New Roman" w:eastAsia="宋体" w:hAnsi="Times New Roman"/>
        </w:rPr>
      </w:pPr>
      <w:r>
        <w:rPr>
          <w:rFonts w:ascii="Times New Roman" w:eastAsia="宋体" w:hAnsi="Times New Roman"/>
        </w:rPr>
        <w:t xml:space="preserve">ITO/glass substrates were sequentially cleaned in diluted detergent, deionized water, isopropanol, and ethanol for 15 min each. Before depositing the hole transport layer, the cleaned substrates were treated by UV-ozone for 25 min. The 4PADCB self-assembled monolayer was spin-coated at 4000 rpm for 30 s and annealed at 120 </w:t>
      </w:r>
      <w:proofErr w:type="spellStart"/>
      <w:r>
        <w:rPr>
          <w:rFonts w:ascii="Times New Roman" w:eastAsia="宋体" w:hAnsi="Times New Roman"/>
        </w:rPr>
        <w:t>degC</w:t>
      </w:r>
      <w:proofErr w:type="spellEnd"/>
      <w:r>
        <w:rPr>
          <w:rFonts w:ascii="Times New Roman" w:eastAsia="宋体" w:hAnsi="Times New Roman"/>
        </w:rPr>
        <w:t xml:space="preserve"> for 10 min.</w:t>
      </w:r>
    </w:p>
    <w:p w14:paraId="1A306B79" w14:textId="15AD62D9" w:rsidR="000237DD" w:rsidRDefault="000237DD">
      <w:pPr>
        <w:rPr>
          <w:rFonts w:ascii="Times New Roman" w:eastAsia="宋体" w:hAnsi="Times New Roman"/>
        </w:rPr>
      </w:pPr>
      <w:r>
        <w:rPr>
          <w:rFonts w:ascii="Times New Roman" w:eastAsia="宋体" w:hAnsi="Times New Roman"/>
        </w:rPr>
        <w:lastRenderedPageBreak/>
        <w:t xml:space="preserve">The perovskite precursor was deposited by a two-step spin-coating process: 1000 rpm for 5 s and then 4000 rpm for 30 s. During the second stage, 160 </w:t>
      </w:r>
      <w:proofErr w:type="spellStart"/>
      <w:r>
        <w:rPr>
          <w:rFonts w:ascii="Times New Roman" w:eastAsia="宋体" w:hAnsi="Times New Roman"/>
        </w:rPr>
        <w:t>uL</w:t>
      </w:r>
      <w:proofErr w:type="spellEnd"/>
      <w:r>
        <w:rPr>
          <w:rFonts w:ascii="Times New Roman" w:eastAsia="宋体" w:hAnsi="Times New Roman"/>
        </w:rPr>
        <w:t xml:space="preserve"> chlorobenzene was dropped as the anti-solvent at 11 s. The film was then annealed at 100 </w:t>
      </w:r>
      <w:proofErr w:type="spellStart"/>
      <w:r>
        <w:rPr>
          <w:rFonts w:ascii="Times New Roman" w:eastAsia="宋体" w:hAnsi="Times New Roman"/>
        </w:rPr>
        <w:t>degC</w:t>
      </w:r>
      <w:proofErr w:type="spellEnd"/>
      <w:r>
        <w:rPr>
          <w:rFonts w:ascii="Times New Roman" w:eastAsia="宋体" w:hAnsi="Times New Roman"/>
        </w:rPr>
        <w:t xml:space="preserve"> for 30 min. PC61BM was spin-coated as the electron transport layer, BCP was spin-coated as the hole blocking layer, and a metal electrode was thermally evaporated through a shadow mask.</w:t>
      </w:r>
    </w:p>
    <w:tbl>
      <w:tblPr>
        <w:tblStyle w:val="af2"/>
        <w:tblW w:w="0" w:type="auto"/>
        <w:jc w:val="center"/>
        <w:tblLook w:val="04A0" w:firstRow="1" w:lastRow="0" w:firstColumn="1" w:lastColumn="0" w:noHBand="0" w:noVBand="1"/>
      </w:tblPr>
      <w:tblGrid>
        <w:gridCol w:w="2648"/>
        <w:gridCol w:w="2823"/>
        <w:gridCol w:w="2825"/>
      </w:tblGrid>
      <w:tr w:rsidR="00F232B7" w14:paraId="596976D3" w14:textId="77777777" w:rsidTr="00F232B7">
        <w:trPr>
          <w:jc w:val="center"/>
        </w:trPr>
        <w:tc>
          <w:tcPr>
            <w:tcW w:w="2648" w:type="dxa"/>
            <w:vAlign w:val="center"/>
          </w:tcPr>
          <w:p w14:paraId="1CD77BF6" w14:textId="22308D51" w:rsidR="00F232B7" w:rsidRDefault="00F232B7" w:rsidP="004A56EB">
            <w:pPr>
              <w:jc w:val="center"/>
            </w:pPr>
            <w:r>
              <w:rPr>
                <w:rFonts w:ascii="Times New Roman" w:eastAsia="宋体" w:hAnsi="Times New Roman"/>
                <w:b/>
                <w:sz w:val="15"/>
              </w:rPr>
              <w:t>Step</w:t>
            </w:r>
          </w:p>
        </w:tc>
        <w:tc>
          <w:tcPr>
            <w:tcW w:w="2823" w:type="dxa"/>
            <w:vAlign w:val="center"/>
          </w:tcPr>
          <w:p w14:paraId="11BB5D11" w14:textId="09475F07" w:rsidR="00F232B7" w:rsidRDefault="00F232B7" w:rsidP="004A56EB">
            <w:pPr>
              <w:jc w:val="center"/>
            </w:pPr>
            <w:r>
              <w:rPr>
                <w:rFonts w:ascii="Times New Roman" w:eastAsia="宋体" w:hAnsi="Times New Roman"/>
                <w:b/>
                <w:sz w:val="15"/>
              </w:rPr>
              <w:t>Process</w:t>
            </w:r>
          </w:p>
        </w:tc>
        <w:tc>
          <w:tcPr>
            <w:tcW w:w="2825" w:type="dxa"/>
            <w:vAlign w:val="center"/>
          </w:tcPr>
          <w:p w14:paraId="5BEE20B4" w14:textId="1215542E" w:rsidR="00F232B7" w:rsidRDefault="00F232B7" w:rsidP="004A56EB">
            <w:pPr>
              <w:jc w:val="center"/>
            </w:pPr>
            <w:r>
              <w:rPr>
                <w:rFonts w:ascii="Times New Roman" w:eastAsia="宋体" w:hAnsi="Times New Roman"/>
                <w:b/>
                <w:sz w:val="15"/>
              </w:rPr>
              <w:t>Purpose</w:t>
            </w:r>
          </w:p>
        </w:tc>
      </w:tr>
      <w:tr w:rsidR="00F232B7" w14:paraId="57D08094" w14:textId="77777777" w:rsidTr="00F232B7">
        <w:trPr>
          <w:jc w:val="center"/>
        </w:trPr>
        <w:tc>
          <w:tcPr>
            <w:tcW w:w="2648" w:type="dxa"/>
            <w:vAlign w:val="center"/>
          </w:tcPr>
          <w:p w14:paraId="3E0069E6" w14:textId="77777777" w:rsidR="00F232B7" w:rsidRDefault="00F232B7" w:rsidP="004A56EB">
            <w:r>
              <w:rPr>
                <w:rFonts w:ascii="Times New Roman" w:eastAsia="宋体" w:hAnsi="Times New Roman"/>
                <w:sz w:val="15"/>
              </w:rPr>
              <w:t>1</w:t>
            </w:r>
          </w:p>
        </w:tc>
        <w:tc>
          <w:tcPr>
            <w:tcW w:w="2823" w:type="dxa"/>
            <w:vAlign w:val="center"/>
          </w:tcPr>
          <w:p w14:paraId="30EB6FF3" w14:textId="574B2ADF" w:rsidR="00F232B7" w:rsidRDefault="00F232B7" w:rsidP="004A56EB">
            <w:r>
              <w:rPr>
                <w:rFonts w:ascii="Times New Roman" w:eastAsia="宋体" w:hAnsi="Times New Roman"/>
                <w:sz w:val="15"/>
              </w:rPr>
              <w:t xml:space="preserve">Substrate cleaning in detergent, DI water, IPA, and ethanol </w:t>
            </w:r>
          </w:p>
        </w:tc>
        <w:tc>
          <w:tcPr>
            <w:tcW w:w="2825" w:type="dxa"/>
            <w:vAlign w:val="center"/>
          </w:tcPr>
          <w:p w14:paraId="53329D7C" w14:textId="0BC9F100" w:rsidR="00F232B7" w:rsidRDefault="00F232B7" w:rsidP="004A56EB">
            <w:pPr>
              <w:rPr>
                <w:lang w:eastAsia="zh-CN"/>
              </w:rPr>
            </w:pPr>
            <w:r>
              <w:rPr>
                <w:rFonts w:ascii="Times New Roman" w:eastAsia="宋体" w:hAnsi="Times New Roman"/>
                <w:sz w:val="15"/>
              </w:rPr>
              <w:t xml:space="preserve">Removes dust, organic residues, ions, and grease from the ITO surface, reducing shunts and improving film uniformity. </w:t>
            </w:r>
            <w:r>
              <w:rPr>
                <w:lang w:eastAsia="zh-CN"/>
              </w:rPr>
              <w:t xml:space="preserve"> </w:t>
            </w:r>
          </w:p>
        </w:tc>
      </w:tr>
      <w:tr w:rsidR="00F232B7" w14:paraId="6886FAB2" w14:textId="77777777" w:rsidTr="00F232B7">
        <w:trPr>
          <w:jc w:val="center"/>
        </w:trPr>
        <w:tc>
          <w:tcPr>
            <w:tcW w:w="2648" w:type="dxa"/>
            <w:vAlign w:val="center"/>
          </w:tcPr>
          <w:p w14:paraId="74E18222" w14:textId="77777777" w:rsidR="00F232B7" w:rsidRDefault="00F232B7" w:rsidP="004A56EB">
            <w:r>
              <w:rPr>
                <w:rFonts w:ascii="Times New Roman" w:eastAsia="宋体" w:hAnsi="Times New Roman"/>
                <w:sz w:val="15"/>
              </w:rPr>
              <w:t>2</w:t>
            </w:r>
          </w:p>
        </w:tc>
        <w:tc>
          <w:tcPr>
            <w:tcW w:w="2823" w:type="dxa"/>
            <w:vAlign w:val="center"/>
          </w:tcPr>
          <w:p w14:paraId="0A4A406D" w14:textId="404631E5" w:rsidR="00F232B7" w:rsidRDefault="00F232B7" w:rsidP="004A56EB">
            <w:r>
              <w:rPr>
                <w:rFonts w:ascii="Times New Roman" w:eastAsia="宋体" w:hAnsi="Times New Roman"/>
                <w:sz w:val="15"/>
              </w:rPr>
              <w:t xml:space="preserve">UV-ozone treatment </w:t>
            </w:r>
          </w:p>
        </w:tc>
        <w:tc>
          <w:tcPr>
            <w:tcW w:w="2825" w:type="dxa"/>
            <w:vAlign w:val="center"/>
          </w:tcPr>
          <w:p w14:paraId="5D9642A1" w14:textId="776D89A3" w:rsidR="00F232B7" w:rsidRDefault="00F232B7" w:rsidP="004A56EB">
            <w:pPr>
              <w:rPr>
                <w:lang w:eastAsia="zh-CN"/>
              </w:rPr>
            </w:pPr>
            <w:r>
              <w:rPr>
                <w:rFonts w:ascii="Times New Roman" w:eastAsia="宋体" w:hAnsi="Times New Roman"/>
                <w:sz w:val="15"/>
              </w:rPr>
              <w:t xml:space="preserve">Further removes organic contamination, increases ITO surface energy, improves wettability, and promotes uniform HTL coating. </w:t>
            </w:r>
          </w:p>
        </w:tc>
      </w:tr>
      <w:tr w:rsidR="00F232B7" w14:paraId="0AB715A5" w14:textId="77777777" w:rsidTr="00F232B7">
        <w:trPr>
          <w:jc w:val="center"/>
        </w:trPr>
        <w:tc>
          <w:tcPr>
            <w:tcW w:w="2648" w:type="dxa"/>
            <w:vAlign w:val="center"/>
          </w:tcPr>
          <w:p w14:paraId="1D4C6132" w14:textId="77777777" w:rsidR="00F232B7" w:rsidRDefault="00F232B7" w:rsidP="004A56EB">
            <w:r>
              <w:rPr>
                <w:rFonts w:ascii="Times New Roman" w:eastAsia="宋体" w:hAnsi="Times New Roman"/>
                <w:sz w:val="15"/>
              </w:rPr>
              <w:t>3</w:t>
            </w:r>
          </w:p>
        </w:tc>
        <w:tc>
          <w:tcPr>
            <w:tcW w:w="2823" w:type="dxa"/>
            <w:vAlign w:val="center"/>
          </w:tcPr>
          <w:p w14:paraId="16398F89" w14:textId="5FF4E572" w:rsidR="00F232B7" w:rsidRDefault="00F232B7" w:rsidP="004A56EB">
            <w:r>
              <w:rPr>
                <w:rFonts w:ascii="Times New Roman" w:eastAsia="宋体" w:hAnsi="Times New Roman"/>
                <w:sz w:val="15"/>
              </w:rPr>
              <w:t>Spin-coating 4PADCB HTL</w:t>
            </w:r>
          </w:p>
        </w:tc>
        <w:tc>
          <w:tcPr>
            <w:tcW w:w="2825" w:type="dxa"/>
            <w:vAlign w:val="center"/>
          </w:tcPr>
          <w:p w14:paraId="3944427A" w14:textId="3466A179" w:rsidR="00F232B7" w:rsidRDefault="00F232B7" w:rsidP="004A56EB">
            <w:pPr>
              <w:rPr>
                <w:lang w:eastAsia="zh-CN"/>
              </w:rPr>
            </w:pPr>
            <w:r>
              <w:rPr>
                <w:rFonts w:ascii="Times New Roman" w:eastAsia="宋体" w:hAnsi="Times New Roman"/>
                <w:sz w:val="15"/>
              </w:rPr>
              <w:t>Forms a hole-selective interface that extracts holes and blocks electrons at the illuminated electrode side.</w:t>
            </w:r>
          </w:p>
        </w:tc>
      </w:tr>
      <w:tr w:rsidR="00F232B7" w14:paraId="3D1D9A11" w14:textId="77777777" w:rsidTr="00F232B7">
        <w:trPr>
          <w:jc w:val="center"/>
        </w:trPr>
        <w:tc>
          <w:tcPr>
            <w:tcW w:w="2648" w:type="dxa"/>
            <w:vAlign w:val="center"/>
          </w:tcPr>
          <w:p w14:paraId="2CC60DD2" w14:textId="77777777" w:rsidR="00F232B7" w:rsidRDefault="00F232B7" w:rsidP="004A56EB">
            <w:r>
              <w:rPr>
                <w:rFonts w:ascii="Times New Roman" w:eastAsia="宋体" w:hAnsi="Times New Roman"/>
                <w:sz w:val="15"/>
              </w:rPr>
              <w:t>4</w:t>
            </w:r>
          </w:p>
        </w:tc>
        <w:tc>
          <w:tcPr>
            <w:tcW w:w="2823" w:type="dxa"/>
            <w:vAlign w:val="center"/>
          </w:tcPr>
          <w:p w14:paraId="450CF194" w14:textId="604D61B7" w:rsidR="00F232B7" w:rsidRDefault="00F232B7" w:rsidP="004A56EB">
            <w:r>
              <w:rPr>
                <w:rFonts w:ascii="Times New Roman" w:eastAsia="宋体" w:hAnsi="Times New Roman"/>
                <w:sz w:val="15"/>
              </w:rPr>
              <w:t xml:space="preserve">Annealing the HTL at 120 </w:t>
            </w:r>
            <w:proofErr w:type="spellStart"/>
            <w:r>
              <w:rPr>
                <w:rFonts w:ascii="Times New Roman" w:eastAsia="宋体" w:hAnsi="Times New Roman"/>
                <w:sz w:val="15"/>
              </w:rPr>
              <w:t>degC</w:t>
            </w:r>
            <w:proofErr w:type="spellEnd"/>
            <w:r>
              <w:rPr>
                <w:rFonts w:ascii="Times New Roman" w:eastAsia="宋体" w:hAnsi="Times New Roman"/>
                <w:sz w:val="15"/>
              </w:rPr>
              <w:t xml:space="preserve"> </w:t>
            </w:r>
          </w:p>
        </w:tc>
        <w:tc>
          <w:tcPr>
            <w:tcW w:w="2825" w:type="dxa"/>
            <w:vAlign w:val="center"/>
          </w:tcPr>
          <w:p w14:paraId="1C9C8EC3" w14:textId="14539AB9" w:rsidR="00F232B7" w:rsidRDefault="00F232B7" w:rsidP="004A56EB">
            <w:pPr>
              <w:rPr>
                <w:lang w:eastAsia="zh-CN"/>
              </w:rPr>
            </w:pPr>
            <w:r>
              <w:rPr>
                <w:rFonts w:ascii="Times New Roman" w:eastAsia="宋体" w:hAnsi="Times New Roman"/>
                <w:sz w:val="15"/>
              </w:rPr>
              <w:t xml:space="preserve">Improves molecular ordering, adhesion, and interfacial contact between ITO and the following perovskite layer. </w:t>
            </w:r>
          </w:p>
        </w:tc>
      </w:tr>
      <w:tr w:rsidR="00F232B7" w14:paraId="24A4F9E0" w14:textId="77777777" w:rsidTr="00F232B7">
        <w:trPr>
          <w:jc w:val="center"/>
        </w:trPr>
        <w:tc>
          <w:tcPr>
            <w:tcW w:w="2648" w:type="dxa"/>
            <w:vAlign w:val="center"/>
          </w:tcPr>
          <w:p w14:paraId="33AC661A" w14:textId="77777777" w:rsidR="00F232B7" w:rsidRDefault="00F232B7" w:rsidP="004A56EB">
            <w:r>
              <w:rPr>
                <w:rFonts w:ascii="Times New Roman" w:eastAsia="宋体" w:hAnsi="Times New Roman"/>
                <w:sz w:val="15"/>
              </w:rPr>
              <w:t>5</w:t>
            </w:r>
          </w:p>
        </w:tc>
        <w:tc>
          <w:tcPr>
            <w:tcW w:w="2823" w:type="dxa"/>
            <w:vAlign w:val="center"/>
          </w:tcPr>
          <w:p w14:paraId="77D5CACF" w14:textId="66637921" w:rsidR="00F232B7" w:rsidRDefault="00F232B7" w:rsidP="004A56EB">
            <w:r>
              <w:rPr>
                <w:rFonts w:ascii="Times New Roman" w:eastAsia="宋体" w:hAnsi="Times New Roman"/>
                <w:sz w:val="15"/>
              </w:rPr>
              <w:t>First stage perovskite spin coating at 1000 rpm</w:t>
            </w:r>
          </w:p>
        </w:tc>
        <w:tc>
          <w:tcPr>
            <w:tcW w:w="2825" w:type="dxa"/>
            <w:vAlign w:val="center"/>
          </w:tcPr>
          <w:p w14:paraId="5FD25F75" w14:textId="356A1AAE" w:rsidR="00F232B7" w:rsidRDefault="00F232B7" w:rsidP="004A56EB">
            <w:pPr>
              <w:rPr>
                <w:lang w:eastAsia="zh-CN"/>
              </w:rPr>
            </w:pPr>
            <w:r>
              <w:rPr>
                <w:rFonts w:ascii="Times New Roman" w:eastAsia="宋体" w:hAnsi="Times New Roman"/>
                <w:sz w:val="15"/>
              </w:rPr>
              <w:t xml:space="preserve">Spreads the precursor solution across the substrate and forms an initial wet film. </w:t>
            </w:r>
          </w:p>
        </w:tc>
      </w:tr>
      <w:tr w:rsidR="00F232B7" w14:paraId="126076A6" w14:textId="77777777" w:rsidTr="00F232B7">
        <w:trPr>
          <w:jc w:val="center"/>
        </w:trPr>
        <w:tc>
          <w:tcPr>
            <w:tcW w:w="2648" w:type="dxa"/>
            <w:vAlign w:val="center"/>
          </w:tcPr>
          <w:p w14:paraId="6812CF34" w14:textId="77777777" w:rsidR="00F232B7" w:rsidRDefault="00F232B7" w:rsidP="004A56EB">
            <w:r>
              <w:rPr>
                <w:rFonts w:ascii="Times New Roman" w:eastAsia="宋体" w:hAnsi="Times New Roman"/>
                <w:sz w:val="15"/>
              </w:rPr>
              <w:t>6</w:t>
            </w:r>
          </w:p>
        </w:tc>
        <w:tc>
          <w:tcPr>
            <w:tcW w:w="2823" w:type="dxa"/>
            <w:vAlign w:val="center"/>
          </w:tcPr>
          <w:p w14:paraId="34A3ED03" w14:textId="428E6498" w:rsidR="00F232B7" w:rsidRDefault="00F232B7" w:rsidP="004A56EB">
            <w:r>
              <w:rPr>
                <w:rFonts w:ascii="Times New Roman" w:eastAsia="宋体" w:hAnsi="Times New Roman"/>
                <w:sz w:val="15"/>
              </w:rPr>
              <w:t xml:space="preserve">Second stage spin coating at 4000 rpm </w:t>
            </w:r>
          </w:p>
        </w:tc>
        <w:tc>
          <w:tcPr>
            <w:tcW w:w="2825" w:type="dxa"/>
            <w:vAlign w:val="center"/>
          </w:tcPr>
          <w:p w14:paraId="0FC84DE1" w14:textId="3FD762FE" w:rsidR="00F232B7" w:rsidRDefault="00F232B7" w:rsidP="004A56EB">
            <w:pPr>
              <w:rPr>
                <w:lang w:eastAsia="zh-CN"/>
              </w:rPr>
            </w:pPr>
            <w:r>
              <w:rPr>
                <w:rFonts w:ascii="Times New Roman" w:eastAsia="宋体" w:hAnsi="Times New Roman"/>
                <w:sz w:val="15"/>
              </w:rPr>
              <w:t xml:space="preserve">Thins the wet film, removes excess solvent, and helps define the final film thickness and uniformity. </w:t>
            </w:r>
          </w:p>
        </w:tc>
      </w:tr>
      <w:tr w:rsidR="00F232B7" w14:paraId="12473560" w14:textId="77777777" w:rsidTr="00F232B7">
        <w:trPr>
          <w:jc w:val="center"/>
        </w:trPr>
        <w:tc>
          <w:tcPr>
            <w:tcW w:w="2648" w:type="dxa"/>
            <w:vAlign w:val="center"/>
          </w:tcPr>
          <w:p w14:paraId="19B483D7" w14:textId="77777777" w:rsidR="00F232B7" w:rsidRDefault="00F232B7" w:rsidP="004A56EB">
            <w:r>
              <w:rPr>
                <w:rFonts w:ascii="Times New Roman" w:eastAsia="宋体" w:hAnsi="Times New Roman"/>
                <w:sz w:val="15"/>
              </w:rPr>
              <w:t>7</w:t>
            </w:r>
          </w:p>
        </w:tc>
        <w:tc>
          <w:tcPr>
            <w:tcW w:w="2823" w:type="dxa"/>
            <w:vAlign w:val="center"/>
          </w:tcPr>
          <w:p w14:paraId="3D329829" w14:textId="44FD6DEF" w:rsidR="00F232B7" w:rsidRDefault="00F232B7" w:rsidP="004A56EB">
            <w:r>
              <w:rPr>
                <w:rFonts w:ascii="Times New Roman" w:eastAsia="宋体" w:hAnsi="Times New Roman"/>
                <w:sz w:val="15"/>
              </w:rPr>
              <w:t xml:space="preserve">Chlorobenzene anti-solvent dripping </w:t>
            </w:r>
          </w:p>
        </w:tc>
        <w:tc>
          <w:tcPr>
            <w:tcW w:w="2825" w:type="dxa"/>
            <w:vAlign w:val="center"/>
          </w:tcPr>
          <w:p w14:paraId="59043A8E" w14:textId="4CA34102" w:rsidR="00F232B7" w:rsidRDefault="00F232B7" w:rsidP="004A56EB">
            <w:pPr>
              <w:rPr>
                <w:lang w:eastAsia="zh-CN"/>
              </w:rPr>
            </w:pPr>
            <w:r>
              <w:rPr>
                <w:rFonts w:ascii="Times New Roman" w:eastAsia="宋体" w:hAnsi="Times New Roman"/>
                <w:sz w:val="15"/>
              </w:rPr>
              <w:t xml:space="preserve">Rapidly extracts solvent, induces supersaturation and nucleation, and promotes a compact perovskite intermediate film with fewer pinholes. </w:t>
            </w:r>
          </w:p>
        </w:tc>
      </w:tr>
      <w:tr w:rsidR="00F232B7" w14:paraId="3A9C056E" w14:textId="77777777" w:rsidTr="00F232B7">
        <w:trPr>
          <w:jc w:val="center"/>
        </w:trPr>
        <w:tc>
          <w:tcPr>
            <w:tcW w:w="2648" w:type="dxa"/>
            <w:vAlign w:val="center"/>
          </w:tcPr>
          <w:p w14:paraId="50D76AE8" w14:textId="77777777" w:rsidR="00F232B7" w:rsidRDefault="00F232B7" w:rsidP="004A56EB">
            <w:r>
              <w:rPr>
                <w:rFonts w:ascii="Times New Roman" w:eastAsia="宋体" w:hAnsi="Times New Roman"/>
                <w:sz w:val="15"/>
              </w:rPr>
              <w:t>8</w:t>
            </w:r>
          </w:p>
        </w:tc>
        <w:tc>
          <w:tcPr>
            <w:tcW w:w="2823" w:type="dxa"/>
            <w:vAlign w:val="center"/>
          </w:tcPr>
          <w:p w14:paraId="732D279C" w14:textId="2E01BC26" w:rsidR="00F232B7" w:rsidRDefault="00F232B7" w:rsidP="004A56EB">
            <w:r>
              <w:rPr>
                <w:rFonts w:ascii="Times New Roman" w:eastAsia="宋体" w:hAnsi="Times New Roman"/>
                <w:sz w:val="15"/>
              </w:rPr>
              <w:t xml:space="preserve">Perovskite annealing at 100 </w:t>
            </w:r>
            <w:proofErr w:type="spellStart"/>
            <w:r>
              <w:rPr>
                <w:rFonts w:ascii="Times New Roman" w:eastAsia="宋体" w:hAnsi="Times New Roman"/>
                <w:sz w:val="15"/>
              </w:rPr>
              <w:t>degC</w:t>
            </w:r>
            <w:proofErr w:type="spellEnd"/>
            <w:r>
              <w:rPr>
                <w:rFonts w:ascii="Times New Roman" w:eastAsia="宋体" w:hAnsi="Times New Roman"/>
                <w:sz w:val="15"/>
              </w:rPr>
              <w:t xml:space="preserve"> </w:t>
            </w:r>
          </w:p>
        </w:tc>
        <w:tc>
          <w:tcPr>
            <w:tcW w:w="2825" w:type="dxa"/>
            <w:vAlign w:val="center"/>
          </w:tcPr>
          <w:p w14:paraId="26558A01" w14:textId="5B8D338B" w:rsidR="00F232B7" w:rsidRDefault="00F232B7" w:rsidP="004A56EB">
            <w:pPr>
              <w:rPr>
                <w:lang w:eastAsia="zh-CN"/>
              </w:rPr>
            </w:pPr>
            <w:r>
              <w:rPr>
                <w:rFonts w:ascii="Times New Roman" w:eastAsia="宋体" w:hAnsi="Times New Roman"/>
                <w:sz w:val="15"/>
              </w:rPr>
              <w:t xml:space="preserve">Converts the intermediate film into crystalline perovskite, improves grain formation, and enhances charge transport. </w:t>
            </w:r>
          </w:p>
        </w:tc>
      </w:tr>
      <w:tr w:rsidR="00F232B7" w14:paraId="1ACC1976" w14:textId="77777777" w:rsidTr="00F232B7">
        <w:trPr>
          <w:jc w:val="center"/>
        </w:trPr>
        <w:tc>
          <w:tcPr>
            <w:tcW w:w="2648" w:type="dxa"/>
            <w:vAlign w:val="center"/>
          </w:tcPr>
          <w:p w14:paraId="0E89283A" w14:textId="77777777" w:rsidR="00F232B7" w:rsidRDefault="00F232B7" w:rsidP="004A56EB">
            <w:r>
              <w:rPr>
                <w:rFonts w:ascii="Times New Roman" w:eastAsia="宋体" w:hAnsi="Times New Roman"/>
                <w:sz w:val="15"/>
              </w:rPr>
              <w:t>9</w:t>
            </w:r>
          </w:p>
        </w:tc>
        <w:tc>
          <w:tcPr>
            <w:tcW w:w="2823" w:type="dxa"/>
            <w:vAlign w:val="center"/>
          </w:tcPr>
          <w:p w14:paraId="3ED8F5B0" w14:textId="52FF515C" w:rsidR="00F232B7" w:rsidRDefault="00F232B7" w:rsidP="004A56EB">
            <w:r>
              <w:rPr>
                <w:rFonts w:ascii="Times New Roman" w:eastAsia="宋体" w:hAnsi="Times New Roman"/>
                <w:sz w:val="15"/>
              </w:rPr>
              <w:t xml:space="preserve">Spin-coating PC61BM ETL </w:t>
            </w:r>
          </w:p>
        </w:tc>
        <w:tc>
          <w:tcPr>
            <w:tcW w:w="2825" w:type="dxa"/>
            <w:vAlign w:val="center"/>
          </w:tcPr>
          <w:p w14:paraId="245638C1" w14:textId="7E9E9E80" w:rsidR="00F232B7" w:rsidRDefault="00F232B7" w:rsidP="004A56EB">
            <w:pPr>
              <w:rPr>
                <w:lang w:eastAsia="zh-CN"/>
              </w:rPr>
            </w:pPr>
            <w:r>
              <w:rPr>
                <w:rFonts w:ascii="Times New Roman" w:eastAsia="宋体" w:hAnsi="Times New Roman"/>
                <w:sz w:val="15"/>
              </w:rPr>
              <w:t xml:space="preserve">Forms an electron-selective contact, extracts electrons, blocks holes, and passivates the perovskite surface. </w:t>
            </w:r>
          </w:p>
        </w:tc>
      </w:tr>
      <w:tr w:rsidR="00F232B7" w14:paraId="2BD374C3" w14:textId="77777777" w:rsidTr="00F232B7">
        <w:trPr>
          <w:jc w:val="center"/>
        </w:trPr>
        <w:tc>
          <w:tcPr>
            <w:tcW w:w="2648" w:type="dxa"/>
            <w:vAlign w:val="center"/>
          </w:tcPr>
          <w:p w14:paraId="22F97313" w14:textId="77777777" w:rsidR="00F232B7" w:rsidRDefault="00F232B7" w:rsidP="004A56EB">
            <w:r>
              <w:rPr>
                <w:rFonts w:ascii="Times New Roman" w:eastAsia="宋体" w:hAnsi="Times New Roman"/>
                <w:sz w:val="15"/>
              </w:rPr>
              <w:t>10</w:t>
            </w:r>
          </w:p>
        </w:tc>
        <w:tc>
          <w:tcPr>
            <w:tcW w:w="2823" w:type="dxa"/>
            <w:vAlign w:val="center"/>
          </w:tcPr>
          <w:p w14:paraId="56C06403" w14:textId="2633A21E" w:rsidR="00F232B7" w:rsidRDefault="00F232B7" w:rsidP="004A56EB">
            <w:r>
              <w:rPr>
                <w:rFonts w:ascii="Times New Roman" w:eastAsia="宋体" w:hAnsi="Times New Roman"/>
                <w:sz w:val="15"/>
              </w:rPr>
              <w:t xml:space="preserve">Spin-coating BCP hole blocking layer </w:t>
            </w:r>
          </w:p>
        </w:tc>
        <w:tc>
          <w:tcPr>
            <w:tcW w:w="2825" w:type="dxa"/>
            <w:vAlign w:val="center"/>
          </w:tcPr>
          <w:p w14:paraId="2DC9A534" w14:textId="0CA0AB32" w:rsidR="00F232B7" w:rsidRDefault="00F232B7" w:rsidP="004A56EB">
            <w:pPr>
              <w:rPr>
                <w:lang w:eastAsia="zh-CN"/>
              </w:rPr>
            </w:pPr>
            <w:r>
              <w:rPr>
                <w:rFonts w:ascii="Times New Roman" w:eastAsia="宋体" w:hAnsi="Times New Roman"/>
                <w:sz w:val="15"/>
              </w:rPr>
              <w:t>Suppresses hole leakage to the metal electrode and improves the selectivity of the back contact.</w:t>
            </w:r>
          </w:p>
        </w:tc>
      </w:tr>
      <w:tr w:rsidR="00F232B7" w14:paraId="41BD9F02" w14:textId="77777777" w:rsidTr="00F232B7">
        <w:trPr>
          <w:jc w:val="center"/>
        </w:trPr>
        <w:tc>
          <w:tcPr>
            <w:tcW w:w="2648" w:type="dxa"/>
            <w:vAlign w:val="center"/>
          </w:tcPr>
          <w:p w14:paraId="6A333182" w14:textId="77777777" w:rsidR="00F232B7" w:rsidRDefault="00F232B7" w:rsidP="004A56EB">
            <w:r>
              <w:rPr>
                <w:rFonts w:ascii="Times New Roman" w:eastAsia="宋体" w:hAnsi="Times New Roman"/>
                <w:sz w:val="15"/>
              </w:rPr>
              <w:t>11</w:t>
            </w:r>
          </w:p>
        </w:tc>
        <w:tc>
          <w:tcPr>
            <w:tcW w:w="2823" w:type="dxa"/>
            <w:vAlign w:val="center"/>
          </w:tcPr>
          <w:p w14:paraId="48FF2BCE" w14:textId="0AD4592F" w:rsidR="00F232B7" w:rsidRDefault="00F232B7" w:rsidP="004A56EB">
            <w:r>
              <w:rPr>
                <w:rFonts w:ascii="Times New Roman" w:eastAsia="宋体" w:hAnsi="Times New Roman"/>
                <w:sz w:val="15"/>
              </w:rPr>
              <w:t xml:space="preserve">Thermal evaporation of metal electrode through a shadow mask </w:t>
            </w:r>
          </w:p>
        </w:tc>
        <w:tc>
          <w:tcPr>
            <w:tcW w:w="2825" w:type="dxa"/>
            <w:vAlign w:val="center"/>
          </w:tcPr>
          <w:p w14:paraId="0040670A" w14:textId="0FC8192E" w:rsidR="00F232B7" w:rsidRDefault="00F232B7" w:rsidP="004A56EB">
            <w:pPr>
              <w:rPr>
                <w:lang w:eastAsia="zh-CN"/>
              </w:rPr>
            </w:pPr>
            <w:r>
              <w:rPr>
                <w:rFonts w:ascii="Times New Roman" w:eastAsia="宋体" w:hAnsi="Times New Roman"/>
                <w:sz w:val="15"/>
              </w:rPr>
              <w:t xml:space="preserve">Deposits the back electrode, defines the active device area, and completes the current-collection pathway. </w:t>
            </w:r>
          </w:p>
        </w:tc>
      </w:tr>
    </w:tbl>
    <w:p w14:paraId="65FFAE88" w14:textId="511869DC" w:rsidR="00F232B7" w:rsidRPr="00815086" w:rsidRDefault="00F232B7" w:rsidP="00815086">
      <w:pPr>
        <w:jc w:val="center"/>
        <w:rPr>
          <w:rFonts w:eastAsiaTheme="minorEastAsia" w:hint="eastAsia"/>
        </w:rPr>
      </w:pPr>
      <w:r>
        <w:t xml:space="preserve">Table </w:t>
      </w:r>
      <w:r w:rsidR="00815086">
        <w:rPr>
          <w:rFonts w:eastAsiaTheme="minorEastAsia" w:hint="eastAsia"/>
        </w:rPr>
        <w:t>2</w:t>
      </w:r>
      <w:r>
        <w:t xml:space="preserve">. Functions of each </w:t>
      </w:r>
      <w:r>
        <w:rPr>
          <w:rFonts w:eastAsiaTheme="minorEastAsia" w:hint="eastAsia"/>
        </w:rPr>
        <w:t>step</w:t>
      </w:r>
      <w:r>
        <w:t>.</w:t>
      </w:r>
    </w:p>
    <w:p w14:paraId="16B936B3" w14:textId="53214DB1" w:rsidR="000237DD" w:rsidRPr="00815086" w:rsidRDefault="000237DD">
      <w:pPr>
        <w:rPr>
          <w:rFonts w:ascii="Times New Roman" w:eastAsiaTheme="minorEastAsia" w:hAnsi="Times New Roman" w:cs="Times New Roman"/>
          <w:b/>
          <w:bCs/>
          <w:sz w:val="28"/>
          <w:szCs w:val="28"/>
        </w:rPr>
      </w:pPr>
      <w:r w:rsidRPr="00815086">
        <w:rPr>
          <w:rFonts w:ascii="Times New Roman" w:eastAsiaTheme="minorEastAsia" w:hAnsi="Times New Roman" w:cs="Times New Roman" w:hint="eastAsia"/>
          <w:b/>
          <w:bCs/>
          <w:sz w:val="28"/>
          <w:szCs w:val="28"/>
        </w:rPr>
        <w:lastRenderedPageBreak/>
        <w:t>Result</w:t>
      </w:r>
    </w:p>
    <w:p w14:paraId="27BC301B" w14:textId="3023706C" w:rsidR="000237DD" w:rsidRPr="00815086" w:rsidRDefault="000237DD">
      <w:pPr>
        <w:rPr>
          <w:rFonts w:ascii="Times New Roman" w:eastAsia="宋体" w:hAnsi="Times New Roman"/>
          <w:sz w:val="26"/>
          <w:szCs w:val="26"/>
        </w:rPr>
      </w:pPr>
      <w:r w:rsidRPr="00815086">
        <w:rPr>
          <w:rFonts w:ascii="Times New Roman" w:eastAsia="宋体" w:hAnsi="Times New Roman"/>
          <w:b/>
          <w:sz w:val="26"/>
          <w:szCs w:val="26"/>
        </w:rPr>
        <w:t>J-V Characteristics</w:t>
      </w:r>
    </w:p>
    <w:p w14:paraId="12470C7B" w14:textId="18B66137" w:rsidR="000237DD" w:rsidRDefault="000237DD">
      <w:pPr>
        <w:rPr>
          <w:rFonts w:ascii="Times New Roman" w:eastAsia="宋体" w:hAnsi="Times New Roman"/>
        </w:rPr>
      </w:pPr>
      <w:r>
        <w:rPr>
          <w:rFonts w:ascii="Times New Roman" w:eastAsia="宋体" w:hAnsi="Times New Roman"/>
        </w:rPr>
        <w:t>The J-V curves show the typical diode behavior of photovoltaic devices. The normal-bandgap cells provide higher photocurrent, while the wide-bandgap cells provide higher voltage. This trend agrees with the expected bandgap-current-voltage tradeoff.</w:t>
      </w:r>
    </w:p>
    <w:p w14:paraId="27C33AF7" w14:textId="16220641" w:rsidR="00661FDC" w:rsidRDefault="00661FDC" w:rsidP="00815086">
      <w:pPr>
        <w:jc w:val="center"/>
        <w:rPr>
          <w:rFonts w:ascii="Times New Roman" w:eastAsiaTheme="minorEastAsia" w:hAnsi="Times New Roman" w:cs="Times New Roman"/>
          <w:b/>
          <w:bCs/>
        </w:rPr>
      </w:pPr>
      <w:r>
        <w:rPr>
          <w:noProof/>
        </w:rPr>
        <w:drawing>
          <wp:inline distT="0" distB="0" distL="0" distR="0" wp14:anchorId="058924DE" wp14:editId="71E1C1F0">
            <wp:extent cx="4438197" cy="3132814"/>
            <wp:effectExtent l="0" t="0" r="635" b="0"/>
            <wp:docPr id="84936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55111" cy="3144753"/>
                    </a:xfrm>
                    <a:prstGeom prst="rect">
                      <a:avLst/>
                    </a:prstGeom>
                    <a:noFill/>
                    <a:ln>
                      <a:noFill/>
                    </a:ln>
                  </pic:spPr>
                </pic:pic>
              </a:graphicData>
            </a:graphic>
          </wp:inline>
        </w:drawing>
      </w:r>
    </w:p>
    <w:p w14:paraId="4BEB7B25" w14:textId="7169621E" w:rsidR="00661FDC" w:rsidRDefault="00815086" w:rsidP="00815086">
      <w:pPr>
        <w:jc w:val="center"/>
        <w:rPr>
          <w:rFonts w:eastAsiaTheme="minorEastAsia"/>
        </w:rPr>
      </w:pPr>
      <w:r>
        <w:t xml:space="preserve">Figure </w:t>
      </w:r>
      <w:r>
        <w:rPr>
          <w:rFonts w:eastAsiaTheme="minorEastAsia" w:hint="eastAsia"/>
        </w:rPr>
        <w:t>2</w:t>
      </w:r>
      <w:r>
        <w:t>. J-V curves of normal-bandgap perovskite devices.</w:t>
      </w:r>
      <w:r w:rsidR="00661FDC">
        <w:rPr>
          <w:noProof/>
        </w:rPr>
        <w:drawing>
          <wp:inline distT="0" distB="0" distL="0" distR="0" wp14:anchorId="4F945B5E" wp14:editId="3427B1EE">
            <wp:extent cx="4573374" cy="3228230"/>
            <wp:effectExtent l="0" t="0" r="0" b="0"/>
            <wp:docPr id="1904643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25335" cy="3264908"/>
                    </a:xfrm>
                    <a:prstGeom prst="rect">
                      <a:avLst/>
                    </a:prstGeom>
                    <a:noFill/>
                    <a:ln>
                      <a:noFill/>
                    </a:ln>
                  </pic:spPr>
                </pic:pic>
              </a:graphicData>
            </a:graphic>
          </wp:inline>
        </w:drawing>
      </w:r>
    </w:p>
    <w:p w14:paraId="28EF623B" w14:textId="1E7C2F63" w:rsidR="00815086" w:rsidRPr="00815086" w:rsidRDefault="00815086" w:rsidP="00815086">
      <w:pPr>
        <w:jc w:val="center"/>
        <w:rPr>
          <w:rFonts w:ascii="Times New Roman" w:eastAsiaTheme="minorEastAsia" w:hAnsi="Times New Roman" w:cs="Times New Roman" w:hint="eastAsia"/>
        </w:rPr>
      </w:pPr>
      <w:r>
        <w:t xml:space="preserve">Figure </w:t>
      </w:r>
      <w:r>
        <w:rPr>
          <w:rFonts w:eastAsiaTheme="minorEastAsia" w:hint="eastAsia"/>
        </w:rPr>
        <w:t>3</w:t>
      </w:r>
      <w:r>
        <w:t xml:space="preserve">. J-V curves of </w:t>
      </w:r>
      <w:r>
        <w:rPr>
          <w:rFonts w:eastAsiaTheme="minorEastAsia" w:hint="eastAsia"/>
        </w:rPr>
        <w:t>wide</w:t>
      </w:r>
      <w:r>
        <w:t>-bandgap perovskite devices.</w:t>
      </w:r>
    </w:p>
    <w:tbl>
      <w:tblPr>
        <w:tblStyle w:val="af2"/>
        <w:tblW w:w="0" w:type="auto"/>
        <w:jc w:val="center"/>
        <w:tblLook w:val="04A0" w:firstRow="1" w:lastRow="0" w:firstColumn="1" w:lastColumn="0" w:noHBand="0" w:noVBand="1"/>
      </w:tblPr>
      <w:tblGrid>
        <w:gridCol w:w="1709"/>
        <w:gridCol w:w="1646"/>
        <w:gridCol w:w="1647"/>
        <w:gridCol w:w="1647"/>
        <w:gridCol w:w="1647"/>
      </w:tblGrid>
      <w:tr w:rsidR="00661FDC" w14:paraId="0004846C" w14:textId="77777777" w:rsidTr="00815086">
        <w:trPr>
          <w:jc w:val="center"/>
        </w:trPr>
        <w:tc>
          <w:tcPr>
            <w:tcW w:w="1709" w:type="dxa"/>
            <w:vAlign w:val="center"/>
          </w:tcPr>
          <w:p w14:paraId="6712BE50" w14:textId="77777777" w:rsidR="00661FDC" w:rsidRDefault="00661FDC" w:rsidP="004A56EB">
            <w:r>
              <w:rPr>
                <w:rFonts w:ascii="Times New Roman" w:eastAsia="宋体" w:hAnsi="Times New Roman"/>
                <w:b/>
                <w:sz w:val="17"/>
              </w:rPr>
              <w:lastRenderedPageBreak/>
              <w:t>Device</w:t>
            </w:r>
          </w:p>
        </w:tc>
        <w:tc>
          <w:tcPr>
            <w:tcW w:w="1646" w:type="dxa"/>
            <w:vAlign w:val="center"/>
          </w:tcPr>
          <w:p w14:paraId="551BE405" w14:textId="77777777" w:rsidR="00661FDC" w:rsidRDefault="00661FDC" w:rsidP="004A56EB">
            <w:pPr>
              <w:jc w:val="center"/>
            </w:pPr>
            <w:r>
              <w:rPr>
                <w:rFonts w:ascii="Times New Roman" w:eastAsia="宋体" w:hAnsi="Times New Roman"/>
                <w:b/>
                <w:sz w:val="17"/>
              </w:rPr>
              <w:t>JSC (mA cm-2)</w:t>
            </w:r>
          </w:p>
        </w:tc>
        <w:tc>
          <w:tcPr>
            <w:tcW w:w="1647" w:type="dxa"/>
            <w:vAlign w:val="center"/>
          </w:tcPr>
          <w:p w14:paraId="2A076F4E" w14:textId="77777777" w:rsidR="00661FDC" w:rsidRDefault="00661FDC" w:rsidP="004A56EB">
            <w:pPr>
              <w:jc w:val="center"/>
            </w:pPr>
            <w:r>
              <w:rPr>
                <w:rFonts w:ascii="Times New Roman" w:eastAsia="宋体" w:hAnsi="Times New Roman"/>
                <w:b/>
                <w:sz w:val="17"/>
              </w:rPr>
              <w:t>VOC (V)</w:t>
            </w:r>
          </w:p>
        </w:tc>
        <w:tc>
          <w:tcPr>
            <w:tcW w:w="1647" w:type="dxa"/>
            <w:vAlign w:val="center"/>
          </w:tcPr>
          <w:p w14:paraId="7A45D4DB" w14:textId="77777777" w:rsidR="00661FDC" w:rsidRDefault="00661FDC" w:rsidP="004A56EB">
            <w:pPr>
              <w:jc w:val="center"/>
            </w:pPr>
            <w:r>
              <w:rPr>
                <w:rFonts w:ascii="Times New Roman" w:eastAsia="宋体" w:hAnsi="Times New Roman"/>
                <w:b/>
                <w:sz w:val="17"/>
              </w:rPr>
              <w:t>FF</w:t>
            </w:r>
          </w:p>
        </w:tc>
        <w:tc>
          <w:tcPr>
            <w:tcW w:w="1647" w:type="dxa"/>
            <w:vAlign w:val="center"/>
          </w:tcPr>
          <w:p w14:paraId="6403C75F" w14:textId="77777777" w:rsidR="00661FDC" w:rsidRDefault="00661FDC" w:rsidP="004A56EB">
            <w:pPr>
              <w:jc w:val="center"/>
            </w:pPr>
            <w:r>
              <w:rPr>
                <w:rFonts w:ascii="Times New Roman" w:eastAsia="宋体" w:hAnsi="Times New Roman"/>
                <w:b/>
                <w:sz w:val="17"/>
              </w:rPr>
              <w:t>PCE (%)</w:t>
            </w:r>
          </w:p>
        </w:tc>
      </w:tr>
      <w:tr w:rsidR="00661FDC" w14:paraId="6B30E7D4" w14:textId="77777777" w:rsidTr="00815086">
        <w:trPr>
          <w:jc w:val="center"/>
        </w:trPr>
        <w:tc>
          <w:tcPr>
            <w:tcW w:w="1709" w:type="dxa"/>
            <w:vAlign w:val="center"/>
          </w:tcPr>
          <w:p w14:paraId="4858CED8" w14:textId="77777777" w:rsidR="00661FDC" w:rsidRDefault="00661FDC" w:rsidP="004A56EB">
            <w:r>
              <w:rPr>
                <w:rFonts w:ascii="Times New Roman" w:eastAsia="宋体" w:hAnsi="Times New Roman"/>
                <w:sz w:val="17"/>
              </w:rPr>
              <w:t>Normal-bandgap, average</w:t>
            </w:r>
          </w:p>
        </w:tc>
        <w:tc>
          <w:tcPr>
            <w:tcW w:w="1646" w:type="dxa"/>
            <w:vAlign w:val="center"/>
          </w:tcPr>
          <w:p w14:paraId="1204035F" w14:textId="77777777" w:rsidR="00661FDC" w:rsidRDefault="00661FDC" w:rsidP="004A56EB">
            <w:pPr>
              <w:jc w:val="center"/>
            </w:pPr>
            <w:r>
              <w:rPr>
                <w:rFonts w:ascii="Times New Roman" w:eastAsia="宋体" w:hAnsi="Times New Roman"/>
                <w:sz w:val="17"/>
              </w:rPr>
              <w:t>25.03</w:t>
            </w:r>
          </w:p>
        </w:tc>
        <w:tc>
          <w:tcPr>
            <w:tcW w:w="1647" w:type="dxa"/>
            <w:vAlign w:val="center"/>
          </w:tcPr>
          <w:p w14:paraId="3F021F1D" w14:textId="77777777" w:rsidR="00661FDC" w:rsidRDefault="00661FDC" w:rsidP="004A56EB">
            <w:pPr>
              <w:jc w:val="center"/>
            </w:pPr>
            <w:r>
              <w:rPr>
                <w:rFonts w:ascii="Times New Roman" w:eastAsia="宋体" w:hAnsi="Times New Roman"/>
                <w:sz w:val="17"/>
              </w:rPr>
              <w:t>1.167</w:t>
            </w:r>
          </w:p>
        </w:tc>
        <w:tc>
          <w:tcPr>
            <w:tcW w:w="1647" w:type="dxa"/>
            <w:vAlign w:val="center"/>
          </w:tcPr>
          <w:p w14:paraId="4F707FF0" w14:textId="77777777" w:rsidR="00661FDC" w:rsidRDefault="00661FDC" w:rsidP="004A56EB">
            <w:pPr>
              <w:jc w:val="center"/>
            </w:pPr>
            <w:r>
              <w:rPr>
                <w:rFonts w:ascii="Times New Roman" w:eastAsia="宋体" w:hAnsi="Times New Roman"/>
                <w:sz w:val="17"/>
              </w:rPr>
              <w:t>0.777</w:t>
            </w:r>
          </w:p>
        </w:tc>
        <w:tc>
          <w:tcPr>
            <w:tcW w:w="1647" w:type="dxa"/>
            <w:vAlign w:val="center"/>
          </w:tcPr>
          <w:p w14:paraId="29E90350" w14:textId="77777777" w:rsidR="00661FDC" w:rsidRDefault="00661FDC" w:rsidP="004A56EB">
            <w:pPr>
              <w:jc w:val="center"/>
            </w:pPr>
            <w:r>
              <w:rPr>
                <w:rFonts w:ascii="Times New Roman" w:eastAsia="宋体" w:hAnsi="Times New Roman"/>
                <w:sz w:val="17"/>
              </w:rPr>
              <w:t>22.70</w:t>
            </w:r>
          </w:p>
        </w:tc>
      </w:tr>
      <w:tr w:rsidR="00661FDC" w14:paraId="26F8FEAA" w14:textId="77777777" w:rsidTr="00815086">
        <w:trPr>
          <w:jc w:val="center"/>
        </w:trPr>
        <w:tc>
          <w:tcPr>
            <w:tcW w:w="1709" w:type="dxa"/>
            <w:vAlign w:val="center"/>
          </w:tcPr>
          <w:p w14:paraId="4E3AB311" w14:textId="77777777" w:rsidR="00661FDC" w:rsidRDefault="00661FDC" w:rsidP="004A56EB">
            <w:r>
              <w:rPr>
                <w:rFonts w:ascii="Times New Roman" w:eastAsia="宋体" w:hAnsi="Times New Roman"/>
                <w:sz w:val="17"/>
              </w:rPr>
              <w:t>Normal-bandgap, standard deviation</w:t>
            </w:r>
          </w:p>
        </w:tc>
        <w:tc>
          <w:tcPr>
            <w:tcW w:w="1646" w:type="dxa"/>
            <w:vAlign w:val="center"/>
          </w:tcPr>
          <w:p w14:paraId="3CF4612D" w14:textId="77777777" w:rsidR="00661FDC" w:rsidRDefault="00661FDC" w:rsidP="004A56EB">
            <w:pPr>
              <w:jc w:val="center"/>
            </w:pPr>
            <w:r>
              <w:rPr>
                <w:rFonts w:ascii="Times New Roman" w:eastAsia="宋体" w:hAnsi="Times New Roman"/>
                <w:sz w:val="17"/>
              </w:rPr>
              <w:t>0.97</w:t>
            </w:r>
          </w:p>
        </w:tc>
        <w:tc>
          <w:tcPr>
            <w:tcW w:w="1647" w:type="dxa"/>
            <w:vAlign w:val="center"/>
          </w:tcPr>
          <w:p w14:paraId="0640D890" w14:textId="77777777" w:rsidR="00661FDC" w:rsidRDefault="00661FDC" w:rsidP="004A56EB">
            <w:pPr>
              <w:jc w:val="center"/>
            </w:pPr>
            <w:r>
              <w:rPr>
                <w:rFonts w:ascii="Times New Roman" w:eastAsia="宋体" w:hAnsi="Times New Roman"/>
                <w:sz w:val="17"/>
              </w:rPr>
              <w:t>0.008</w:t>
            </w:r>
          </w:p>
        </w:tc>
        <w:tc>
          <w:tcPr>
            <w:tcW w:w="1647" w:type="dxa"/>
            <w:vAlign w:val="center"/>
          </w:tcPr>
          <w:p w14:paraId="00C0BE4B" w14:textId="77777777" w:rsidR="00661FDC" w:rsidRDefault="00661FDC" w:rsidP="004A56EB">
            <w:pPr>
              <w:jc w:val="center"/>
            </w:pPr>
            <w:r>
              <w:rPr>
                <w:rFonts w:ascii="Times New Roman" w:eastAsia="宋体" w:hAnsi="Times New Roman"/>
                <w:sz w:val="17"/>
              </w:rPr>
              <w:t>0.014</w:t>
            </w:r>
          </w:p>
        </w:tc>
        <w:tc>
          <w:tcPr>
            <w:tcW w:w="1647" w:type="dxa"/>
            <w:vAlign w:val="center"/>
          </w:tcPr>
          <w:p w14:paraId="7D50FCA3" w14:textId="77777777" w:rsidR="00661FDC" w:rsidRDefault="00661FDC" w:rsidP="004A56EB">
            <w:pPr>
              <w:jc w:val="center"/>
            </w:pPr>
            <w:r>
              <w:rPr>
                <w:rFonts w:ascii="Times New Roman" w:eastAsia="宋体" w:hAnsi="Times New Roman"/>
                <w:sz w:val="17"/>
              </w:rPr>
              <w:t>1.04</w:t>
            </w:r>
          </w:p>
        </w:tc>
      </w:tr>
      <w:tr w:rsidR="00661FDC" w14:paraId="1AF86102" w14:textId="77777777" w:rsidTr="00815086">
        <w:trPr>
          <w:jc w:val="center"/>
        </w:trPr>
        <w:tc>
          <w:tcPr>
            <w:tcW w:w="1709" w:type="dxa"/>
            <w:vAlign w:val="center"/>
          </w:tcPr>
          <w:p w14:paraId="394E921B" w14:textId="77777777" w:rsidR="00661FDC" w:rsidRDefault="00661FDC" w:rsidP="004A56EB">
            <w:r>
              <w:rPr>
                <w:rFonts w:ascii="Times New Roman" w:eastAsia="宋体" w:hAnsi="Times New Roman"/>
                <w:sz w:val="17"/>
              </w:rPr>
              <w:t>Wide-bandgap, average</w:t>
            </w:r>
          </w:p>
        </w:tc>
        <w:tc>
          <w:tcPr>
            <w:tcW w:w="1646" w:type="dxa"/>
            <w:vAlign w:val="center"/>
          </w:tcPr>
          <w:p w14:paraId="1647E130" w14:textId="77777777" w:rsidR="00661FDC" w:rsidRDefault="00661FDC" w:rsidP="004A56EB">
            <w:pPr>
              <w:jc w:val="center"/>
            </w:pPr>
            <w:r>
              <w:rPr>
                <w:rFonts w:ascii="Times New Roman" w:eastAsia="宋体" w:hAnsi="Times New Roman"/>
                <w:sz w:val="17"/>
              </w:rPr>
              <w:t>14.17</w:t>
            </w:r>
          </w:p>
        </w:tc>
        <w:tc>
          <w:tcPr>
            <w:tcW w:w="1647" w:type="dxa"/>
            <w:vAlign w:val="center"/>
          </w:tcPr>
          <w:p w14:paraId="5E96BDEF" w14:textId="77777777" w:rsidR="00661FDC" w:rsidRDefault="00661FDC" w:rsidP="004A56EB">
            <w:pPr>
              <w:jc w:val="center"/>
            </w:pPr>
            <w:r>
              <w:rPr>
                <w:rFonts w:ascii="Times New Roman" w:eastAsia="宋体" w:hAnsi="Times New Roman"/>
                <w:sz w:val="17"/>
              </w:rPr>
              <w:t>1.345</w:t>
            </w:r>
          </w:p>
        </w:tc>
        <w:tc>
          <w:tcPr>
            <w:tcW w:w="1647" w:type="dxa"/>
            <w:vAlign w:val="center"/>
          </w:tcPr>
          <w:p w14:paraId="58016F50" w14:textId="77777777" w:rsidR="00661FDC" w:rsidRDefault="00661FDC" w:rsidP="004A56EB">
            <w:pPr>
              <w:jc w:val="center"/>
            </w:pPr>
            <w:r>
              <w:rPr>
                <w:rFonts w:ascii="Times New Roman" w:eastAsia="宋体" w:hAnsi="Times New Roman"/>
                <w:sz w:val="17"/>
              </w:rPr>
              <w:t>0.797</w:t>
            </w:r>
          </w:p>
        </w:tc>
        <w:tc>
          <w:tcPr>
            <w:tcW w:w="1647" w:type="dxa"/>
            <w:vAlign w:val="center"/>
          </w:tcPr>
          <w:p w14:paraId="4A1822B5" w14:textId="77777777" w:rsidR="00661FDC" w:rsidRDefault="00661FDC" w:rsidP="004A56EB">
            <w:pPr>
              <w:jc w:val="center"/>
            </w:pPr>
            <w:r>
              <w:rPr>
                <w:rFonts w:ascii="Times New Roman" w:eastAsia="宋体" w:hAnsi="Times New Roman"/>
                <w:sz w:val="17"/>
              </w:rPr>
              <w:t>15.22</w:t>
            </w:r>
          </w:p>
        </w:tc>
      </w:tr>
      <w:tr w:rsidR="00661FDC" w14:paraId="2F790DBD" w14:textId="77777777" w:rsidTr="00815086">
        <w:trPr>
          <w:jc w:val="center"/>
        </w:trPr>
        <w:tc>
          <w:tcPr>
            <w:tcW w:w="1709" w:type="dxa"/>
            <w:vAlign w:val="center"/>
          </w:tcPr>
          <w:p w14:paraId="45AE48BE" w14:textId="77777777" w:rsidR="00661FDC" w:rsidRDefault="00661FDC" w:rsidP="004A56EB">
            <w:r>
              <w:rPr>
                <w:rFonts w:ascii="Times New Roman" w:eastAsia="宋体" w:hAnsi="Times New Roman"/>
                <w:sz w:val="17"/>
              </w:rPr>
              <w:t>Wide-bandgap, standard deviation</w:t>
            </w:r>
          </w:p>
        </w:tc>
        <w:tc>
          <w:tcPr>
            <w:tcW w:w="1646" w:type="dxa"/>
            <w:vAlign w:val="center"/>
          </w:tcPr>
          <w:p w14:paraId="4A2971A5" w14:textId="77777777" w:rsidR="00661FDC" w:rsidRDefault="00661FDC" w:rsidP="004A56EB">
            <w:pPr>
              <w:jc w:val="center"/>
            </w:pPr>
            <w:r>
              <w:rPr>
                <w:rFonts w:ascii="Times New Roman" w:eastAsia="宋体" w:hAnsi="Times New Roman"/>
                <w:sz w:val="17"/>
              </w:rPr>
              <w:t>0.48</w:t>
            </w:r>
          </w:p>
        </w:tc>
        <w:tc>
          <w:tcPr>
            <w:tcW w:w="1647" w:type="dxa"/>
            <w:vAlign w:val="center"/>
          </w:tcPr>
          <w:p w14:paraId="32F9B1DD" w14:textId="77777777" w:rsidR="00661FDC" w:rsidRDefault="00661FDC" w:rsidP="004A56EB">
            <w:pPr>
              <w:jc w:val="center"/>
            </w:pPr>
            <w:r>
              <w:rPr>
                <w:rFonts w:ascii="Times New Roman" w:eastAsia="宋体" w:hAnsi="Times New Roman"/>
                <w:sz w:val="17"/>
              </w:rPr>
              <w:t>0.014</w:t>
            </w:r>
          </w:p>
        </w:tc>
        <w:tc>
          <w:tcPr>
            <w:tcW w:w="1647" w:type="dxa"/>
            <w:vAlign w:val="center"/>
          </w:tcPr>
          <w:p w14:paraId="30294CD8" w14:textId="77777777" w:rsidR="00661FDC" w:rsidRDefault="00661FDC" w:rsidP="004A56EB">
            <w:pPr>
              <w:jc w:val="center"/>
            </w:pPr>
            <w:r>
              <w:rPr>
                <w:rFonts w:ascii="Times New Roman" w:eastAsia="宋体" w:hAnsi="Times New Roman"/>
                <w:sz w:val="17"/>
              </w:rPr>
              <w:t>0.043</w:t>
            </w:r>
          </w:p>
        </w:tc>
        <w:tc>
          <w:tcPr>
            <w:tcW w:w="1647" w:type="dxa"/>
            <w:vAlign w:val="center"/>
          </w:tcPr>
          <w:p w14:paraId="3B75C0FA" w14:textId="77777777" w:rsidR="00661FDC" w:rsidRDefault="00661FDC" w:rsidP="004A56EB">
            <w:pPr>
              <w:jc w:val="center"/>
            </w:pPr>
            <w:r>
              <w:rPr>
                <w:rFonts w:ascii="Times New Roman" w:eastAsia="宋体" w:hAnsi="Times New Roman"/>
                <w:sz w:val="17"/>
              </w:rPr>
              <w:t>1.25</w:t>
            </w:r>
          </w:p>
        </w:tc>
      </w:tr>
    </w:tbl>
    <w:p w14:paraId="67B3119A" w14:textId="2F5AA4E6" w:rsidR="00661FDC" w:rsidRPr="00815086" w:rsidRDefault="00815086" w:rsidP="00815086">
      <w:pPr>
        <w:jc w:val="center"/>
        <w:rPr>
          <w:rFonts w:eastAsiaTheme="minorEastAsia" w:hint="eastAsia"/>
        </w:rPr>
      </w:pPr>
      <w:r>
        <w:t xml:space="preserve">Table </w:t>
      </w:r>
      <w:r>
        <w:rPr>
          <w:rFonts w:eastAsiaTheme="minorEastAsia" w:hint="eastAsia"/>
        </w:rPr>
        <w:t>3</w:t>
      </w:r>
      <w:r>
        <w:t xml:space="preserve">. </w:t>
      </w:r>
      <w:r>
        <w:rPr>
          <w:rFonts w:eastAsiaTheme="minorEastAsia" w:hint="eastAsia"/>
        </w:rPr>
        <w:t>P</w:t>
      </w:r>
      <w:r>
        <w:t>hotovoltaic parameters extracted from measured J-V curves.</w:t>
      </w:r>
    </w:p>
    <w:p w14:paraId="0087E3FA" w14:textId="7833EED8" w:rsidR="00661FDC" w:rsidRPr="00661FDC" w:rsidRDefault="00661FDC">
      <w:pPr>
        <w:rPr>
          <w:rFonts w:ascii="Times New Roman" w:eastAsiaTheme="minorEastAsia" w:hAnsi="Times New Roman" w:cs="Times New Roman"/>
        </w:rPr>
      </w:pPr>
      <w:r>
        <w:rPr>
          <w:rFonts w:ascii="Times New Roman" w:eastAsia="宋体" w:hAnsi="Times New Roman"/>
        </w:rPr>
        <w:t xml:space="preserve">These values were estimated from the provided Origin-style J-V curves. Under 100 </w:t>
      </w:r>
      <w:proofErr w:type="spellStart"/>
      <w:r>
        <w:rPr>
          <w:rFonts w:ascii="Times New Roman" w:eastAsia="宋体" w:hAnsi="Times New Roman"/>
        </w:rPr>
        <w:t>mW</w:t>
      </w:r>
      <w:proofErr w:type="spellEnd"/>
      <w:r>
        <w:rPr>
          <w:rFonts w:ascii="Times New Roman" w:eastAsia="宋体" w:hAnsi="Times New Roman"/>
        </w:rPr>
        <w:t xml:space="preserve"> cm-2 illumination, the maximum output power density in </w:t>
      </w:r>
      <w:proofErr w:type="spellStart"/>
      <w:r>
        <w:rPr>
          <w:rFonts w:ascii="Times New Roman" w:eastAsia="宋体" w:hAnsi="Times New Roman"/>
        </w:rPr>
        <w:t>mW</w:t>
      </w:r>
      <w:proofErr w:type="spellEnd"/>
      <w:r>
        <w:rPr>
          <w:rFonts w:ascii="Times New Roman" w:eastAsia="宋体" w:hAnsi="Times New Roman"/>
        </w:rPr>
        <w:t xml:space="preserve"> cm-2 is numerically equal to PCE in percent.</w:t>
      </w:r>
    </w:p>
    <w:p w14:paraId="098DAA02" w14:textId="2791D356" w:rsidR="00661FDC" w:rsidRPr="00815086" w:rsidRDefault="00661FDC">
      <w:pPr>
        <w:rPr>
          <w:rFonts w:ascii="Times New Roman" w:eastAsia="宋体" w:hAnsi="Times New Roman"/>
          <w:b/>
          <w:sz w:val="26"/>
          <w:szCs w:val="26"/>
        </w:rPr>
      </w:pPr>
      <w:r w:rsidRPr="00815086">
        <w:rPr>
          <w:rFonts w:ascii="Times New Roman" w:eastAsia="宋体" w:hAnsi="Times New Roman"/>
          <w:b/>
          <w:sz w:val="26"/>
          <w:szCs w:val="26"/>
        </w:rPr>
        <w:t>EQE Spectra and Bandgap</w:t>
      </w:r>
    </w:p>
    <w:p w14:paraId="6AE53491" w14:textId="42DBB09F" w:rsidR="00661FDC" w:rsidRPr="00661FDC" w:rsidRDefault="00661FDC">
      <w:pPr>
        <w:rPr>
          <w:rFonts w:ascii="Times New Roman" w:eastAsia="宋体" w:hAnsi="Times New Roman"/>
          <w:bCs/>
          <w:sz w:val="25"/>
        </w:rPr>
      </w:pPr>
      <w:r>
        <w:rPr>
          <w:rFonts w:ascii="Times New Roman" w:eastAsia="宋体" w:hAnsi="Times New Roman"/>
        </w:rPr>
        <w:t>The EQE spectra show that the normal-bandgap perovskite absorbs to longer wavelengths, while the wide-bandgap perovskite has an earlier absorption cutoff. Therefore, the normal-bandgap device can collect more red photons and generates a larger JSC.</w:t>
      </w:r>
    </w:p>
    <w:p w14:paraId="0B6F415B" w14:textId="50E1EBD2" w:rsidR="00661FDC" w:rsidRDefault="00661FDC" w:rsidP="00815086">
      <w:pPr>
        <w:jc w:val="center"/>
        <w:rPr>
          <w:rFonts w:ascii="Times New Roman" w:eastAsiaTheme="minorEastAsia" w:hAnsi="Times New Roman" w:cs="Times New Roman"/>
          <w:b/>
          <w:bCs/>
        </w:rPr>
      </w:pPr>
      <w:r>
        <w:rPr>
          <w:noProof/>
        </w:rPr>
        <w:drawing>
          <wp:inline distT="0" distB="0" distL="0" distR="0" wp14:anchorId="65D1FC47" wp14:editId="053FF7FB">
            <wp:extent cx="5274310" cy="3399155"/>
            <wp:effectExtent l="0" t="0" r="2540" b="0"/>
            <wp:docPr id="17417315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3399155"/>
                    </a:xfrm>
                    <a:prstGeom prst="rect">
                      <a:avLst/>
                    </a:prstGeom>
                    <a:noFill/>
                    <a:ln>
                      <a:noFill/>
                    </a:ln>
                  </pic:spPr>
                </pic:pic>
              </a:graphicData>
            </a:graphic>
          </wp:inline>
        </w:drawing>
      </w:r>
    </w:p>
    <w:p w14:paraId="0B7470F7" w14:textId="71E27B4A" w:rsidR="00815086" w:rsidRDefault="00815086" w:rsidP="00815086">
      <w:pPr>
        <w:jc w:val="center"/>
        <w:rPr>
          <w:rFonts w:ascii="Times New Roman" w:eastAsiaTheme="minorEastAsia" w:hAnsi="Times New Roman" w:cs="Times New Roman" w:hint="eastAsia"/>
          <w:b/>
          <w:bCs/>
        </w:rPr>
      </w:pPr>
      <w:r>
        <w:t xml:space="preserve">Figure </w:t>
      </w:r>
      <w:r>
        <w:rPr>
          <w:rFonts w:eastAsiaTheme="minorEastAsia" w:hint="eastAsia"/>
        </w:rPr>
        <w:t>4</w:t>
      </w:r>
      <w:r>
        <w:t>. EQE spectra of normal-bandgap perovskite devices.</w:t>
      </w:r>
    </w:p>
    <w:p w14:paraId="5BFEA420" w14:textId="0759E8FA" w:rsidR="00661FDC" w:rsidRDefault="00661FDC">
      <w:pPr>
        <w:rPr>
          <w:rFonts w:ascii="Times New Roman" w:eastAsiaTheme="minorEastAsia" w:hAnsi="Times New Roman" w:cs="Times New Roman"/>
          <w:b/>
          <w:bCs/>
        </w:rPr>
      </w:pPr>
      <w:r>
        <w:rPr>
          <w:noProof/>
        </w:rPr>
        <w:lastRenderedPageBreak/>
        <w:drawing>
          <wp:inline distT="0" distB="0" distL="0" distR="0" wp14:anchorId="0F662812" wp14:editId="5B3A92F1">
            <wp:extent cx="5274310" cy="3539490"/>
            <wp:effectExtent l="0" t="0" r="2540" b="3810"/>
            <wp:docPr id="8349214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3539490"/>
                    </a:xfrm>
                    <a:prstGeom prst="rect">
                      <a:avLst/>
                    </a:prstGeom>
                    <a:noFill/>
                    <a:ln>
                      <a:noFill/>
                    </a:ln>
                  </pic:spPr>
                </pic:pic>
              </a:graphicData>
            </a:graphic>
          </wp:inline>
        </w:drawing>
      </w:r>
    </w:p>
    <w:p w14:paraId="731AE0D6" w14:textId="699CFA04" w:rsidR="00815086" w:rsidRDefault="00815086" w:rsidP="00815086">
      <w:pPr>
        <w:jc w:val="center"/>
        <w:rPr>
          <w:rFonts w:ascii="Times New Roman" w:eastAsiaTheme="minorEastAsia" w:hAnsi="Times New Roman" w:cs="Times New Roman" w:hint="eastAsia"/>
          <w:b/>
          <w:bCs/>
        </w:rPr>
      </w:pPr>
      <w:r>
        <w:t xml:space="preserve">Figure </w:t>
      </w:r>
      <w:r>
        <w:rPr>
          <w:rFonts w:eastAsiaTheme="minorEastAsia" w:hint="eastAsia"/>
        </w:rPr>
        <w:t>5</w:t>
      </w:r>
      <w:r>
        <w:t xml:space="preserve">. EQE spectra of </w:t>
      </w:r>
      <w:r>
        <w:rPr>
          <w:rFonts w:eastAsiaTheme="minorEastAsia" w:hint="eastAsia"/>
        </w:rPr>
        <w:t>wide</w:t>
      </w:r>
      <w:r>
        <w:t>-bandgap perovskite devices.</w:t>
      </w:r>
    </w:p>
    <w:tbl>
      <w:tblPr>
        <w:tblStyle w:val="af2"/>
        <w:tblW w:w="0" w:type="auto"/>
        <w:jc w:val="center"/>
        <w:tblLook w:val="04A0" w:firstRow="1" w:lastRow="0" w:firstColumn="1" w:lastColumn="0" w:noHBand="0" w:noVBand="1"/>
      </w:tblPr>
      <w:tblGrid>
        <w:gridCol w:w="1365"/>
        <w:gridCol w:w="1437"/>
        <w:gridCol w:w="1391"/>
        <w:gridCol w:w="1327"/>
        <w:gridCol w:w="1391"/>
        <w:gridCol w:w="1385"/>
      </w:tblGrid>
      <w:tr w:rsidR="00661FDC" w14:paraId="349E007D" w14:textId="77777777" w:rsidTr="00815086">
        <w:trPr>
          <w:jc w:val="center"/>
        </w:trPr>
        <w:tc>
          <w:tcPr>
            <w:tcW w:w="1365" w:type="dxa"/>
            <w:vAlign w:val="center"/>
          </w:tcPr>
          <w:p w14:paraId="3E29D821" w14:textId="77777777" w:rsidR="00661FDC" w:rsidRDefault="00661FDC" w:rsidP="004A56EB">
            <w:r>
              <w:rPr>
                <w:rFonts w:ascii="Times New Roman" w:eastAsia="宋体" w:hAnsi="Times New Roman"/>
                <w:b/>
                <w:sz w:val="17"/>
              </w:rPr>
              <w:t>Device</w:t>
            </w:r>
          </w:p>
        </w:tc>
        <w:tc>
          <w:tcPr>
            <w:tcW w:w="1437" w:type="dxa"/>
            <w:vAlign w:val="center"/>
          </w:tcPr>
          <w:p w14:paraId="665531D8" w14:textId="77777777" w:rsidR="00661FDC" w:rsidRDefault="00661FDC" w:rsidP="004A56EB">
            <w:pPr>
              <w:jc w:val="center"/>
            </w:pPr>
            <w:r>
              <w:rPr>
                <w:rFonts w:ascii="Times New Roman" w:eastAsia="宋体" w:hAnsi="Times New Roman"/>
                <w:b/>
                <w:sz w:val="17"/>
              </w:rPr>
              <w:t>Linear absorption edge (nm)</w:t>
            </w:r>
          </w:p>
        </w:tc>
        <w:tc>
          <w:tcPr>
            <w:tcW w:w="1391" w:type="dxa"/>
            <w:vAlign w:val="center"/>
          </w:tcPr>
          <w:p w14:paraId="6D660CB9" w14:textId="77777777" w:rsidR="00661FDC" w:rsidRDefault="00661FDC" w:rsidP="004A56EB">
            <w:pPr>
              <w:jc w:val="center"/>
            </w:pPr>
            <w:r>
              <w:rPr>
                <w:rFonts w:ascii="Times New Roman" w:eastAsia="宋体" w:hAnsi="Times New Roman"/>
                <w:b/>
                <w:sz w:val="17"/>
              </w:rPr>
              <w:t>Bandgap from linear edge (eV)</w:t>
            </w:r>
          </w:p>
        </w:tc>
        <w:tc>
          <w:tcPr>
            <w:tcW w:w="1327" w:type="dxa"/>
            <w:vAlign w:val="center"/>
          </w:tcPr>
          <w:p w14:paraId="7F030C90" w14:textId="77777777" w:rsidR="00661FDC" w:rsidRDefault="00661FDC" w:rsidP="004A56EB">
            <w:pPr>
              <w:jc w:val="center"/>
            </w:pPr>
            <w:r>
              <w:rPr>
                <w:rFonts w:ascii="Times New Roman" w:eastAsia="宋体" w:hAnsi="Times New Roman"/>
                <w:b/>
                <w:sz w:val="17"/>
              </w:rPr>
              <w:t>50% EQE edge (nm)</w:t>
            </w:r>
          </w:p>
        </w:tc>
        <w:tc>
          <w:tcPr>
            <w:tcW w:w="1391" w:type="dxa"/>
            <w:vAlign w:val="center"/>
          </w:tcPr>
          <w:p w14:paraId="3305FE27" w14:textId="77777777" w:rsidR="00661FDC" w:rsidRDefault="00661FDC" w:rsidP="004A56EB">
            <w:pPr>
              <w:jc w:val="center"/>
            </w:pPr>
            <w:r>
              <w:rPr>
                <w:rFonts w:ascii="Times New Roman" w:eastAsia="宋体" w:hAnsi="Times New Roman"/>
                <w:b/>
                <w:sz w:val="17"/>
              </w:rPr>
              <w:t>Bandgap from 50% edge (eV)</w:t>
            </w:r>
          </w:p>
        </w:tc>
        <w:tc>
          <w:tcPr>
            <w:tcW w:w="1385" w:type="dxa"/>
            <w:vAlign w:val="center"/>
          </w:tcPr>
          <w:p w14:paraId="07F3F22B" w14:textId="77777777" w:rsidR="00661FDC" w:rsidRDefault="00661FDC" w:rsidP="004A56EB">
            <w:pPr>
              <w:jc w:val="center"/>
            </w:pPr>
            <w:r>
              <w:rPr>
                <w:rFonts w:ascii="Times New Roman" w:eastAsia="宋体" w:hAnsi="Times New Roman"/>
                <w:b/>
                <w:sz w:val="17"/>
              </w:rPr>
              <w:t>Final reported bandgap</w:t>
            </w:r>
          </w:p>
        </w:tc>
      </w:tr>
      <w:tr w:rsidR="00661FDC" w14:paraId="521F6973" w14:textId="77777777" w:rsidTr="00815086">
        <w:trPr>
          <w:jc w:val="center"/>
        </w:trPr>
        <w:tc>
          <w:tcPr>
            <w:tcW w:w="1365" w:type="dxa"/>
            <w:vAlign w:val="center"/>
          </w:tcPr>
          <w:p w14:paraId="2C857CF9" w14:textId="77777777" w:rsidR="00661FDC" w:rsidRDefault="00661FDC" w:rsidP="004A56EB">
            <w:r>
              <w:rPr>
                <w:rFonts w:ascii="Times New Roman" w:eastAsia="宋体" w:hAnsi="Times New Roman"/>
                <w:sz w:val="17"/>
              </w:rPr>
              <w:t>Normal-bandgap</w:t>
            </w:r>
          </w:p>
        </w:tc>
        <w:tc>
          <w:tcPr>
            <w:tcW w:w="1437" w:type="dxa"/>
            <w:vAlign w:val="center"/>
          </w:tcPr>
          <w:p w14:paraId="181833D4" w14:textId="77777777" w:rsidR="00661FDC" w:rsidRDefault="00661FDC" w:rsidP="004A56EB">
            <w:pPr>
              <w:jc w:val="center"/>
            </w:pPr>
            <w:r>
              <w:rPr>
                <w:rFonts w:ascii="Times New Roman" w:eastAsia="宋体" w:hAnsi="Times New Roman"/>
                <w:sz w:val="17"/>
              </w:rPr>
              <w:t>812.35</w:t>
            </w:r>
          </w:p>
        </w:tc>
        <w:tc>
          <w:tcPr>
            <w:tcW w:w="1391" w:type="dxa"/>
            <w:vAlign w:val="center"/>
          </w:tcPr>
          <w:p w14:paraId="7388F78C" w14:textId="77777777" w:rsidR="00661FDC" w:rsidRDefault="00661FDC" w:rsidP="004A56EB">
            <w:pPr>
              <w:jc w:val="center"/>
            </w:pPr>
            <w:r>
              <w:rPr>
                <w:rFonts w:ascii="Times New Roman" w:eastAsia="宋体" w:hAnsi="Times New Roman"/>
                <w:sz w:val="17"/>
              </w:rPr>
              <w:t>1.526</w:t>
            </w:r>
          </w:p>
        </w:tc>
        <w:tc>
          <w:tcPr>
            <w:tcW w:w="1327" w:type="dxa"/>
            <w:vAlign w:val="center"/>
          </w:tcPr>
          <w:p w14:paraId="688DA427" w14:textId="77777777" w:rsidR="00661FDC" w:rsidRDefault="00661FDC" w:rsidP="004A56EB">
            <w:pPr>
              <w:jc w:val="center"/>
            </w:pPr>
            <w:r>
              <w:rPr>
                <w:rFonts w:ascii="Times New Roman" w:eastAsia="宋体" w:hAnsi="Times New Roman"/>
                <w:sz w:val="17"/>
              </w:rPr>
              <w:t>785.58</w:t>
            </w:r>
          </w:p>
        </w:tc>
        <w:tc>
          <w:tcPr>
            <w:tcW w:w="1391" w:type="dxa"/>
            <w:vAlign w:val="center"/>
          </w:tcPr>
          <w:p w14:paraId="1CDF5465" w14:textId="77777777" w:rsidR="00661FDC" w:rsidRDefault="00661FDC" w:rsidP="004A56EB">
            <w:pPr>
              <w:jc w:val="center"/>
            </w:pPr>
            <w:r>
              <w:rPr>
                <w:rFonts w:ascii="Times New Roman" w:eastAsia="宋体" w:hAnsi="Times New Roman"/>
                <w:sz w:val="17"/>
              </w:rPr>
              <w:t>1.578</w:t>
            </w:r>
          </w:p>
        </w:tc>
        <w:tc>
          <w:tcPr>
            <w:tcW w:w="1385" w:type="dxa"/>
            <w:vAlign w:val="center"/>
          </w:tcPr>
          <w:p w14:paraId="3EB57391" w14:textId="77777777" w:rsidR="00661FDC" w:rsidRDefault="00661FDC" w:rsidP="004A56EB">
            <w:pPr>
              <w:jc w:val="center"/>
            </w:pPr>
            <w:r>
              <w:rPr>
                <w:rFonts w:ascii="Times New Roman" w:eastAsia="宋体" w:hAnsi="Times New Roman"/>
                <w:sz w:val="17"/>
              </w:rPr>
              <w:t>about 1.56 eV</w:t>
            </w:r>
          </w:p>
        </w:tc>
      </w:tr>
      <w:tr w:rsidR="00661FDC" w14:paraId="2803193B" w14:textId="77777777" w:rsidTr="00815086">
        <w:trPr>
          <w:jc w:val="center"/>
        </w:trPr>
        <w:tc>
          <w:tcPr>
            <w:tcW w:w="1365" w:type="dxa"/>
            <w:vAlign w:val="center"/>
          </w:tcPr>
          <w:p w14:paraId="1A1D5093" w14:textId="77777777" w:rsidR="00661FDC" w:rsidRDefault="00661FDC" w:rsidP="004A56EB">
            <w:r>
              <w:rPr>
                <w:rFonts w:ascii="Times New Roman" w:eastAsia="宋体" w:hAnsi="Times New Roman"/>
                <w:sz w:val="17"/>
              </w:rPr>
              <w:t>Wide-bandgap</w:t>
            </w:r>
          </w:p>
        </w:tc>
        <w:tc>
          <w:tcPr>
            <w:tcW w:w="1437" w:type="dxa"/>
            <w:vAlign w:val="center"/>
          </w:tcPr>
          <w:p w14:paraId="71A8CB2D" w14:textId="77777777" w:rsidR="00661FDC" w:rsidRDefault="00661FDC" w:rsidP="004A56EB">
            <w:pPr>
              <w:jc w:val="center"/>
            </w:pPr>
            <w:r>
              <w:rPr>
                <w:rFonts w:ascii="Times New Roman" w:eastAsia="宋体" w:hAnsi="Times New Roman"/>
                <w:sz w:val="17"/>
              </w:rPr>
              <w:t>676.95</w:t>
            </w:r>
          </w:p>
        </w:tc>
        <w:tc>
          <w:tcPr>
            <w:tcW w:w="1391" w:type="dxa"/>
            <w:vAlign w:val="center"/>
          </w:tcPr>
          <w:p w14:paraId="73876AE4" w14:textId="77777777" w:rsidR="00661FDC" w:rsidRDefault="00661FDC" w:rsidP="004A56EB">
            <w:pPr>
              <w:jc w:val="center"/>
            </w:pPr>
            <w:r>
              <w:rPr>
                <w:rFonts w:ascii="Times New Roman" w:eastAsia="宋体" w:hAnsi="Times New Roman"/>
                <w:sz w:val="17"/>
              </w:rPr>
              <w:t>1.832</w:t>
            </w:r>
          </w:p>
        </w:tc>
        <w:tc>
          <w:tcPr>
            <w:tcW w:w="1327" w:type="dxa"/>
            <w:vAlign w:val="center"/>
          </w:tcPr>
          <w:p w14:paraId="2D1C9C3F" w14:textId="77777777" w:rsidR="00661FDC" w:rsidRDefault="00661FDC" w:rsidP="004A56EB">
            <w:pPr>
              <w:jc w:val="center"/>
            </w:pPr>
            <w:r>
              <w:rPr>
                <w:rFonts w:ascii="Times New Roman" w:eastAsia="宋体" w:hAnsi="Times New Roman"/>
                <w:sz w:val="17"/>
              </w:rPr>
              <w:t>659.02</w:t>
            </w:r>
          </w:p>
        </w:tc>
        <w:tc>
          <w:tcPr>
            <w:tcW w:w="1391" w:type="dxa"/>
            <w:vAlign w:val="center"/>
          </w:tcPr>
          <w:p w14:paraId="3DA2FA9F" w14:textId="77777777" w:rsidR="00661FDC" w:rsidRDefault="00661FDC" w:rsidP="004A56EB">
            <w:pPr>
              <w:jc w:val="center"/>
            </w:pPr>
            <w:r>
              <w:rPr>
                <w:rFonts w:ascii="Times New Roman" w:eastAsia="宋体" w:hAnsi="Times New Roman"/>
                <w:sz w:val="17"/>
              </w:rPr>
              <w:t>1.882</w:t>
            </w:r>
          </w:p>
        </w:tc>
        <w:tc>
          <w:tcPr>
            <w:tcW w:w="1385" w:type="dxa"/>
            <w:vAlign w:val="center"/>
          </w:tcPr>
          <w:p w14:paraId="30758885" w14:textId="77777777" w:rsidR="00661FDC" w:rsidRDefault="00661FDC" w:rsidP="004A56EB">
            <w:pPr>
              <w:jc w:val="center"/>
            </w:pPr>
            <w:r>
              <w:rPr>
                <w:rFonts w:ascii="Times New Roman" w:eastAsia="宋体" w:hAnsi="Times New Roman"/>
                <w:sz w:val="17"/>
              </w:rPr>
              <w:t>about 1.83 eV</w:t>
            </w:r>
          </w:p>
        </w:tc>
      </w:tr>
    </w:tbl>
    <w:p w14:paraId="19EBA7C8" w14:textId="177391F7" w:rsidR="00661FDC" w:rsidRPr="00815086" w:rsidRDefault="00815086" w:rsidP="00815086">
      <w:pPr>
        <w:jc w:val="center"/>
        <w:rPr>
          <w:rFonts w:eastAsiaTheme="minorEastAsia" w:hint="eastAsia"/>
        </w:rPr>
      </w:pPr>
      <w:r>
        <w:t xml:space="preserve">Table </w:t>
      </w:r>
      <w:r>
        <w:rPr>
          <w:rFonts w:eastAsiaTheme="minorEastAsia" w:hint="eastAsia"/>
        </w:rPr>
        <w:t>4</w:t>
      </w:r>
      <w:r>
        <w:t>. Bandgap estimates from the long-wavelength EQE absorption edge.</w:t>
      </w:r>
    </w:p>
    <w:p w14:paraId="7DAF0398" w14:textId="35ECDB46" w:rsidR="00661FDC" w:rsidRDefault="00661FDC">
      <w:pPr>
        <w:rPr>
          <w:rFonts w:ascii="Times New Roman" w:eastAsiaTheme="minorEastAsia" w:hAnsi="Times New Roman" w:cs="Times New Roman" w:hint="eastAsia"/>
          <w:b/>
          <w:bCs/>
        </w:rPr>
      </w:pPr>
      <w:r>
        <w:rPr>
          <w:rFonts w:ascii="Times New Roman" w:eastAsia="宋体" w:hAnsi="Times New Roman"/>
        </w:rPr>
        <w:t xml:space="preserve">The bandgap was estimated using Eg = </w:t>
      </w:r>
      <m:oMath>
        <m:r>
          <w:rPr>
            <w:rFonts w:ascii="Cambria Math" w:eastAsia="宋体" w:hAnsi="Cambria Math"/>
          </w:rPr>
          <m:t>1240</m:t>
        </m:r>
        <m:r>
          <m:rPr>
            <m:lit/>
          </m:rPr>
          <w:rPr>
            <w:rFonts w:ascii="Cambria Math" w:eastAsia="宋体" w:hAnsi="Cambria Math"/>
          </w:rPr>
          <m:t>/</m:t>
        </m:r>
        <m:sSub>
          <m:sSubPr>
            <m:ctrlPr>
              <w:rPr>
                <w:rFonts w:ascii="Cambria Math" w:eastAsia="宋体" w:hAnsi="Cambria Math"/>
                <w:i/>
              </w:rPr>
            </m:ctrlPr>
          </m:sSubPr>
          <m:e>
            <m:r>
              <m:rPr>
                <m:sty m:val="p"/>
              </m:rPr>
              <w:rPr>
                <w:rFonts w:ascii="Cambria Math" w:eastAsia="宋体" w:hAnsi="Cambria Math"/>
              </w:rPr>
              <m:t>λ</m:t>
            </m:r>
          </m:e>
          <m:sub>
            <m:r>
              <w:rPr>
                <w:rFonts w:ascii="Cambria Math" w:eastAsia="宋体" w:hAnsi="Cambria Math"/>
              </w:rPr>
              <m:t>edge</m:t>
            </m:r>
          </m:sub>
        </m:sSub>
      </m:oMath>
      <w:r>
        <w:rPr>
          <w:rFonts w:ascii="Times New Roman" w:eastAsia="宋体" w:hAnsi="Times New Roman"/>
        </w:rPr>
        <w:t xml:space="preserve">, where Eg is in eV and </w:t>
      </w:r>
      <m:oMath>
        <m:sSub>
          <m:sSubPr>
            <m:ctrlPr>
              <w:rPr>
                <w:rFonts w:ascii="Cambria Math" w:eastAsia="宋体" w:hAnsi="Cambria Math"/>
                <w:i/>
              </w:rPr>
            </m:ctrlPr>
          </m:sSubPr>
          <m:e>
            <m:r>
              <m:rPr>
                <m:sty m:val="p"/>
              </m:rPr>
              <w:rPr>
                <w:rFonts w:ascii="Cambria Math" w:eastAsia="宋体" w:hAnsi="Cambria Math"/>
              </w:rPr>
              <m:t>λ</m:t>
            </m:r>
            <m:ctrlPr>
              <w:rPr>
                <w:rFonts w:ascii="Cambria Math" w:eastAsia="宋体" w:hAnsi="Cambria Math"/>
              </w:rPr>
            </m:ctrlPr>
          </m:e>
          <m:sub>
            <m:r>
              <w:rPr>
                <w:rFonts w:ascii="Cambria Math" w:eastAsia="宋体" w:hAnsi="Cambria Math"/>
              </w:rPr>
              <m:t>edge</m:t>
            </m:r>
          </m:sub>
        </m:sSub>
      </m:oMath>
      <w:r>
        <w:rPr>
          <w:rFonts w:ascii="Times New Roman" w:eastAsia="宋体" w:hAnsi="Times New Roman"/>
        </w:rPr>
        <w:t xml:space="preserve"> is in nm. For the wide-bandgap raw EQE export in the WBG-EQE folder, linear extrapolation gives an absorption edge of 678.79 nm and Eg = 1.827 eV, which is very close to the Origin-figure estimate of about 1.83 eV.</w:t>
      </w:r>
    </w:p>
    <w:p w14:paraId="6784D668" w14:textId="7841A617" w:rsidR="000237DD" w:rsidRPr="00815086" w:rsidRDefault="000237DD">
      <w:pPr>
        <w:rPr>
          <w:rFonts w:ascii="Times New Roman" w:eastAsiaTheme="minorEastAsia" w:hAnsi="Times New Roman" w:cs="Times New Roman"/>
          <w:b/>
          <w:bCs/>
          <w:sz w:val="28"/>
          <w:szCs w:val="28"/>
        </w:rPr>
      </w:pPr>
      <w:r w:rsidRPr="00815086">
        <w:rPr>
          <w:rFonts w:ascii="Times New Roman" w:eastAsiaTheme="minorEastAsia" w:hAnsi="Times New Roman" w:cs="Times New Roman" w:hint="eastAsia"/>
          <w:b/>
          <w:bCs/>
          <w:sz w:val="28"/>
          <w:szCs w:val="28"/>
        </w:rPr>
        <w:t>Discussion</w:t>
      </w:r>
    </w:p>
    <w:p w14:paraId="38256AA9" w14:textId="21DB1090" w:rsidR="00661FDC" w:rsidRPr="00815086" w:rsidRDefault="00661FDC">
      <w:pPr>
        <w:rPr>
          <w:rFonts w:ascii="Times New Roman" w:eastAsia="宋体" w:hAnsi="Times New Roman"/>
          <w:b/>
          <w:sz w:val="26"/>
          <w:szCs w:val="26"/>
        </w:rPr>
      </w:pPr>
      <w:r w:rsidRPr="00815086">
        <w:rPr>
          <w:rFonts w:ascii="Times New Roman" w:eastAsia="宋体" w:hAnsi="Times New Roman"/>
          <w:b/>
          <w:sz w:val="26"/>
          <w:szCs w:val="26"/>
        </w:rPr>
        <w:t>Question 1. What are the functions of each layer in the perovskite solar cell</w:t>
      </w:r>
      <w:r w:rsidRPr="00815086">
        <w:rPr>
          <w:rFonts w:ascii="Times New Roman" w:eastAsia="宋体" w:hAnsi="Times New Roman" w:hint="eastAsia"/>
          <w:b/>
          <w:sz w:val="26"/>
          <w:szCs w:val="26"/>
        </w:rPr>
        <w:t>?</w:t>
      </w:r>
    </w:p>
    <w:p w14:paraId="509048AB" w14:textId="1D9B0A79" w:rsidR="00661FDC" w:rsidRDefault="00661FDC">
      <w:pPr>
        <w:rPr>
          <w:rFonts w:ascii="Times New Roman" w:eastAsia="宋体" w:hAnsi="Times New Roman"/>
        </w:rPr>
      </w:pPr>
      <w:r>
        <w:rPr>
          <w:rFonts w:ascii="Times New Roman" w:eastAsia="宋体" w:hAnsi="Times New Roman"/>
        </w:rPr>
        <w:t xml:space="preserve">ITO/glass is the transparent conducting substrate. It allows light to enter the device and collects carriers at the front contact. The HTL, 4PADCB, selectively extracts holes and blocks electrons, reducing interfacial recombination at the ITO side. The perovskite layer is the light absorber; it generates electron-hole pairs and transports carriers. The ETL, PC61BM, selectively extracts electrons and blocks holes. BCP works as a hole blocking layer and </w:t>
      </w:r>
      <w:r>
        <w:rPr>
          <w:rFonts w:ascii="Times New Roman" w:eastAsia="宋体" w:hAnsi="Times New Roman"/>
        </w:rPr>
        <w:lastRenderedPageBreak/>
        <w:t>improves electron-selective contact with the metal electrode. The metal electrode collects electrons and closes the external circuit.</w:t>
      </w:r>
    </w:p>
    <w:p w14:paraId="548CB81E" w14:textId="74917612" w:rsidR="00661FDC" w:rsidRPr="00815086" w:rsidRDefault="00661FDC">
      <w:pPr>
        <w:rPr>
          <w:rFonts w:ascii="Times New Roman" w:eastAsia="宋体" w:hAnsi="Times New Roman"/>
          <w:b/>
          <w:sz w:val="26"/>
          <w:szCs w:val="26"/>
        </w:rPr>
      </w:pPr>
      <w:r w:rsidRPr="00815086">
        <w:rPr>
          <w:rFonts w:ascii="Times New Roman" w:eastAsia="宋体" w:hAnsi="Times New Roman"/>
          <w:b/>
          <w:sz w:val="26"/>
          <w:szCs w:val="26"/>
        </w:rPr>
        <w:t>Question 2. What is the purpose of anti-solvent during the perovskite film deposition</w:t>
      </w:r>
      <w:r w:rsidRPr="00815086">
        <w:rPr>
          <w:rFonts w:ascii="Times New Roman" w:eastAsia="宋体" w:hAnsi="Times New Roman" w:hint="eastAsia"/>
          <w:b/>
          <w:sz w:val="26"/>
          <w:szCs w:val="26"/>
        </w:rPr>
        <w:t>?</w:t>
      </w:r>
    </w:p>
    <w:p w14:paraId="3601B8C6" w14:textId="02AB0E7D" w:rsidR="00661FDC" w:rsidRDefault="00661FDC">
      <w:pPr>
        <w:rPr>
          <w:rFonts w:ascii="Times New Roman" w:eastAsia="宋体" w:hAnsi="Times New Roman"/>
        </w:rPr>
      </w:pPr>
      <w:r>
        <w:rPr>
          <w:rFonts w:ascii="Times New Roman" w:eastAsia="宋体" w:hAnsi="Times New Roman"/>
        </w:rPr>
        <w:t>The anti-solvent, chlorobenzene, rapidly extracts the host solvent from the wet precursor film during spin coating. This causes fast supersaturation and nucleation, helps form a compact and uniform intermediate film, and reduces pinholes after annealing. A good anti-solvent step improves film morphology, carrier transport, shunt resistance, and device reproducibility.</w:t>
      </w:r>
    </w:p>
    <w:p w14:paraId="64287E1C" w14:textId="00C50054" w:rsidR="00661FDC" w:rsidRPr="00815086" w:rsidRDefault="00661FDC">
      <w:pPr>
        <w:rPr>
          <w:rFonts w:ascii="Times New Roman" w:eastAsia="宋体" w:hAnsi="Times New Roman"/>
          <w:b/>
          <w:sz w:val="26"/>
          <w:szCs w:val="26"/>
        </w:rPr>
      </w:pPr>
      <w:r w:rsidRPr="00815086">
        <w:rPr>
          <w:rFonts w:ascii="Times New Roman" w:eastAsia="宋体" w:hAnsi="Times New Roman"/>
          <w:b/>
          <w:sz w:val="26"/>
          <w:szCs w:val="26"/>
        </w:rPr>
        <w:t>Question 3. Why does the normal-bandgap perovskite give higher PCE and JSC, but lower VOC than the wide-bandgap perovskite</w:t>
      </w:r>
      <w:r w:rsidRPr="00815086">
        <w:rPr>
          <w:rFonts w:ascii="Times New Roman" w:eastAsia="宋体" w:hAnsi="Times New Roman" w:hint="eastAsia"/>
          <w:b/>
          <w:sz w:val="26"/>
          <w:szCs w:val="26"/>
        </w:rPr>
        <w:t>?</w:t>
      </w:r>
    </w:p>
    <w:p w14:paraId="1C9ED37A" w14:textId="77777777" w:rsidR="00661FDC" w:rsidRDefault="00661FDC" w:rsidP="00661FDC">
      <w:pPr>
        <w:spacing w:after="100" w:line="259" w:lineRule="auto"/>
      </w:pPr>
      <w:r>
        <w:rPr>
          <w:rFonts w:ascii="Times New Roman" w:eastAsia="宋体" w:hAnsi="Times New Roman"/>
        </w:rPr>
        <w:t>The normal-bandgap perovskite has a smaller bandgap, so it absorbs longer-wavelength photons and uses a larger part of the solar spectrum. Therefore, it gives a higher JSC. In the measured curves, the normal-bandgap cells have an average JSC of about 25.03 mA cm-2, much higher than the wide-bandgap average of about 14.17 mA cm-2. This larger current also leads to a higher PCE for the normal-bandgap cells. However, VOC is limited by the absorber bandgap. A wide-bandgap absorber can provide a larger quasi-Fermi-level splitting, so the wide-bandgap cells show a higher VOC of about 1.345 V, compared with about 1.167 V for the normal-bandgap cells.</w:t>
      </w:r>
    </w:p>
    <w:p w14:paraId="40D11C58" w14:textId="01AB5C38" w:rsidR="00661FDC" w:rsidRPr="00815086" w:rsidRDefault="00661FDC">
      <w:pPr>
        <w:rPr>
          <w:rFonts w:ascii="Times New Roman" w:eastAsia="宋体" w:hAnsi="Times New Roman"/>
          <w:b/>
          <w:sz w:val="26"/>
          <w:szCs w:val="26"/>
        </w:rPr>
      </w:pPr>
      <w:r w:rsidRPr="00815086">
        <w:rPr>
          <w:rFonts w:ascii="Times New Roman" w:eastAsia="宋体" w:hAnsi="Times New Roman"/>
          <w:b/>
          <w:sz w:val="26"/>
          <w:szCs w:val="26"/>
        </w:rPr>
        <w:t>Question 4. What is the application of wide-bandgap perovskite solar cell</w:t>
      </w:r>
      <w:r w:rsidRPr="00815086">
        <w:rPr>
          <w:rFonts w:ascii="Times New Roman" w:eastAsia="宋体" w:hAnsi="Times New Roman" w:hint="eastAsia"/>
          <w:b/>
          <w:sz w:val="26"/>
          <w:szCs w:val="26"/>
        </w:rPr>
        <w:t>?</w:t>
      </w:r>
    </w:p>
    <w:p w14:paraId="0B18710F" w14:textId="11776FD8" w:rsidR="00661FDC" w:rsidRDefault="00661FDC">
      <w:pPr>
        <w:rPr>
          <w:rFonts w:ascii="Times New Roman" w:eastAsia="宋体" w:hAnsi="Times New Roman"/>
        </w:rPr>
      </w:pPr>
      <w:r>
        <w:rPr>
          <w:rFonts w:ascii="Times New Roman" w:eastAsia="宋体" w:hAnsi="Times New Roman"/>
        </w:rPr>
        <w:t>Wide-bandgap perovskite solar cells are mainly used as top cells in tandem photovoltaics. In a perovskite/silicon tandem or all-perovskite tandem cell, the wide-bandgap top cell absorbs high-energy visible photons and transmits lower-energy photons to the bottom cell. This spectral splitting reduces thermalization loss and can increase efficiency beyond the single-junction limit. Wide-bandgap perovskites can also be used in semi-transparent and building-integrated photovoltaic devices.</w:t>
      </w:r>
    </w:p>
    <w:p w14:paraId="1950D411" w14:textId="43E53454" w:rsidR="00661FDC" w:rsidRPr="00815086" w:rsidRDefault="00661FDC">
      <w:pPr>
        <w:rPr>
          <w:rFonts w:ascii="Times New Roman" w:eastAsia="宋体" w:hAnsi="Times New Roman"/>
          <w:b/>
          <w:sz w:val="26"/>
          <w:szCs w:val="26"/>
        </w:rPr>
      </w:pPr>
      <w:r w:rsidRPr="00815086">
        <w:rPr>
          <w:rFonts w:ascii="Times New Roman" w:eastAsia="宋体" w:hAnsi="Times New Roman"/>
          <w:b/>
          <w:sz w:val="26"/>
          <w:szCs w:val="26"/>
        </w:rPr>
        <w:t>Question 5. What are the estimated bandgaps of the perovskites based on the measured EQE spectra</w:t>
      </w:r>
      <w:r w:rsidRPr="00815086">
        <w:rPr>
          <w:rFonts w:ascii="Times New Roman" w:eastAsia="宋体" w:hAnsi="Times New Roman" w:hint="eastAsia"/>
          <w:b/>
          <w:sz w:val="26"/>
          <w:szCs w:val="26"/>
        </w:rPr>
        <w:t>?</w:t>
      </w:r>
    </w:p>
    <w:p w14:paraId="5D82B2E8" w14:textId="4D057791" w:rsidR="00D57F7D" w:rsidRDefault="00661FDC">
      <w:pPr>
        <w:rPr>
          <w:rFonts w:ascii="Times New Roman" w:eastAsia="宋体" w:hAnsi="Times New Roman"/>
        </w:rPr>
      </w:pPr>
      <w:r>
        <w:rPr>
          <w:rFonts w:ascii="Times New Roman" w:eastAsia="宋体" w:hAnsi="Times New Roman"/>
        </w:rPr>
        <w:t xml:space="preserve">The bandgap was estimated from the EQE absorption edge using Eg = </w:t>
      </w:r>
      <m:oMath>
        <m:r>
          <w:rPr>
            <w:rFonts w:ascii="Cambria Math" w:eastAsia="宋体" w:hAnsi="Cambria Math"/>
          </w:rPr>
          <m:t>1240</m:t>
        </m:r>
        <m:r>
          <m:rPr>
            <m:lit/>
          </m:rPr>
          <w:rPr>
            <w:rFonts w:ascii="Cambria Math" w:eastAsia="宋体" w:hAnsi="Cambria Math"/>
          </w:rPr>
          <m:t>/</m:t>
        </m:r>
        <m:sSub>
          <m:sSubPr>
            <m:ctrlPr>
              <w:rPr>
                <w:rFonts w:ascii="Cambria Math" w:eastAsia="宋体" w:hAnsi="Cambria Math"/>
                <w:i/>
              </w:rPr>
            </m:ctrlPr>
          </m:sSubPr>
          <m:e>
            <m:r>
              <m:rPr>
                <m:sty m:val="p"/>
              </m:rPr>
              <w:rPr>
                <w:rFonts w:ascii="Cambria Math" w:eastAsia="宋体" w:hAnsi="Cambria Math"/>
              </w:rPr>
              <m:t>λ</m:t>
            </m:r>
          </m:e>
          <m:sub>
            <m:r>
              <w:rPr>
                <w:rFonts w:ascii="Cambria Math" w:eastAsia="宋体" w:hAnsi="Cambria Math"/>
              </w:rPr>
              <m:t>edge</m:t>
            </m:r>
          </m:sub>
        </m:sSub>
      </m:oMath>
      <w:r>
        <w:rPr>
          <w:rFonts w:ascii="Times New Roman" w:eastAsia="宋体" w:hAnsi="Times New Roman"/>
        </w:rPr>
        <w:t>. For the normal-bandgap perovskite, the EQE edge gives a bandgap around 1.53 eV by linear extrapolation and around 1.58 eV by the 50% EQE method. Therefore, the normal-bandgap perovskite is reported as approximately 1.56 eV. For the wide-bandgap perovskite, the linear edge gives approximately 1.83 eV. The raw WBG-EQE data give Eg = 1.827 eV, so the wide-bandgap perovskite is reported as approximately 1.83 eV, close to the nominal 1.84 eV.</w:t>
      </w:r>
    </w:p>
    <w:p w14:paraId="70C191DB" w14:textId="65D33558" w:rsidR="00661FDC" w:rsidRPr="00D57F7D" w:rsidRDefault="00D57F7D" w:rsidP="00D57F7D">
      <w:pPr>
        <w:widowControl/>
        <w:rPr>
          <w:rFonts w:ascii="Times New Roman" w:eastAsia="宋体" w:hAnsi="Times New Roman" w:hint="eastAsia"/>
        </w:rPr>
      </w:pPr>
      <w:r>
        <w:rPr>
          <w:rFonts w:ascii="Times New Roman" w:eastAsia="宋体" w:hAnsi="Times New Roman"/>
        </w:rPr>
        <w:br w:type="page"/>
      </w:r>
    </w:p>
    <w:p w14:paraId="081B5858" w14:textId="6630A0FA" w:rsidR="000237DD" w:rsidRPr="00815086" w:rsidRDefault="000237DD">
      <w:pPr>
        <w:rPr>
          <w:rFonts w:ascii="Times New Roman" w:eastAsiaTheme="minorEastAsia" w:hAnsi="Times New Roman" w:cs="Times New Roman" w:hint="eastAsia"/>
          <w:b/>
          <w:bCs/>
          <w:sz w:val="28"/>
          <w:szCs w:val="28"/>
        </w:rPr>
      </w:pPr>
      <w:r w:rsidRPr="00815086">
        <w:rPr>
          <w:rFonts w:ascii="Times New Roman" w:eastAsiaTheme="minorEastAsia" w:hAnsi="Times New Roman" w:cs="Times New Roman" w:hint="eastAsia"/>
          <w:b/>
          <w:bCs/>
          <w:sz w:val="28"/>
          <w:szCs w:val="28"/>
        </w:rPr>
        <w:lastRenderedPageBreak/>
        <w:t>Conclusion</w:t>
      </w:r>
    </w:p>
    <w:p w14:paraId="36027BF6" w14:textId="32F0D871" w:rsidR="000237DD" w:rsidRDefault="00661FDC">
      <w:pPr>
        <w:rPr>
          <w:rFonts w:ascii="Times New Roman" w:eastAsia="宋体" w:hAnsi="Times New Roman"/>
        </w:rPr>
      </w:pPr>
      <w:r>
        <w:rPr>
          <w:rFonts w:ascii="Times New Roman" w:eastAsia="宋体" w:hAnsi="Times New Roman"/>
        </w:rPr>
        <w:t>The inverted p-</w:t>
      </w:r>
      <w:proofErr w:type="spellStart"/>
      <w:r>
        <w:rPr>
          <w:rFonts w:ascii="Times New Roman" w:eastAsia="宋体" w:hAnsi="Times New Roman"/>
        </w:rPr>
        <w:t>i</w:t>
      </w:r>
      <w:proofErr w:type="spellEnd"/>
      <w:r>
        <w:rPr>
          <w:rFonts w:ascii="Times New Roman" w:eastAsia="宋体" w:hAnsi="Times New Roman"/>
        </w:rPr>
        <w:t>-n perovskite solar cells were analyzed using J-V and EQE data. The normal-bandgap device shows higher JSC and PCE because it absorbs a wider spectral range, especially longer-wavelength photons. The wide-bandgap device shows higher VOC because its larger bandgap allows a larger photovoltage. Based on the measured EQE spectra, the estimated bandgaps are approximately 1.56 eV for the normal-bandgap perovskite and approximately 1.83 eV for the wide-bandgap perovskite. These values are consistent with the compositions given in the lab manual.</w:t>
      </w:r>
    </w:p>
    <w:p w14:paraId="1DF3614D" w14:textId="5CC1C555" w:rsidR="00661FDC" w:rsidRPr="00815086" w:rsidRDefault="00661FDC">
      <w:pPr>
        <w:rPr>
          <w:rFonts w:ascii="Times New Roman" w:eastAsia="宋体" w:hAnsi="Times New Roman"/>
          <w:b/>
          <w:bCs/>
          <w:sz w:val="28"/>
          <w:szCs w:val="28"/>
        </w:rPr>
      </w:pPr>
      <w:r w:rsidRPr="00815086">
        <w:rPr>
          <w:rFonts w:ascii="Times New Roman" w:eastAsia="宋体" w:hAnsi="Times New Roman" w:hint="eastAsia"/>
          <w:b/>
          <w:bCs/>
          <w:sz w:val="28"/>
          <w:szCs w:val="28"/>
        </w:rPr>
        <w:t>References</w:t>
      </w:r>
    </w:p>
    <w:p w14:paraId="65E84687" w14:textId="77777777" w:rsidR="00661FDC" w:rsidRDefault="00661FDC" w:rsidP="00661FDC">
      <w:pPr>
        <w:spacing w:after="100" w:line="259" w:lineRule="auto"/>
      </w:pPr>
      <w:r>
        <w:rPr>
          <w:rFonts w:ascii="Times New Roman" w:eastAsia="宋体" w:hAnsi="Times New Roman"/>
        </w:rPr>
        <w:t xml:space="preserve">1. EE336 Fundamentals of Photovoltaics, Lab 2: Fabrication and Characterization of Perovskite Solar Cells. 2. WBG-EQE measurement files: C-3_Save_All Data.txt and C-2_Save_All </w:t>
      </w:r>
      <w:proofErr w:type="spellStart"/>
      <w:r>
        <w:rPr>
          <w:rFonts w:ascii="Times New Roman" w:eastAsia="宋体" w:hAnsi="Times New Roman"/>
        </w:rPr>
        <w:t>Data_Save_All</w:t>
      </w:r>
      <w:proofErr w:type="spellEnd"/>
      <w:r>
        <w:rPr>
          <w:rFonts w:ascii="Times New Roman" w:eastAsia="宋体" w:hAnsi="Times New Roman"/>
        </w:rPr>
        <w:t xml:space="preserve"> Data.txt. 3. Origin-style figures in the </w:t>
      </w:r>
      <w:proofErr w:type="spellStart"/>
      <w:r>
        <w:rPr>
          <w:rFonts w:ascii="Times New Roman" w:eastAsia="宋体" w:hAnsi="Times New Roman"/>
        </w:rPr>
        <w:t>report_artifacts</w:t>
      </w:r>
      <w:proofErr w:type="spellEnd"/>
      <w:r>
        <w:rPr>
          <w:rFonts w:ascii="Times New Roman" w:eastAsia="宋体" w:hAnsi="Times New Roman"/>
        </w:rPr>
        <w:t xml:space="preserve"> folder: NBG/WBG J-V and EQE curves.</w:t>
      </w:r>
    </w:p>
    <w:p w14:paraId="1EF5FC61" w14:textId="77777777" w:rsidR="00661FDC" w:rsidRPr="00661FDC" w:rsidRDefault="00661FDC">
      <w:pPr>
        <w:rPr>
          <w:rFonts w:ascii="Times New Roman" w:hAnsi="Times New Roman" w:cs="Times New Roman" w:hint="eastAsia"/>
          <w:b/>
          <w:bCs/>
        </w:rPr>
      </w:pPr>
    </w:p>
    <w:p w14:paraId="5DC25FED" w14:textId="77777777" w:rsidR="000237DD" w:rsidRDefault="000237DD">
      <w:pPr>
        <w:rPr>
          <w:rFonts w:ascii="Times New Roman" w:hAnsi="Times New Roman" w:cs="Times New Roman"/>
          <w:b/>
          <w:bCs/>
        </w:rPr>
      </w:pPr>
    </w:p>
    <w:p w14:paraId="2AE54B1E" w14:textId="77777777" w:rsidR="000237DD" w:rsidRDefault="000237DD">
      <w:pPr>
        <w:rPr>
          <w:rFonts w:ascii="Times New Roman" w:hAnsi="Times New Roman" w:cs="Times New Roman"/>
          <w:b/>
          <w:bCs/>
        </w:rPr>
      </w:pPr>
    </w:p>
    <w:p w14:paraId="6ACB2EEC" w14:textId="77777777" w:rsidR="000237DD" w:rsidRDefault="000237DD">
      <w:pPr>
        <w:rPr>
          <w:rFonts w:ascii="Times New Roman" w:hAnsi="Times New Roman" w:cs="Times New Roman"/>
          <w:b/>
          <w:bCs/>
        </w:rPr>
      </w:pPr>
    </w:p>
    <w:p w14:paraId="534A8FBF" w14:textId="77777777" w:rsidR="000237DD" w:rsidRDefault="000237DD">
      <w:pPr>
        <w:rPr>
          <w:rFonts w:ascii="Times New Roman" w:hAnsi="Times New Roman" w:cs="Times New Roman"/>
          <w:b/>
          <w:bCs/>
        </w:rPr>
      </w:pPr>
    </w:p>
    <w:p w14:paraId="46A6774C" w14:textId="77777777" w:rsidR="000237DD" w:rsidRDefault="000237DD">
      <w:pPr>
        <w:rPr>
          <w:rFonts w:ascii="Times New Roman" w:hAnsi="Times New Roman" w:cs="Times New Roman"/>
          <w:b/>
          <w:bCs/>
        </w:rPr>
      </w:pPr>
    </w:p>
    <w:p w14:paraId="34D61673" w14:textId="77777777" w:rsidR="000237DD" w:rsidRPr="000237DD" w:rsidRDefault="000237DD">
      <w:pPr>
        <w:rPr>
          <w:rFonts w:ascii="Times New Roman" w:hAnsi="Times New Roman" w:cs="Times New Roman" w:hint="eastAsia"/>
          <w:b/>
          <w:bCs/>
        </w:rPr>
      </w:pPr>
    </w:p>
    <w:sectPr w:rsidR="000237DD" w:rsidRPr="000237DD">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FF25F" w14:textId="77777777" w:rsidR="00A14499" w:rsidRDefault="00A14499" w:rsidP="000237DD">
      <w:pPr>
        <w:spacing w:after="0" w:line="240" w:lineRule="auto"/>
        <w:rPr>
          <w:rFonts w:hint="eastAsia"/>
        </w:rPr>
      </w:pPr>
      <w:r>
        <w:separator/>
      </w:r>
    </w:p>
  </w:endnote>
  <w:endnote w:type="continuationSeparator" w:id="0">
    <w:p w14:paraId="5576E385" w14:textId="77777777" w:rsidR="00A14499" w:rsidRDefault="00A14499" w:rsidP="000237D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FA22C" w14:textId="77777777" w:rsidR="000237DD" w:rsidRDefault="000237DD">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FF090" w14:textId="77777777" w:rsidR="000237DD" w:rsidRDefault="000237DD">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AF065" w14:textId="77777777" w:rsidR="000237DD" w:rsidRDefault="000237DD">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54915" w14:textId="77777777" w:rsidR="00A14499" w:rsidRDefault="00A14499" w:rsidP="000237DD">
      <w:pPr>
        <w:spacing w:after="0" w:line="240" w:lineRule="auto"/>
        <w:rPr>
          <w:rFonts w:hint="eastAsia"/>
        </w:rPr>
      </w:pPr>
      <w:r>
        <w:separator/>
      </w:r>
    </w:p>
  </w:footnote>
  <w:footnote w:type="continuationSeparator" w:id="0">
    <w:p w14:paraId="2DAC96CB" w14:textId="77777777" w:rsidR="00A14499" w:rsidRDefault="00A14499" w:rsidP="000237D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69B2F" w14:textId="77777777" w:rsidR="000237DD" w:rsidRDefault="000237DD">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CC3D0" w14:textId="7380E979" w:rsidR="000237DD" w:rsidRDefault="000237DD">
    <w:pPr>
      <w:pStyle w:val="ae"/>
    </w:pPr>
    <w:r>
      <w:rPr>
        <w:rFonts w:ascii="Times New Roman" w:hAnsi="Times New Roman"/>
        <w:b/>
        <w:sz w:val="21"/>
      </w:rPr>
      <w:t>EE336 Fundamentals of Photovoltaics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90A9D" w14:textId="77777777" w:rsidR="000237DD" w:rsidRDefault="000237DD">
    <w:pPr>
      <w:pStyle w:val="a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5C4"/>
    <w:rsid w:val="000237DD"/>
    <w:rsid w:val="001D54E9"/>
    <w:rsid w:val="003F65C4"/>
    <w:rsid w:val="00636041"/>
    <w:rsid w:val="00661FDC"/>
    <w:rsid w:val="00815086"/>
    <w:rsid w:val="00A14499"/>
    <w:rsid w:val="00D57F7D"/>
    <w:rsid w:val="00F23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401A48"/>
  <w15:chartTrackingRefBased/>
  <w15:docId w15:val="{87DEA8B4-B685-4AD4-A7A3-EFE3C7D05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37DD"/>
    <w:pPr>
      <w:widowControl w:val="0"/>
    </w:pPr>
    <w:rPr>
      <w:rFonts w:eastAsia="Times New Roman"/>
    </w:rPr>
  </w:style>
  <w:style w:type="paragraph" w:styleId="1">
    <w:name w:val="heading 1"/>
    <w:basedOn w:val="a"/>
    <w:next w:val="a"/>
    <w:link w:val="10"/>
    <w:uiPriority w:val="9"/>
    <w:qFormat/>
    <w:rsid w:val="003F65C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F65C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F65C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F65C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F65C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F65C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F65C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F65C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F65C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F65C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F65C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F65C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F65C4"/>
    <w:rPr>
      <w:rFonts w:cstheme="majorBidi"/>
      <w:color w:val="0F4761" w:themeColor="accent1" w:themeShade="BF"/>
      <w:sz w:val="28"/>
      <w:szCs w:val="28"/>
    </w:rPr>
  </w:style>
  <w:style w:type="character" w:customStyle="1" w:styleId="50">
    <w:name w:val="标题 5 字符"/>
    <w:basedOn w:val="a0"/>
    <w:link w:val="5"/>
    <w:uiPriority w:val="9"/>
    <w:semiHidden/>
    <w:rsid w:val="003F65C4"/>
    <w:rPr>
      <w:rFonts w:cstheme="majorBidi"/>
      <w:color w:val="0F4761" w:themeColor="accent1" w:themeShade="BF"/>
      <w:sz w:val="24"/>
    </w:rPr>
  </w:style>
  <w:style w:type="character" w:customStyle="1" w:styleId="60">
    <w:name w:val="标题 6 字符"/>
    <w:basedOn w:val="a0"/>
    <w:link w:val="6"/>
    <w:uiPriority w:val="9"/>
    <w:semiHidden/>
    <w:rsid w:val="003F65C4"/>
    <w:rPr>
      <w:rFonts w:cstheme="majorBidi"/>
      <w:b/>
      <w:bCs/>
      <w:color w:val="0F4761" w:themeColor="accent1" w:themeShade="BF"/>
    </w:rPr>
  </w:style>
  <w:style w:type="character" w:customStyle="1" w:styleId="70">
    <w:name w:val="标题 7 字符"/>
    <w:basedOn w:val="a0"/>
    <w:link w:val="7"/>
    <w:uiPriority w:val="9"/>
    <w:semiHidden/>
    <w:rsid w:val="003F65C4"/>
    <w:rPr>
      <w:rFonts w:cstheme="majorBidi"/>
      <w:b/>
      <w:bCs/>
      <w:color w:val="595959" w:themeColor="text1" w:themeTint="A6"/>
    </w:rPr>
  </w:style>
  <w:style w:type="character" w:customStyle="1" w:styleId="80">
    <w:name w:val="标题 8 字符"/>
    <w:basedOn w:val="a0"/>
    <w:link w:val="8"/>
    <w:uiPriority w:val="9"/>
    <w:semiHidden/>
    <w:rsid w:val="003F65C4"/>
    <w:rPr>
      <w:rFonts w:cstheme="majorBidi"/>
      <w:color w:val="595959" w:themeColor="text1" w:themeTint="A6"/>
    </w:rPr>
  </w:style>
  <w:style w:type="character" w:customStyle="1" w:styleId="90">
    <w:name w:val="标题 9 字符"/>
    <w:basedOn w:val="a0"/>
    <w:link w:val="9"/>
    <w:uiPriority w:val="9"/>
    <w:semiHidden/>
    <w:rsid w:val="003F65C4"/>
    <w:rPr>
      <w:rFonts w:eastAsiaTheme="majorEastAsia" w:cstheme="majorBidi"/>
      <w:color w:val="595959" w:themeColor="text1" w:themeTint="A6"/>
    </w:rPr>
  </w:style>
  <w:style w:type="paragraph" w:styleId="a3">
    <w:name w:val="Title"/>
    <w:basedOn w:val="a"/>
    <w:next w:val="a"/>
    <w:link w:val="a4"/>
    <w:uiPriority w:val="10"/>
    <w:qFormat/>
    <w:rsid w:val="003F65C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F65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65C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F65C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65C4"/>
    <w:pPr>
      <w:spacing w:before="160"/>
      <w:jc w:val="center"/>
    </w:pPr>
    <w:rPr>
      <w:i/>
      <w:iCs/>
      <w:color w:val="404040" w:themeColor="text1" w:themeTint="BF"/>
    </w:rPr>
  </w:style>
  <w:style w:type="character" w:customStyle="1" w:styleId="a8">
    <w:name w:val="引用 字符"/>
    <w:basedOn w:val="a0"/>
    <w:link w:val="a7"/>
    <w:uiPriority w:val="29"/>
    <w:rsid w:val="003F65C4"/>
    <w:rPr>
      <w:i/>
      <w:iCs/>
      <w:color w:val="404040" w:themeColor="text1" w:themeTint="BF"/>
    </w:rPr>
  </w:style>
  <w:style w:type="paragraph" w:styleId="a9">
    <w:name w:val="List Paragraph"/>
    <w:basedOn w:val="a"/>
    <w:uiPriority w:val="34"/>
    <w:qFormat/>
    <w:rsid w:val="003F65C4"/>
    <w:pPr>
      <w:ind w:left="720"/>
      <w:contextualSpacing/>
    </w:pPr>
  </w:style>
  <w:style w:type="character" w:styleId="aa">
    <w:name w:val="Intense Emphasis"/>
    <w:basedOn w:val="a0"/>
    <w:uiPriority w:val="21"/>
    <w:qFormat/>
    <w:rsid w:val="003F65C4"/>
    <w:rPr>
      <w:i/>
      <w:iCs/>
      <w:color w:val="0F4761" w:themeColor="accent1" w:themeShade="BF"/>
    </w:rPr>
  </w:style>
  <w:style w:type="paragraph" w:styleId="ab">
    <w:name w:val="Intense Quote"/>
    <w:basedOn w:val="a"/>
    <w:next w:val="a"/>
    <w:link w:val="ac"/>
    <w:uiPriority w:val="30"/>
    <w:qFormat/>
    <w:rsid w:val="003F65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F65C4"/>
    <w:rPr>
      <w:i/>
      <w:iCs/>
      <w:color w:val="0F4761" w:themeColor="accent1" w:themeShade="BF"/>
    </w:rPr>
  </w:style>
  <w:style w:type="character" w:styleId="ad">
    <w:name w:val="Intense Reference"/>
    <w:basedOn w:val="a0"/>
    <w:uiPriority w:val="32"/>
    <w:qFormat/>
    <w:rsid w:val="003F65C4"/>
    <w:rPr>
      <w:b/>
      <w:bCs/>
      <w:smallCaps/>
      <w:color w:val="0F4761" w:themeColor="accent1" w:themeShade="BF"/>
      <w:spacing w:val="5"/>
    </w:rPr>
  </w:style>
  <w:style w:type="paragraph" w:styleId="ae">
    <w:name w:val="header"/>
    <w:basedOn w:val="a"/>
    <w:link w:val="af"/>
    <w:uiPriority w:val="99"/>
    <w:unhideWhenUsed/>
    <w:rsid w:val="000237D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237DD"/>
    <w:rPr>
      <w:sz w:val="18"/>
      <w:szCs w:val="18"/>
    </w:rPr>
  </w:style>
  <w:style w:type="paragraph" w:styleId="af0">
    <w:name w:val="footer"/>
    <w:basedOn w:val="a"/>
    <w:link w:val="af1"/>
    <w:uiPriority w:val="99"/>
    <w:unhideWhenUsed/>
    <w:rsid w:val="000237D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237DD"/>
    <w:rPr>
      <w:sz w:val="18"/>
      <w:szCs w:val="18"/>
    </w:rPr>
  </w:style>
  <w:style w:type="table" w:styleId="af2">
    <w:name w:val="Table Grid"/>
    <w:basedOn w:val="a1"/>
    <w:uiPriority w:val="59"/>
    <w:rsid w:val="00661FDC"/>
    <w:pPr>
      <w:spacing w:after="0" w:line="240" w:lineRule="auto"/>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9</Pages>
  <Words>3600</Words>
  <Characters>10766</Characters>
  <Application>Microsoft Office Word</Application>
  <DocSecurity>0</DocSecurity>
  <Lines>234</Lines>
  <Paragraphs>149</Paragraphs>
  <ScaleCrop>false</ScaleCrop>
  <Company/>
  <LinksUpToDate>false</LinksUpToDate>
  <CharactersWithSpaces>14217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4</cp:revision>
  <dcterms:created xsi:type="dcterms:W3CDTF">2026-04-29T14:29:00Z</dcterms:created>
  <dcterms:modified xsi:type="dcterms:W3CDTF">2026-04-29T15:36:00Z</dcterms:modified>
</cp:coreProperties>
</file>