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pPr>
      <w:r>
        <w:t>Lab 2: Fabrication and Characterization of Perovskite Solar Cells</w:t>
      </w:r>
    </w:p>
    <w:p>
      <w:pPr>
        <w:pStyle w:val="Subtitle"/>
        <w:jc w:val="center"/>
      </w:pPr>
      <w:r>
        <w:t>Experimental Report</w:t>
      </w:r>
    </w:p>
    <w:tbl>
      <w:tblPr>
        <w:tblW w:w="0" w:type="auto"/>
        <w:tblBorders>
          <w:top w:val="single" w:sz="6" w:color="000000"/>
          <w:left w:val="single" w:sz="4" w:color="808080"/>
          <w:bottom w:val="single" w:sz="6" w:color="000000"/>
          <w:right w:val="single" w:sz="4" w:color="808080"/>
          <w:insideH w:val="single" w:sz="4" w:color="BFBFBF"/>
          <w:insideV w:val="single" w:sz="4" w:color="BFBFBF"/>
        </w:tblBorders>
        <w:tblCellMar>
          <w:top w:w="80" w:type="dxa"/>
          <w:left w:w="100" w:type="dxa"/>
          <w:bottom w:w="80" w:type="dxa"/>
          <w:right w:w="100" w:type="dxa"/>
        </w:tblCellMar>
      </w:tblPr>
      <w:tr>
        <w:tc>
          <w:tcPr>
            <w:tcW w:w="2300" w:type="dxa"/>
            <w:shd w:fill="F2F2F2"/>
          </w:tcPr>
          <w:p>
            <w:pPr>
              <w:spacing w:after="0"/>
            </w:pPr>
            <w:r>
              <w:rPr>
                <w:rFonts w:ascii="Times New Roman" w:hAnsi="Times New Roman"/>
                <w:sz w:val="21"/>
                <w:b/>
              </w:rPr>
              <w:t>Course</w:t>
            </w:r>
          </w:p>
        </w:tc>
        <w:tc>
          <w:tcPr>
            <w:tcW w:w="6500" w:type="dxa"/>
            <w:shd w:fill="F2F2F2"/>
          </w:tcPr>
          <w:p>
            <w:pPr>
              <w:spacing w:after="0"/>
            </w:pPr>
            <w:r>
              <w:rPr>
                <w:rFonts w:ascii="Times New Roman" w:hAnsi="Times New Roman"/>
                <w:sz w:val="21"/>
                <w:b/>
              </w:rPr>
              <w:t>EE336 Fundamentals of Photovoltaics</w:t>
            </w:r>
          </w:p>
        </w:tc>
      </w:tr>
      <w:tr>
        <w:tc>
          <w:tcPr>
            <w:tcW w:w="2300" w:type="dxa"/>
          </w:tcPr>
          <w:p>
            <w:pPr>
              <w:spacing w:after="0"/>
            </w:pPr>
            <w:r>
              <w:rPr>
                <w:rFonts w:ascii="Times New Roman" w:hAnsi="Times New Roman"/>
                <w:sz w:val="21"/>
              </w:rPr>
              <w:t>Experiment</w:t>
            </w:r>
          </w:p>
        </w:tc>
        <w:tc>
          <w:tcPr>
            <w:tcW w:w="6500" w:type="dxa"/>
          </w:tcPr>
          <w:p>
            <w:pPr>
              <w:spacing w:after="0"/>
            </w:pPr>
            <w:r>
              <w:rPr>
                <w:rFonts w:ascii="Times New Roman" w:hAnsi="Times New Roman"/>
                <w:sz w:val="21"/>
              </w:rPr>
              <w:t>Lab 2: Fabrication and Characterization of Perovskite Solar Cells</w:t>
            </w:r>
          </w:p>
        </w:tc>
      </w:tr>
      <w:tr>
        <w:tc>
          <w:tcPr>
            <w:tcW w:w="2300" w:type="dxa"/>
          </w:tcPr>
          <w:p>
            <w:pPr>
              <w:spacing w:after="0"/>
            </w:pPr>
            <w:r>
              <w:rPr>
                <w:rFonts w:ascii="Times New Roman" w:hAnsi="Times New Roman"/>
                <w:sz w:val="21"/>
              </w:rPr>
              <w:t>Device types</w:t>
            </w:r>
          </w:p>
        </w:tc>
        <w:tc>
          <w:tcPr>
            <w:tcW w:w="6500" w:type="dxa"/>
          </w:tcPr>
          <w:p>
            <w:pPr>
              <w:spacing w:after="0"/>
            </w:pPr>
            <w:r>
              <w:rPr>
                <w:rFonts w:ascii="Times New Roman" w:hAnsi="Times New Roman"/>
                <w:sz w:val="21"/>
              </w:rPr>
              <w:t>Normal-bandgap (NBG) and wide-bandgap (WBG) perovskite solar cells</w:t>
            </w:r>
          </w:p>
        </w:tc>
      </w:tr>
      <w:tr>
        <w:tc>
          <w:tcPr>
            <w:tcW w:w="2300" w:type="dxa"/>
          </w:tcPr>
          <w:p>
            <w:pPr>
              <w:spacing w:after="0"/>
            </w:pPr>
            <w:r>
              <w:rPr>
                <w:rFonts w:ascii="Times New Roman" w:hAnsi="Times New Roman"/>
                <w:sz w:val="21"/>
              </w:rPr>
              <w:t>Date</w:t>
            </w:r>
          </w:p>
        </w:tc>
        <w:tc>
          <w:tcPr>
            <w:tcW w:w="6500" w:type="dxa"/>
          </w:tcPr>
          <w:p>
            <w:pPr>
              <w:spacing w:after="0"/>
            </w:pPr>
            <w:r>
              <w:rPr>
                <w:rFonts w:ascii="Times New Roman" w:hAnsi="Times New Roman"/>
                <w:sz w:val="21"/>
              </w:rPr>
              <w:t>2026-04-29</w:t>
            </w:r>
          </w:p>
        </w:tc>
      </w:tr>
    </w:tbl>
    <w:p>
      <w:pPr>
        <w:pStyle w:val="Heading1"/>
      </w:pPr>
      <w:r>
        <w:t>Purpose of the Experiment</w:t>
      </w:r>
    </w:p>
    <w:p>
      <w:r>
        <w:t>This experiment aimed to fabricate inverted p-i-n perovskite solar cells and characterize their photovoltaic and spectral responses. Normal-bandgap (NBG) and wide-bandgap (WBG) devices were compared using measured J-V and EQE data.</w:t>
      </w:r>
    </w:p>
    <w:p>
      <w:pPr>
        <w:pStyle w:val="Heading1"/>
      </w:pPr>
      <w:r>
        <w:t>Working Principle</w:t>
      </w:r>
    </w:p>
    <w:p>
      <w:r>
        <w:t>Perovskite solar cells convert absorbed photons into separated charge carriers. In a p-i-n device, the hole-transport layer and electron-transport layer extract opposite carriers and reduce recombination at the contacts. The power conversion efficiency is determined from the short-circuit current density (Jsc), open-circuit voltage (Voc), fill factor (FF), and incident power density. The EQE spectrum gives the wavelength-dependent carrier collection efficiency and can be used to estimate the optical bandgap from the long-wavelength absorption edge.</w:t>
      </w:r>
    </w:p>
    <w:p>
      <w:pPr>
        <w:pStyle w:val="Heading1"/>
      </w:pPr>
      <w:r>
        <w:t>Materials and Device Architecture</w:t>
      </w:r>
    </w:p>
    <w:p>
      <w:r>
        <w:t>The NBG perovskite composition was Cs0.05FA0.902MA0.048PbI2.7Br0.3, and the WBG composition was Cs0.25FA0.75Pb(Br0.5I0.5)3. The device architecture was ITO glass / SAM 4PADCB / perovskite / PC61BM / BCP / Ag. Although the lab slides show a generic metal electrode, Ag was used in the actual thermal evaporation step.</w:t>
      </w:r>
    </w:p>
    <w:tbl>
      <w:tblPr>
        <w:tblW w:w="0" w:type="auto"/>
        <w:tblBorders>
          <w:top w:val="single" w:sz="6" w:color="000000"/>
          <w:left w:val="single" w:sz="4" w:color="808080"/>
          <w:bottom w:val="single" w:sz="6" w:color="000000"/>
          <w:right w:val="single" w:sz="4" w:color="808080"/>
          <w:insideH w:val="single" w:sz="4" w:color="BFBFBF"/>
          <w:insideV w:val="single" w:sz="4" w:color="BFBFBF"/>
        </w:tblBorders>
        <w:tblCellMar>
          <w:top w:w="80" w:type="dxa"/>
          <w:left w:w="100" w:type="dxa"/>
          <w:bottom w:w="80" w:type="dxa"/>
          <w:right w:w="100" w:type="dxa"/>
        </w:tblCellMar>
      </w:tblPr>
      <w:tr>
        <w:tc>
          <w:tcPr>
            <w:tcW w:w="1900" w:type="dxa"/>
            <w:shd w:fill="F2F2F2"/>
          </w:tcPr>
          <w:p>
            <w:pPr>
              <w:spacing w:after="0"/>
            </w:pPr>
            <w:r>
              <w:rPr>
                <w:rFonts w:ascii="Times New Roman" w:hAnsi="Times New Roman"/>
                <w:sz w:val="21"/>
                <w:b/>
              </w:rPr>
              <w:t>Layer</w:t>
            </w:r>
          </w:p>
        </w:tc>
        <w:tc>
          <w:tcPr>
            <w:tcW w:w="6900" w:type="dxa"/>
            <w:shd w:fill="F2F2F2"/>
          </w:tcPr>
          <w:p>
            <w:pPr>
              <w:spacing w:after="0"/>
            </w:pPr>
            <w:r>
              <w:rPr>
                <w:rFonts w:ascii="Times New Roman" w:hAnsi="Times New Roman"/>
                <w:sz w:val="21"/>
                <w:b/>
              </w:rPr>
              <w:t>Function</w:t>
            </w:r>
          </w:p>
        </w:tc>
      </w:tr>
      <w:tr>
        <w:tc>
          <w:tcPr>
            <w:tcW w:w="1900" w:type="dxa"/>
          </w:tcPr>
          <w:p>
            <w:pPr>
              <w:spacing w:after="0"/>
            </w:pPr>
            <w:r>
              <w:rPr>
                <w:rFonts w:ascii="Times New Roman" w:hAnsi="Times New Roman"/>
                <w:sz w:val="21"/>
              </w:rPr>
              <w:t>ITO glass</w:t>
            </w:r>
          </w:p>
        </w:tc>
        <w:tc>
          <w:tcPr>
            <w:tcW w:w="6900" w:type="dxa"/>
          </w:tcPr>
          <w:p>
            <w:pPr>
              <w:spacing w:after="0"/>
            </w:pPr>
            <w:r>
              <w:rPr>
                <w:rFonts w:ascii="Times New Roman" w:hAnsi="Times New Roman"/>
                <w:sz w:val="21"/>
              </w:rPr>
              <w:t>Transparent conducting bottom electrode; its conductive side must face the device stack.</w:t>
            </w:r>
          </w:p>
        </w:tc>
      </w:tr>
      <w:tr>
        <w:tc>
          <w:tcPr>
            <w:tcW w:w="1900" w:type="dxa"/>
          </w:tcPr>
          <w:p>
            <w:pPr>
              <w:spacing w:after="0"/>
            </w:pPr>
            <w:r>
              <w:rPr>
                <w:rFonts w:ascii="Times New Roman" w:hAnsi="Times New Roman"/>
                <w:sz w:val="21"/>
              </w:rPr>
              <w:t>SAM 4PADCB HTL</w:t>
            </w:r>
          </w:p>
        </w:tc>
        <w:tc>
          <w:tcPr>
            <w:tcW w:w="6900" w:type="dxa"/>
          </w:tcPr>
          <w:p>
            <w:pPr>
              <w:spacing w:after="0"/>
            </w:pPr>
            <w:r>
              <w:rPr>
                <w:rFonts w:ascii="Times New Roman" w:hAnsi="Times New Roman"/>
                <w:sz w:val="21"/>
              </w:rPr>
              <w:t>Selectively extracts holes, blocks electrons, and improves the perovskite/contact interface.</w:t>
            </w:r>
          </w:p>
        </w:tc>
      </w:tr>
      <w:tr>
        <w:tc>
          <w:tcPr>
            <w:tcW w:w="1900" w:type="dxa"/>
          </w:tcPr>
          <w:p>
            <w:pPr>
              <w:spacing w:after="0"/>
            </w:pPr>
            <w:r>
              <w:rPr>
                <w:rFonts w:ascii="Times New Roman" w:hAnsi="Times New Roman"/>
                <w:sz w:val="21"/>
              </w:rPr>
              <w:t>Perovskite absorber</w:t>
            </w:r>
          </w:p>
        </w:tc>
        <w:tc>
          <w:tcPr>
            <w:tcW w:w="6900" w:type="dxa"/>
          </w:tcPr>
          <w:p>
            <w:pPr>
              <w:spacing w:after="0"/>
            </w:pPr>
            <w:r>
              <w:rPr>
                <w:rFonts w:ascii="Times New Roman" w:hAnsi="Times New Roman"/>
                <w:sz w:val="21"/>
              </w:rPr>
              <w:t>Absorbs incident photons and generates free carriers.</w:t>
            </w:r>
          </w:p>
        </w:tc>
      </w:tr>
      <w:tr>
        <w:tc>
          <w:tcPr>
            <w:tcW w:w="1900" w:type="dxa"/>
          </w:tcPr>
          <w:p>
            <w:pPr>
              <w:spacing w:after="0"/>
            </w:pPr>
            <w:r>
              <w:rPr>
                <w:rFonts w:ascii="Times New Roman" w:hAnsi="Times New Roman"/>
                <w:sz w:val="21"/>
              </w:rPr>
              <w:t>PC61BM ETL</w:t>
            </w:r>
          </w:p>
        </w:tc>
        <w:tc>
          <w:tcPr>
            <w:tcW w:w="6900" w:type="dxa"/>
          </w:tcPr>
          <w:p>
            <w:pPr>
              <w:spacing w:after="0"/>
            </w:pPr>
            <w:r>
              <w:rPr>
                <w:rFonts w:ascii="Times New Roman" w:hAnsi="Times New Roman"/>
                <w:sz w:val="21"/>
              </w:rPr>
              <w:t>Extracts electrons and suppresses interfacial recombination.</w:t>
            </w:r>
          </w:p>
        </w:tc>
      </w:tr>
      <w:tr>
        <w:tc>
          <w:tcPr>
            <w:tcW w:w="1900" w:type="dxa"/>
          </w:tcPr>
          <w:p>
            <w:pPr>
              <w:spacing w:after="0"/>
            </w:pPr>
            <w:r>
              <w:rPr>
                <w:rFonts w:ascii="Times New Roman" w:hAnsi="Times New Roman"/>
                <w:sz w:val="21"/>
              </w:rPr>
              <w:t>BCP hole-blocking layer</w:t>
            </w:r>
          </w:p>
        </w:tc>
        <w:tc>
          <w:tcPr>
            <w:tcW w:w="6900" w:type="dxa"/>
          </w:tcPr>
          <w:p>
            <w:pPr>
              <w:spacing w:after="0"/>
            </w:pPr>
            <w:r>
              <w:rPr>
                <w:rFonts w:ascii="Times New Roman" w:hAnsi="Times New Roman"/>
                <w:sz w:val="21"/>
              </w:rPr>
              <w:t>Blocks holes, improves electron selectivity, and protects the organic ETL during metal deposition.</w:t>
            </w:r>
          </w:p>
        </w:tc>
      </w:tr>
      <w:tr>
        <w:tc>
          <w:tcPr>
            <w:tcW w:w="1900" w:type="dxa"/>
          </w:tcPr>
          <w:p>
            <w:pPr>
              <w:spacing w:after="0"/>
            </w:pPr>
            <w:r>
              <w:rPr>
                <w:rFonts w:ascii="Times New Roman" w:hAnsi="Times New Roman"/>
                <w:sz w:val="21"/>
              </w:rPr>
              <w:t>Ag electrode</w:t>
            </w:r>
          </w:p>
        </w:tc>
        <w:tc>
          <w:tcPr>
            <w:tcW w:w="6900" w:type="dxa"/>
          </w:tcPr>
          <w:p>
            <w:pPr>
              <w:spacing w:after="0"/>
            </w:pPr>
            <w:r>
              <w:rPr>
                <w:rFonts w:ascii="Times New Roman" w:hAnsi="Times New Roman"/>
                <w:sz w:val="21"/>
              </w:rPr>
              <w:t>Collects electrons as the top contact; stripe electrodes increase the illuminated active area.</w:t>
            </w:r>
          </w:p>
        </w:tc>
      </w:tr>
    </w:tbl>
    <w:p>
      <w:pPr>
        <w:pStyle w:val="Caption"/>
        <w:jc w:val="center"/>
      </w:pPr>
      <w:r>
        <w:t>Table 1. Functions of each layer in the inverted perovskite solar cell.</w:t>
      </w:r>
    </w:p>
    <w:p>
      <w:pPr>
        <w:pStyle w:val="Heading1"/>
      </w:pPr>
      <w:r>
        <w:t>Experimental Procedure</w:t>
      </w:r>
    </w:p>
    <w:p>
      <w:pPr>
        <w:pStyle w:val="Heading2"/>
      </w:pPr>
      <w:r>
        <w:t>Substrate Preparation</w:t>
      </w:r>
    </w:p>
    <w:p>
      <w:r>
        <w:t>ITO/glass substrates were cleaned sequentially in diluted detergent, deionized water, isopropanol, and ethanol, followed by UV-ozone treatment for 25 min. The conductive ITO side was identified from the substrate marking before coating.</w:t>
      </w:r>
    </w:p>
    <w:p>
      <w:pPr>
        <w:pStyle w:val="Heading2"/>
      </w:pPr>
      <w:r>
        <w:t>Solution Coating and Film Formation</w:t>
      </w:r>
    </w:p>
    <w:p>
      <w:r>
        <w:t>The SAM 4PADCB hole-transport layer was spin-coated and annealed at 120 degrees C for 10 min. The perovskite precursor was deposited using a two-stage spin-coating program, with chlorobenzene antisolvent dripped during the second stage. The film was then annealed at 100 degrees C for 30 min. PC61BM and BCP were spin-coated as the electron-transport and hole-blocking layers.</w:t>
      </w:r>
    </w:p>
    <w:p>
      <w:pPr>
        <w:pStyle w:val="Heading2"/>
      </w:pPr>
      <w:r>
        <w:t>Electrode Deposition and Characterization</w:t>
      </w:r>
    </w:p>
    <w:p>
      <w:r>
        <w:t>The devices were completed by thermal evaporation of 100 nm Ag through a stripe-pattern shadow mask. The stripe electrode geometry maintained electrical contact while increasing the illuminated area. Fabrication was carried out in a glovebox; during spin coating, vacuum suction was used to hold the substrate and was released after the spin step. J-V curves were measured under an artificial AM 1.5G solar simulator, and EQE spectra were measured with a calibrated spectral response system.</w:t>
      </w:r>
    </w:p>
    <w:p>
      <w:pPr>
        <w:pStyle w:val="Heading1"/>
      </w:pPr>
      <w:r>
        <w:t>Results and Performance Analysis</w:t>
      </w:r>
    </w:p>
    <w:p>
      <w:pPr>
        <w:pStyle w:val="Heading2"/>
      </w:pPr>
      <w:r>
        <w:t>Photovoltaic J-V Performance</w:t>
      </w:r>
    </w:p>
    <w:p>
      <w:r>
        <w:t>The NBG cells gave higher photocurrent and higher average efficiency, while the WBG cells gave higher voltage. This trend is consistent with the smaller NBG bandgap absorbing more long-wavelength photons and the larger WBG bandgap raising the voltage limit but reducing current generation.</w:t>
      </w:r>
    </w:p>
    <w:tbl>
      <w:tblPr>
        <w:tblW w:w="0" w:type="auto"/>
        <w:tblBorders>
          <w:top w:val="single" w:sz="6" w:color="000000"/>
          <w:left w:val="single" w:sz="4" w:color="808080"/>
          <w:bottom w:val="single" w:sz="6" w:color="000000"/>
          <w:right w:val="single" w:sz="4" w:color="808080"/>
          <w:insideH w:val="single" w:sz="4" w:color="BFBFBF"/>
          <w:insideV w:val="single" w:sz="4" w:color="BFBFBF"/>
        </w:tblBorders>
        <w:tblCellMar>
          <w:top w:w="80" w:type="dxa"/>
          <w:left w:w="100" w:type="dxa"/>
          <w:bottom w:w="80" w:type="dxa"/>
          <w:right w:w="100" w:type="dxa"/>
        </w:tblCellMar>
      </w:tblPr>
      <w:tr>
        <w:tc>
          <w:tcPr>
            <w:tcW w:w="2100" w:type="dxa"/>
            <w:shd w:fill="F2F2F2"/>
          </w:tcPr>
          <w:p>
            <w:pPr>
              <w:spacing w:after="0"/>
            </w:pPr>
            <w:r>
              <w:rPr>
                <w:rFonts w:ascii="Times New Roman" w:hAnsi="Times New Roman"/>
                <w:sz w:val="21"/>
                <w:b/>
              </w:rPr>
              <w:t>Device</w:t>
            </w:r>
          </w:p>
        </w:tc>
        <w:tc>
          <w:tcPr>
            <w:tcW w:w="2100" w:type="dxa"/>
            <w:shd w:fill="F2F2F2"/>
          </w:tcPr>
          <w:p>
            <w:pPr>
              <w:spacing w:after="0"/>
            </w:pPr>
            <w:r>
              <w:rPr>
                <w:rFonts w:ascii="Times New Roman" w:hAnsi="Times New Roman"/>
                <w:sz w:val="21"/>
                <w:b/>
              </w:rPr>
              <w:t>Jsc (mA cm-2)</w:t>
            </w:r>
          </w:p>
        </w:tc>
        <w:tc>
          <w:tcPr>
            <w:tcW w:w="1600" w:type="dxa"/>
            <w:shd w:fill="F2F2F2"/>
          </w:tcPr>
          <w:p>
            <w:pPr>
              <w:spacing w:after="0"/>
            </w:pPr>
            <w:r>
              <w:rPr>
                <w:rFonts w:ascii="Times New Roman" w:hAnsi="Times New Roman"/>
                <w:sz w:val="21"/>
                <w:b/>
              </w:rPr>
              <w:t>Voc (V)</w:t>
            </w:r>
          </w:p>
        </w:tc>
        <w:tc>
          <w:tcPr>
            <w:tcW w:w="1200" w:type="dxa"/>
            <w:shd w:fill="F2F2F2"/>
          </w:tcPr>
          <w:p>
            <w:pPr>
              <w:spacing w:after="0"/>
            </w:pPr>
            <w:r>
              <w:rPr>
                <w:rFonts w:ascii="Times New Roman" w:hAnsi="Times New Roman"/>
                <w:sz w:val="21"/>
                <w:b/>
              </w:rPr>
              <w:t>FF</w:t>
            </w:r>
          </w:p>
        </w:tc>
        <w:tc>
          <w:tcPr>
            <w:tcW w:w="1500" w:type="dxa"/>
            <w:shd w:fill="F2F2F2"/>
          </w:tcPr>
          <w:p>
            <w:pPr>
              <w:spacing w:after="0"/>
            </w:pPr>
            <w:r>
              <w:rPr>
                <w:rFonts w:ascii="Times New Roman" w:hAnsi="Times New Roman"/>
                <w:sz w:val="21"/>
                <w:b/>
              </w:rPr>
              <w:t>PCE (%)</w:t>
            </w:r>
          </w:p>
        </w:tc>
      </w:tr>
      <w:tr>
        <w:tc>
          <w:tcPr>
            <w:tcW w:w="2100" w:type="dxa"/>
          </w:tcPr>
          <w:p>
            <w:pPr>
              <w:spacing w:after="0"/>
            </w:pPr>
            <w:r>
              <w:rPr>
                <w:rFonts w:ascii="Times New Roman" w:hAnsi="Times New Roman"/>
                <w:sz w:val="21"/>
              </w:rPr>
              <w:t>NBG</w:t>
            </w:r>
          </w:p>
        </w:tc>
        <w:tc>
          <w:tcPr>
            <w:tcW w:w="2100" w:type="dxa"/>
          </w:tcPr>
          <w:p>
            <w:pPr>
              <w:spacing w:after="0"/>
            </w:pPr>
            <w:r>
              <w:rPr>
                <w:rFonts w:ascii="Times New Roman" w:hAnsi="Times New Roman"/>
                <w:sz w:val="21"/>
              </w:rPr>
              <w:t>25.03</w:t>
            </w:r>
          </w:p>
        </w:tc>
        <w:tc>
          <w:tcPr>
            <w:tcW w:w="1600" w:type="dxa"/>
          </w:tcPr>
          <w:p>
            <w:pPr>
              <w:spacing w:after="0"/>
            </w:pPr>
            <w:r>
              <w:rPr>
                <w:rFonts w:ascii="Times New Roman" w:hAnsi="Times New Roman"/>
                <w:sz w:val="21"/>
              </w:rPr>
              <w:t>1.167</w:t>
            </w:r>
          </w:p>
        </w:tc>
        <w:tc>
          <w:tcPr>
            <w:tcW w:w="1200" w:type="dxa"/>
          </w:tcPr>
          <w:p>
            <w:pPr>
              <w:spacing w:after="0"/>
            </w:pPr>
            <w:r>
              <w:rPr>
                <w:rFonts w:ascii="Times New Roman" w:hAnsi="Times New Roman"/>
                <w:sz w:val="21"/>
              </w:rPr>
              <w:t>0.777</w:t>
            </w:r>
          </w:p>
        </w:tc>
        <w:tc>
          <w:tcPr>
            <w:tcW w:w="1500" w:type="dxa"/>
          </w:tcPr>
          <w:p>
            <w:pPr>
              <w:spacing w:after="0"/>
            </w:pPr>
            <w:r>
              <w:rPr>
                <w:rFonts w:ascii="Times New Roman" w:hAnsi="Times New Roman"/>
                <w:sz w:val="21"/>
              </w:rPr>
              <w:t>22.70</w:t>
            </w:r>
          </w:p>
        </w:tc>
      </w:tr>
      <w:tr>
        <w:tc>
          <w:tcPr>
            <w:tcW w:w="2100" w:type="dxa"/>
          </w:tcPr>
          <w:p>
            <w:pPr>
              <w:spacing w:after="0"/>
            </w:pPr>
            <w:r>
              <w:rPr>
                <w:rFonts w:ascii="Times New Roman" w:hAnsi="Times New Roman"/>
                <w:sz w:val="21"/>
              </w:rPr>
              <w:t>WBG</w:t>
            </w:r>
          </w:p>
        </w:tc>
        <w:tc>
          <w:tcPr>
            <w:tcW w:w="2100" w:type="dxa"/>
          </w:tcPr>
          <w:p>
            <w:pPr>
              <w:spacing w:after="0"/>
            </w:pPr>
            <w:r>
              <w:rPr>
                <w:rFonts w:ascii="Times New Roman" w:hAnsi="Times New Roman"/>
                <w:sz w:val="21"/>
              </w:rPr>
              <w:t>14.17</w:t>
            </w:r>
          </w:p>
        </w:tc>
        <w:tc>
          <w:tcPr>
            <w:tcW w:w="1600" w:type="dxa"/>
          </w:tcPr>
          <w:p>
            <w:pPr>
              <w:spacing w:after="0"/>
            </w:pPr>
            <w:r>
              <w:rPr>
                <w:rFonts w:ascii="Times New Roman" w:hAnsi="Times New Roman"/>
                <w:sz w:val="21"/>
              </w:rPr>
              <w:t>1.345</w:t>
            </w:r>
          </w:p>
        </w:tc>
        <w:tc>
          <w:tcPr>
            <w:tcW w:w="1200" w:type="dxa"/>
          </w:tcPr>
          <w:p>
            <w:pPr>
              <w:spacing w:after="0"/>
            </w:pPr>
            <w:r>
              <w:rPr>
                <w:rFonts w:ascii="Times New Roman" w:hAnsi="Times New Roman"/>
                <w:sz w:val="21"/>
              </w:rPr>
              <w:t>0.798</w:t>
            </w:r>
          </w:p>
        </w:tc>
        <w:tc>
          <w:tcPr>
            <w:tcW w:w="1500" w:type="dxa"/>
          </w:tcPr>
          <w:p>
            <w:pPr>
              <w:spacing w:after="0"/>
            </w:pPr>
            <w:r>
              <w:rPr>
                <w:rFonts w:ascii="Times New Roman" w:hAnsi="Times New Roman"/>
                <w:sz w:val="21"/>
              </w:rPr>
              <w:t>15.22</w:t>
            </w:r>
          </w:p>
        </w:tc>
      </w:tr>
    </w:tbl>
    <w:p>
      <w:pPr>
        <w:pStyle w:val="Caption"/>
        <w:jc w:val="center"/>
      </w:pPr>
      <w:r>
        <w:t>Table 2. Average photovoltaic parameters extracted from measured J-V curves.</w:t>
      </w:r>
    </w:p>
    <w:p>
      <w:pPr>
        <w:jc w:val="center"/>
      </w:pPr>
      <w:r>
        <w:drawing>
          <wp:inline distT="0" distB="0" distL="0" distR="0">
            <wp:extent cx="5486400" cy="3198873"/>
            <wp:docPr id="1" name="Figure 1"/>
            <a:graphic xmlns:a="http://schemas.openxmlformats.org/drawingml/2006/main">
              <a:graphicData uri="http://schemas.openxmlformats.org/drawingml/2006/picture">
                <pic:pic xmlns:pic="http://schemas.openxmlformats.org/drawingml/2006/picture">
                  <pic:nvPicPr>
                    <pic:cNvPr id="0" name="rId1.svg"/>
                    <pic:cNvPicPr/>
                  </pic:nvPicPr>
                  <pic:blipFill>
                    <a:blip r:embed="rId1"/>
                    <a:stretch>
                      <a:fillRect/>
                    </a:stretch>
                  </pic:blipFill>
                  <pic:spPr>
                    <a:xfrm>
                      <a:off x="0" y="0"/>
                      <a:ext cx="5486400" cy="3198873"/>
                    </a:xfrm>
                    <a:prstGeom prst="rect">
                      <a:avLst/>
                    </a:prstGeom>
                  </pic:spPr>
                </pic:pic>
              </a:graphicData>
            </a:graphic>
          </wp:inline>
        </w:drawing>
      </w:r>
    </w:p>
    <w:p>
      <w:pPr>
        <w:pStyle w:val="Caption"/>
        <w:jc w:val="center"/>
      </w:pPr>
      <w:r>
        <w:t>Figure 1. J-V curves of normal-bandgap perovskite devices.</w:t>
      </w:r>
    </w:p>
    <w:p>
      <w:pPr>
        <w:jc w:val="center"/>
      </w:pPr>
      <w:r>
        <w:drawing>
          <wp:inline distT="0" distB="0" distL="0" distR="0">
            <wp:extent cx="5486400" cy="3198873"/>
            <wp:docPr id="2" name="Figure 2"/>
            <a:graphic xmlns:a="http://schemas.openxmlformats.org/drawingml/2006/main">
              <a:graphicData uri="http://schemas.openxmlformats.org/drawingml/2006/picture">
                <pic:pic xmlns:pic="http://schemas.openxmlformats.org/drawingml/2006/picture">
                  <pic:nvPicPr>
                    <pic:cNvPr id="0" name="rId2.svg"/>
                    <pic:cNvPicPr/>
                  </pic:nvPicPr>
                  <pic:blipFill>
                    <a:blip r:embed="rId2"/>
                    <a:stretch>
                      <a:fillRect/>
                    </a:stretch>
                  </pic:blipFill>
                  <pic:spPr>
                    <a:xfrm>
                      <a:off x="0" y="0"/>
                      <a:ext cx="5486400" cy="3198873"/>
                    </a:xfrm>
                    <a:prstGeom prst="rect">
                      <a:avLst/>
                    </a:prstGeom>
                  </pic:spPr>
                </pic:pic>
              </a:graphicData>
            </a:graphic>
          </wp:inline>
        </w:drawing>
      </w:r>
    </w:p>
    <w:p>
      <w:pPr>
        <w:pStyle w:val="Caption"/>
        <w:jc w:val="center"/>
      </w:pPr>
      <w:r>
        <w:t>Figure 2. J-V curves of wide-bandgap perovskite devices.</w:t>
      </w:r>
    </w:p>
    <w:p>
      <w:pPr>
        <w:pStyle w:val="Heading2"/>
      </w:pPr>
      <w:r>
        <w:t>EQE Response and Bandgap Estimation</w:t>
      </w:r>
    </w:p>
    <w:p>
      <w:r>
        <w:t>The EQE spectra show a clear difference in absorption edge. The NBG spectra extend to approximately 785 nm, whereas the WBG spectra cut off near 661 nm. Using Eg = 1240 / lambda_edge, the estimated bandgaps are about 1.58 eV for NBG and 1.88 eV for WBG, which agree with the nominal bandgaps in the lab material.</w:t>
      </w:r>
    </w:p>
    <w:tbl>
      <w:tblPr>
        <w:tblW w:w="0" w:type="auto"/>
        <w:tblBorders>
          <w:top w:val="single" w:sz="6" w:color="000000"/>
          <w:left w:val="single" w:sz="4" w:color="808080"/>
          <w:bottom w:val="single" w:sz="6" w:color="000000"/>
          <w:right w:val="single" w:sz="4" w:color="808080"/>
          <w:insideH w:val="single" w:sz="4" w:color="BFBFBF"/>
          <w:insideV w:val="single" w:sz="4" w:color="BFBFBF"/>
        </w:tblBorders>
        <w:tblCellMar>
          <w:top w:w="80" w:type="dxa"/>
          <w:left w:w="100" w:type="dxa"/>
          <w:bottom w:w="80" w:type="dxa"/>
          <w:right w:w="100" w:type="dxa"/>
        </w:tblCellMar>
      </w:tblPr>
      <w:tr>
        <w:tc>
          <w:tcPr>
            <w:tcW w:w="2100" w:type="dxa"/>
            <w:shd w:fill="F2F2F2"/>
          </w:tcPr>
          <w:p>
            <w:pPr>
              <w:spacing w:after="0"/>
            </w:pPr>
            <w:r>
              <w:rPr>
                <w:rFonts w:ascii="Times New Roman" w:hAnsi="Times New Roman"/>
                <w:sz w:val="21"/>
                <w:b/>
              </w:rPr>
              <w:t>Device</w:t>
            </w:r>
          </w:p>
        </w:tc>
        <w:tc>
          <w:tcPr>
            <w:tcW w:w="2400" w:type="dxa"/>
            <w:shd w:fill="F2F2F2"/>
          </w:tcPr>
          <w:p>
            <w:pPr>
              <w:spacing w:after="0"/>
            </w:pPr>
            <w:r>
              <w:rPr>
                <w:rFonts w:ascii="Times New Roman" w:hAnsi="Times New Roman"/>
                <w:sz w:val="21"/>
                <w:b/>
              </w:rPr>
              <w:t>Mean EQE edge (nm)</w:t>
            </w:r>
          </w:p>
        </w:tc>
        <w:tc>
          <w:tcPr>
            <w:tcW w:w="2600" w:type="dxa"/>
            <w:shd w:fill="F2F2F2"/>
          </w:tcPr>
          <w:p>
            <w:pPr>
              <w:spacing w:after="0"/>
            </w:pPr>
            <w:r>
              <w:rPr>
                <w:rFonts w:ascii="Times New Roman" w:hAnsi="Times New Roman"/>
                <w:sz w:val="21"/>
                <w:b/>
              </w:rPr>
              <w:t>Estimated bandgap (eV)</w:t>
            </w:r>
          </w:p>
        </w:tc>
        <w:tc>
          <w:tcPr>
            <w:tcW w:w="1900" w:type="dxa"/>
            <w:shd w:fill="F2F2F2"/>
          </w:tcPr>
          <w:p>
            <w:pPr>
              <w:spacing w:after="0"/>
            </w:pPr>
            <w:r>
              <w:rPr>
                <w:rFonts w:ascii="Times New Roman" w:hAnsi="Times New Roman"/>
                <w:sz w:val="21"/>
                <w:b/>
              </w:rPr>
              <w:t>Number of spectra</w:t>
            </w:r>
          </w:p>
        </w:tc>
      </w:tr>
      <w:tr>
        <w:tc>
          <w:tcPr>
            <w:tcW w:w="2100" w:type="dxa"/>
          </w:tcPr>
          <w:p>
            <w:pPr>
              <w:spacing w:after="0"/>
            </w:pPr>
            <w:r>
              <w:rPr>
                <w:rFonts w:ascii="Times New Roman" w:hAnsi="Times New Roman"/>
                <w:sz w:val="21"/>
              </w:rPr>
              <w:t>NBG</w:t>
            </w:r>
          </w:p>
        </w:tc>
        <w:tc>
          <w:tcPr>
            <w:tcW w:w="2400" w:type="dxa"/>
          </w:tcPr>
          <w:p>
            <w:pPr>
              <w:spacing w:after="0"/>
            </w:pPr>
            <w:r>
              <w:rPr>
                <w:rFonts w:ascii="Times New Roman" w:hAnsi="Times New Roman"/>
                <w:sz w:val="21"/>
              </w:rPr>
              <w:t>785</w:t>
            </w:r>
          </w:p>
        </w:tc>
        <w:tc>
          <w:tcPr>
            <w:tcW w:w="2600" w:type="dxa"/>
          </w:tcPr>
          <w:p>
            <w:pPr>
              <w:spacing w:after="0"/>
            </w:pPr>
            <w:r>
              <w:rPr>
                <w:rFonts w:ascii="Times New Roman" w:hAnsi="Times New Roman"/>
                <w:sz w:val="21"/>
              </w:rPr>
              <w:t>1.58</w:t>
            </w:r>
          </w:p>
        </w:tc>
        <w:tc>
          <w:tcPr>
            <w:tcW w:w="1900" w:type="dxa"/>
          </w:tcPr>
          <w:p>
            <w:pPr>
              <w:spacing w:after="0"/>
            </w:pPr>
            <w:r>
              <w:rPr>
                <w:rFonts w:ascii="Times New Roman" w:hAnsi="Times New Roman"/>
                <w:sz w:val="21"/>
              </w:rPr>
              <w:t>6</w:t>
            </w:r>
          </w:p>
        </w:tc>
      </w:tr>
      <w:tr>
        <w:tc>
          <w:tcPr>
            <w:tcW w:w="2100" w:type="dxa"/>
          </w:tcPr>
          <w:p>
            <w:pPr>
              <w:spacing w:after="0"/>
            </w:pPr>
            <w:r>
              <w:rPr>
                <w:rFonts w:ascii="Times New Roman" w:hAnsi="Times New Roman"/>
                <w:sz w:val="21"/>
              </w:rPr>
              <w:t>WBG</w:t>
            </w:r>
          </w:p>
        </w:tc>
        <w:tc>
          <w:tcPr>
            <w:tcW w:w="2400" w:type="dxa"/>
          </w:tcPr>
          <w:p>
            <w:pPr>
              <w:spacing w:after="0"/>
            </w:pPr>
            <w:r>
              <w:rPr>
                <w:rFonts w:ascii="Times New Roman" w:hAnsi="Times New Roman"/>
                <w:sz w:val="21"/>
              </w:rPr>
              <w:t>661</w:t>
            </w:r>
          </w:p>
        </w:tc>
        <w:tc>
          <w:tcPr>
            <w:tcW w:w="2600" w:type="dxa"/>
          </w:tcPr>
          <w:p>
            <w:pPr>
              <w:spacing w:after="0"/>
            </w:pPr>
            <w:r>
              <w:rPr>
                <w:rFonts w:ascii="Times New Roman" w:hAnsi="Times New Roman"/>
                <w:sz w:val="21"/>
              </w:rPr>
              <w:t>1.88</w:t>
            </w:r>
          </w:p>
        </w:tc>
        <w:tc>
          <w:tcPr>
            <w:tcW w:w="1900" w:type="dxa"/>
          </w:tcPr>
          <w:p>
            <w:pPr>
              <w:spacing w:after="0"/>
            </w:pPr>
            <w:r>
              <w:rPr>
                <w:rFonts w:ascii="Times New Roman" w:hAnsi="Times New Roman"/>
                <w:sz w:val="21"/>
              </w:rPr>
              <w:t>5</w:t>
            </w:r>
          </w:p>
        </w:tc>
      </w:tr>
    </w:tbl>
    <w:p>
      <w:pPr>
        <w:pStyle w:val="Caption"/>
        <w:jc w:val="center"/>
      </w:pPr>
      <w:r>
        <w:t>Table 3. Bandgap estimates from the long-wavelength EQE absorption edge.</w:t>
      </w:r>
    </w:p>
    <w:p>
      <w:pPr>
        <w:jc w:val="center"/>
      </w:pPr>
      <w:r>
        <w:drawing>
          <wp:inline distT="0" distB="0" distL="0" distR="0">
            <wp:extent cx="5486400" cy="3198873"/>
            <wp:docPr id="3" name="Figure 3"/>
            <a:graphic xmlns:a="http://schemas.openxmlformats.org/drawingml/2006/main">
              <a:graphicData uri="http://schemas.openxmlformats.org/drawingml/2006/picture">
                <pic:pic xmlns:pic="http://schemas.openxmlformats.org/drawingml/2006/picture">
                  <pic:nvPicPr>
                    <pic:cNvPr id="0" name="rId3.svg"/>
                    <pic:cNvPicPr/>
                  </pic:nvPicPr>
                  <pic:blipFill>
                    <a:blip r:embed="rId3"/>
                    <a:stretch>
                      <a:fillRect/>
                    </a:stretch>
                  </pic:blipFill>
                  <pic:spPr>
                    <a:xfrm>
                      <a:off x="0" y="0"/>
                      <a:ext cx="5486400" cy="3198873"/>
                    </a:xfrm>
                    <a:prstGeom prst="rect">
                      <a:avLst/>
                    </a:prstGeom>
                  </pic:spPr>
                </pic:pic>
              </a:graphicData>
            </a:graphic>
          </wp:inline>
        </w:drawing>
      </w:r>
    </w:p>
    <w:p>
      <w:pPr>
        <w:pStyle w:val="Caption"/>
        <w:jc w:val="center"/>
      </w:pPr>
      <w:r>
        <w:t>Figure 3. EQE spectra of normal-bandgap perovskite devices.</w:t>
      </w:r>
    </w:p>
    <w:p>
      <w:pPr>
        <w:jc w:val="center"/>
      </w:pPr>
      <w:r>
        <w:drawing>
          <wp:inline distT="0" distB="0" distL="0" distR="0">
            <wp:extent cx="5486400" cy="3198873"/>
            <wp:docPr id="4" name="Figure 4"/>
            <a:graphic xmlns:a="http://schemas.openxmlformats.org/drawingml/2006/main">
              <a:graphicData uri="http://schemas.openxmlformats.org/drawingml/2006/picture">
                <pic:pic xmlns:pic="http://schemas.openxmlformats.org/drawingml/2006/picture">
                  <pic:nvPicPr>
                    <pic:cNvPr id="0" name="rId4.svg"/>
                    <pic:cNvPicPr/>
                  </pic:nvPicPr>
                  <pic:blipFill>
                    <a:blip r:embed="rId4"/>
                    <a:stretch>
                      <a:fillRect/>
                    </a:stretch>
                  </pic:blipFill>
                  <pic:spPr>
                    <a:xfrm>
                      <a:off x="0" y="0"/>
                      <a:ext cx="5486400" cy="3198873"/>
                    </a:xfrm>
                    <a:prstGeom prst="rect">
                      <a:avLst/>
                    </a:prstGeom>
                  </pic:spPr>
                </pic:pic>
              </a:graphicData>
            </a:graphic>
          </wp:inline>
        </w:drawing>
      </w:r>
    </w:p>
    <w:p>
      <w:pPr>
        <w:pStyle w:val="Caption"/>
        <w:jc w:val="center"/>
      </w:pPr>
      <w:r>
        <w:t>Figure 4. EQE spectra of wide-bandgap perovskite devices.</w:t>
      </w:r>
    </w:p>
    <w:p>
      <w:pPr>
        <w:pStyle w:val="Heading1"/>
      </w:pPr>
      <w:r>
        <w:t>Discussion of Key Questions</w:t>
      </w:r>
    </w:p>
    <w:p>
      <w:pPr>
        <w:pStyle w:val="Heading2"/>
      </w:pPr>
      <w:r>
        <w:t>Functions of the Device Layers</w:t>
      </w:r>
    </w:p>
    <w:p>
      <w:r>
        <w:t>The transparent ITO electrode admits light and collects charge. The HTL and ETL selectively extract holes and electrons, respectively. The perovskite layer absorbs light and generates carriers. BCP blocks holes at the electron side and protects the ETL during metal deposition. Ag serves as the top electrode.</w:t>
      </w:r>
    </w:p>
    <w:p>
      <w:pPr>
        <w:pStyle w:val="Heading2"/>
      </w:pPr>
      <w:r>
        <w:t>Role of the Antisolvent</w:t>
      </w:r>
    </w:p>
    <w:p>
      <w:r>
        <w:t>The antisolvent rapidly reduces precursor solubility and promotes supersaturation during spin coating. This assists nucleation and crystallization, helping to form a compact and uniform perovskite film.</w:t>
      </w:r>
    </w:p>
    <w:p>
      <w:pPr>
        <w:pStyle w:val="Heading2"/>
      </w:pPr>
      <w:r>
        <w:t>Bandgap Dependence of Jsc, Voc, and PCE</w:t>
      </w:r>
    </w:p>
    <w:p>
      <w:r>
        <w:t>The NBG absorber has a smaller bandgap and therefore absorbs more of the red and near-infrared part of the solar spectrum, giving higher Jsc and PCE. The WBG absorber has a larger bandgap, so its current is lower, but the larger bandgap allows a higher Voc.</w:t>
      </w:r>
    </w:p>
    <w:p>
      <w:pPr>
        <w:pStyle w:val="Heading2"/>
      </w:pPr>
      <w:r>
        <w:t>Application of Wide-Bandgap Perovskites</w:t>
      </w:r>
    </w:p>
    <w:p>
      <w:r>
        <w:t>WBG perovskites are suitable as top cells in tandem photovoltaics, including perovskite/silicon and all-perovskite tandem solar cells. They absorb high-energy photons while transmitting lower-energy photons to the bottom cell.</w:t>
      </w:r>
    </w:p>
    <w:p>
      <w:pPr>
        <w:pStyle w:val="Heading2"/>
      </w:pPr>
      <w:r>
        <w:t>Bandgaps Estimated from EQE</w:t>
      </w:r>
    </w:p>
    <w:p>
      <w:r>
        <w:t>The estimated bandgaps are approximately 1.58 eV for the NBG devices and 1.88 eV for the WBG devices. These values are close to the expected 1.56 eV and 1.84 eV values stated in the laboratory slides.</w:t>
      </w:r>
    </w:p>
    <w:p>
      <w:pPr>
        <w:pStyle w:val="Heading1"/>
      </w:pPr>
      <w:r>
        <w:t>Conclusion</w:t>
      </w:r>
    </w:p>
    <w:p>
      <w:r>
        <w:t>The experiment demonstrated the relationship between perovskite bandgap and device performance. The NBG devices achieved a higher average PCE of 22.70% because their broader absorption produced a higher Jsc. The WBG devices achieved a higher average Voc of 1.345 V but a lower average PCE of 15.22% due to reduced photocurrent. The EQE-derived bandgaps support the observed J-V trends and show why WBG perovskites are valuable for tandem solar-cell applications.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Times New Roman" w:hAnsi="Times New Roman"/>
        <w:sz w:val="24"/>
        <w:color w:val="000000"/>
      </w:rPr>
    </w:rPrDefault>
  </w:docDefaults>
  <w:style w:type="paragraph" w:default="1" w:styleId="Normal">
    <w:name w:val="Normal"/>
    <w:pPr>
      <w:spacing w:after="120" w:line="276" w:lineRule="auto"/>
    </w:pPr>
    <w:rPr>
      <w:rFonts w:ascii="Times New Roman" w:hAnsi="Times New Roman"/>
      <w:sz w:val="24"/>
      <w:color w:val="000000"/>
    </w:rPr>
  </w:style>
  <w:style w:type="paragraph" w:styleId="Title">
    <w:name w:val="Title"/>
    <w:pPr>
      <w:spacing w:after="120"/>
    </w:pPr>
    <w:rPr>
      <w:rFonts w:ascii="Times New Roman" w:hAnsi="Times New Roman"/>
      <w:b/>
      <w:color w:val="000000"/>
      <w:sz w:val="32"/>
    </w:rPr>
  </w:style>
  <w:style w:type="paragraph" w:styleId="Subtitle">
    <w:name w:val="Subtitle"/>
    <w:pPr>
      <w:spacing w:after="160"/>
    </w:pPr>
    <w:rPr>
      <w:rFonts w:ascii="Times New Roman" w:hAnsi="Times New Roman"/>
      <w:color w:val="000000"/>
      <w:sz w:val="24"/>
    </w:rPr>
  </w:style>
  <w:style w:type="paragraph" w:styleId="Heading1">
    <w:name w:val="heading 1"/>
    <w:pPr>
      <w:spacing w:before="260" w:after="100"/>
      <w:outlineLvl w:val="0"/>
    </w:pPr>
    <w:rPr>
      <w:rFonts w:ascii="Times New Roman" w:hAnsi="Times New Roman"/>
      <w:b/>
      <w:color w:val="000000"/>
      <w:sz w:val="30"/>
    </w:rPr>
  </w:style>
  <w:style w:type="paragraph" w:styleId="Heading2">
    <w:name w:val="heading 2"/>
    <w:pPr>
      <w:spacing w:before="160" w:after="80"/>
      <w:outlineLvl w:val="1"/>
    </w:pPr>
    <w:rPr>
      <w:rFonts w:ascii="Times New Roman" w:hAnsi="Times New Roman"/>
      <w:b/>
      <w:color w:val="000000"/>
      <w:sz w:val="26"/>
    </w:rPr>
  </w:style>
  <w:style w:type="paragraph" w:styleId="Caption">
    <w:name w:val="Caption"/>
    <w:pPr>
      <w:spacing w:after="150"/>
    </w:pPr>
    <w:rPr>
      <w:rFonts w:ascii="Times New Roman" w:hAnsi="Times New Roman"/>
      <w:i/>
      <w:color w:val="000000"/>
      <w:sz w:val="20"/>
    </w:rPr>
  </w:style>
</w:styles>
</file>

<file path=word/_rels/document.xml.rels><?xml version="1.0" encoding="UTF-8" standalone="yes"?>
<Relationships xmlns="http://schemas.openxmlformats.org/package/2006/relationships">
<Relationship Id="rId1" Type="http://schemas.openxmlformats.org/officeDocument/2006/relationships/image" Target="media/origin_jv_nbg.svg"/>
<Relationship Id="rId2" Type="http://schemas.openxmlformats.org/officeDocument/2006/relationships/image" Target="media/origin_jv_wbg.svg"/>
<Relationship Id="rId3" Type="http://schemas.openxmlformats.org/officeDocument/2006/relationships/image" Target="media/origin_eqe_nbg.svg"/>
<Relationship Id="rId4" Type="http://schemas.openxmlformats.org/officeDocument/2006/relationships/image" Target="media/origin_eqe_wbg.svg"/>
</Relationships>
</file>