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4A45B5" w14:textId="6E8EBA8D" w:rsidR="000237DD" w:rsidRPr="00072E3F" w:rsidRDefault="000237DD" w:rsidP="007E4735">
      <w:pPr>
        <w:jc w:val="center"/>
        <w:rPr>
          <w:rFonts w:ascii="Times New Roman" w:eastAsiaTheme="minorEastAsia" w:hAnsi="Times New Roman" w:cs="Times New Roman"/>
          <w:sz w:val="32"/>
          <w:szCs w:val="32"/>
        </w:rPr>
      </w:pPr>
      <w:r w:rsidRPr="00072E3F">
        <w:rPr>
          <w:rFonts w:ascii="Times New Roman" w:eastAsia="宋体" w:hAnsi="Times New Roman" w:cs="Times New Roman"/>
          <w:b/>
          <w:sz w:val="32"/>
          <w:szCs w:val="32"/>
        </w:rPr>
        <w:t xml:space="preserve">Lab </w:t>
      </w:r>
      <w:r w:rsidR="007E4735" w:rsidRPr="00072E3F">
        <w:rPr>
          <w:rFonts w:ascii="Times New Roman" w:eastAsia="宋体" w:hAnsi="Times New Roman" w:cs="Times New Roman"/>
          <w:b/>
          <w:sz w:val="32"/>
          <w:szCs w:val="32"/>
        </w:rPr>
        <w:t>3</w:t>
      </w:r>
      <w:r w:rsidRPr="00072E3F">
        <w:rPr>
          <w:rFonts w:ascii="Times New Roman" w:eastAsia="宋体" w:hAnsi="Times New Roman" w:cs="Times New Roman"/>
          <w:b/>
          <w:sz w:val="32"/>
          <w:szCs w:val="32"/>
        </w:rPr>
        <w:t xml:space="preserve">: </w:t>
      </w:r>
      <w:r w:rsidR="007E4735" w:rsidRPr="00072E3F">
        <w:rPr>
          <w:rFonts w:ascii="Times New Roman" w:hAnsi="Times New Roman" w:cs="Times New Roman"/>
          <w:b/>
          <w:color w:val="000000" w:themeColor="text1"/>
          <w:sz w:val="32"/>
          <w:szCs w:val="32"/>
        </w:rPr>
        <w:t>Fabrication and Characterization of Organic Photovoltaic Devices</w:t>
      </w:r>
    </w:p>
    <w:p w14:paraId="78482EB1" w14:textId="5BE0B23F" w:rsidR="003F65C4" w:rsidRPr="00072E3F" w:rsidRDefault="000237DD">
      <w:pPr>
        <w:rPr>
          <w:rFonts w:ascii="Times New Roman" w:hAnsi="Times New Roman" w:cs="Times New Roman"/>
          <w:b/>
          <w:bCs/>
        </w:rPr>
      </w:pPr>
      <w:r w:rsidRPr="00072E3F">
        <w:rPr>
          <w:rFonts w:ascii="Times New Roman" w:hAnsi="Times New Roman" w:cs="Times New Roman"/>
          <w:b/>
          <w:bCs/>
        </w:rPr>
        <w:t xml:space="preserve">Name: He </w:t>
      </w:r>
      <w:proofErr w:type="spellStart"/>
      <w:r w:rsidRPr="00072E3F">
        <w:rPr>
          <w:rFonts w:ascii="Times New Roman" w:hAnsi="Times New Roman" w:cs="Times New Roman"/>
          <w:b/>
          <w:bCs/>
        </w:rPr>
        <w:t>Yanning</w:t>
      </w:r>
      <w:proofErr w:type="spellEnd"/>
    </w:p>
    <w:p w14:paraId="1885F90D" w14:textId="706D00C7" w:rsidR="000237DD" w:rsidRPr="00072E3F" w:rsidRDefault="000237DD">
      <w:pPr>
        <w:rPr>
          <w:rFonts w:ascii="Times New Roman" w:hAnsi="Times New Roman" w:cs="Times New Roman"/>
          <w:b/>
          <w:bCs/>
        </w:rPr>
      </w:pPr>
      <w:r w:rsidRPr="00072E3F">
        <w:rPr>
          <w:rFonts w:ascii="Times New Roman" w:hAnsi="Times New Roman" w:cs="Times New Roman"/>
          <w:b/>
          <w:bCs/>
        </w:rPr>
        <w:t>Student ID: 12311512</w:t>
      </w:r>
    </w:p>
    <w:p w14:paraId="4C14CF44" w14:textId="114E8A4E" w:rsidR="000237DD" w:rsidRPr="00072E3F" w:rsidRDefault="000237DD" w:rsidP="00723BAD">
      <w:pPr>
        <w:jc w:val="right"/>
        <w:rPr>
          <w:rFonts w:ascii="Times New Roman" w:eastAsiaTheme="minorEastAsia" w:hAnsi="Times New Roman" w:cs="Times New Roman"/>
          <w:b/>
          <w:bCs/>
        </w:rPr>
      </w:pPr>
      <w:r w:rsidRPr="00072E3F">
        <w:rPr>
          <w:rFonts w:ascii="Times New Roman" w:eastAsiaTheme="minorEastAsia" w:hAnsi="Times New Roman" w:cs="Times New Roman"/>
          <w:b/>
          <w:bCs/>
        </w:rPr>
        <w:t>2026/</w:t>
      </w:r>
      <w:r w:rsidR="007E4735" w:rsidRPr="00072E3F">
        <w:rPr>
          <w:rFonts w:ascii="Times New Roman" w:eastAsiaTheme="minorEastAsia" w:hAnsi="Times New Roman" w:cs="Times New Roman"/>
          <w:b/>
          <w:bCs/>
        </w:rPr>
        <w:t>5/30</w:t>
      </w:r>
    </w:p>
    <w:p w14:paraId="18C6C089" w14:textId="77777777" w:rsidR="007E4735" w:rsidRPr="00072E3F" w:rsidRDefault="000237DD" w:rsidP="007E4735">
      <w:p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Abstract</w:t>
      </w:r>
    </w:p>
    <w:p w14:paraId="6E9D9897" w14:textId="48F5CD03" w:rsidR="007E4735" w:rsidRPr="00072E3F" w:rsidRDefault="007E4735" w:rsidP="007E4735">
      <w:pPr>
        <w:rPr>
          <w:rFonts w:ascii="Times New Roman" w:eastAsiaTheme="minorEastAsia" w:hAnsi="Times New Roman" w:cs="Times New Roman"/>
          <w:b/>
          <w:bCs/>
          <w:sz w:val="28"/>
          <w:szCs w:val="28"/>
        </w:rPr>
      </w:pPr>
      <w:r w:rsidRPr="00072E3F">
        <w:rPr>
          <w:rFonts w:ascii="Times New Roman" w:hAnsi="Times New Roman" w:cs="Times New Roman"/>
        </w:rPr>
        <w:t>This experiment investigated organic photovoltaic (OPV) devices fabricated on patterned ITO/glass substrates with the structure ITO/</w:t>
      </w:r>
      <w:proofErr w:type="gramStart"/>
      <w:r w:rsidRPr="00072E3F">
        <w:rPr>
          <w:rFonts w:ascii="Times New Roman" w:hAnsi="Times New Roman" w:cs="Times New Roman"/>
        </w:rPr>
        <w:t>PEDOT:PSS</w:t>
      </w:r>
      <w:proofErr w:type="gramEnd"/>
      <w:r w:rsidRPr="00072E3F">
        <w:rPr>
          <w:rFonts w:ascii="Times New Roman" w:hAnsi="Times New Roman" w:cs="Times New Roman"/>
        </w:rPr>
        <w:t>/active layer/PDINN/Ag. Three active-layer conditions were compared using the group3 J-V data only: D18 only, D18:Y6 without additive, and D18:Y6 with additive. The D18-only control showed almost no photovoltaic response, with a PCE of 0.0024%. In contrast, the D18:Y6 bulk heterojunction devices reached PCE values of 15.24% without additive and 16.67% with additive. The additive increased the short-circuit current density from 25.09 to 26.47 mA cm-2 and improved the fill factor from 68.24% to 70.74%. EQE analysis gave integrated current densities of 20.60 and 21.72 mA cm-2 for the blend devices without and with additive, respectively.</w:t>
      </w:r>
    </w:p>
    <w:p w14:paraId="116ADDE1" w14:textId="0EE23687" w:rsidR="000237DD" w:rsidRPr="00072E3F" w:rsidRDefault="000237DD" w:rsidP="00072E3F">
      <w:pPr>
        <w:pStyle w:val="a9"/>
        <w:numPr>
          <w:ilvl w:val="0"/>
          <w:numId w:val="5"/>
        </w:num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Introduction</w:t>
      </w:r>
    </w:p>
    <w:p w14:paraId="7A647AA5" w14:textId="77777777" w:rsidR="007E4735" w:rsidRPr="00072E3F" w:rsidRDefault="007E4735" w:rsidP="007E4735">
      <w:pPr>
        <w:spacing w:after="100" w:line="259" w:lineRule="auto"/>
        <w:rPr>
          <w:rFonts w:ascii="Times New Roman" w:hAnsi="Times New Roman" w:cs="Times New Roman"/>
        </w:rPr>
      </w:pPr>
      <w:r w:rsidRPr="00072E3F">
        <w:rPr>
          <w:rFonts w:ascii="Times New Roman" w:hAnsi="Times New Roman" w:cs="Times New Roman"/>
        </w:rPr>
        <w:t>Organic photovoltaics convert sunlight into electrical energy using conjugated organic semiconductors. Compared with inorganic photovoltaic technologies, OPVs can be processed from solution at low temperature and are attractive for lightweight, flexible, and semi-transparent solar modules. Their performance strongly depends on the electronic structure and nanoscale morphology of the active layer.</w:t>
      </w:r>
    </w:p>
    <w:p w14:paraId="7BC2156E" w14:textId="77777777" w:rsidR="007E4735" w:rsidRPr="00072E3F" w:rsidRDefault="007E4735" w:rsidP="007E4735">
      <w:pPr>
        <w:spacing w:after="100" w:line="259" w:lineRule="auto"/>
        <w:rPr>
          <w:rFonts w:ascii="Times New Roman" w:hAnsi="Times New Roman" w:cs="Times New Roman"/>
        </w:rPr>
      </w:pPr>
      <w:r w:rsidRPr="00072E3F">
        <w:rPr>
          <w:rFonts w:ascii="Times New Roman" w:hAnsi="Times New Roman" w:cs="Times New Roman"/>
        </w:rPr>
        <w:t>In this lab, D18 was used as the polymer donor and Y6 as the non-fullerene acceptor. A D18-only device was fabricated as a control, while D18:Y6 blend devices were prepared with and without additive. The comparison demonstrates why a donor-acceptor bulk heterojunction is needed and how processing additives can improve OPV performance.</w:t>
      </w:r>
    </w:p>
    <w:p w14:paraId="6F702FC0" w14:textId="6EC66F0E" w:rsidR="000237DD" w:rsidRPr="00072E3F" w:rsidRDefault="000237DD" w:rsidP="00072E3F">
      <w:pPr>
        <w:pStyle w:val="a9"/>
        <w:numPr>
          <w:ilvl w:val="0"/>
          <w:numId w:val="4"/>
        </w:num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Working Principle</w:t>
      </w:r>
    </w:p>
    <w:p w14:paraId="5598A3D5" w14:textId="77777777" w:rsidR="007E4735" w:rsidRPr="00072E3F" w:rsidRDefault="007E4735" w:rsidP="007E4735">
      <w:pPr>
        <w:spacing w:after="100" w:line="259" w:lineRule="auto"/>
        <w:rPr>
          <w:rFonts w:ascii="Times New Roman" w:hAnsi="Times New Roman" w:cs="Times New Roman"/>
        </w:rPr>
      </w:pPr>
      <w:r w:rsidRPr="00072E3F">
        <w:rPr>
          <w:rFonts w:ascii="Times New Roman" w:hAnsi="Times New Roman" w:cs="Times New Roman"/>
        </w:rPr>
        <w:t>In an OPV device, photons are absorbed by the active organic semiconductor layer and generate bound excitons rather than immediately free carriers. Efficient photocurrent therefore requires a donor-acceptor interface where the exciton can dissociate: the donor preferentially transports holes, while the acceptor preferentially transports electrons.</w:t>
      </w:r>
    </w:p>
    <w:p w14:paraId="5BD20B34" w14:textId="77777777" w:rsidR="007E4735" w:rsidRPr="00072E3F" w:rsidRDefault="007E4735" w:rsidP="007E4735">
      <w:pPr>
        <w:spacing w:after="100" w:line="259" w:lineRule="auto"/>
        <w:rPr>
          <w:rFonts w:ascii="Times New Roman" w:hAnsi="Times New Roman" w:cs="Times New Roman"/>
        </w:rPr>
      </w:pPr>
      <w:r w:rsidRPr="00072E3F">
        <w:rPr>
          <w:rFonts w:ascii="Times New Roman" w:hAnsi="Times New Roman" w:cs="Times New Roman"/>
        </w:rPr>
        <w:lastRenderedPageBreak/>
        <w:t>The D18:Y6 blend forms a bulk heterojunction, which distributes donor-acceptor interfaces throughout the film. This shortens the distance excitons must diffuse before reaching an interface and creates percolated pathways for holes and electrons.</w:t>
      </w:r>
    </w:p>
    <w:p w14:paraId="2D81BFED" w14:textId="52EB7EC8" w:rsidR="000237DD" w:rsidRPr="00072E3F" w:rsidRDefault="000237DD" w:rsidP="00072E3F">
      <w:pPr>
        <w:pStyle w:val="a9"/>
        <w:numPr>
          <w:ilvl w:val="0"/>
          <w:numId w:val="3"/>
        </w:num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Device Architecture</w:t>
      </w:r>
    </w:p>
    <w:p w14:paraId="71C6CAC4" w14:textId="77777777" w:rsidR="00072E3F" w:rsidRPr="00072E3F" w:rsidRDefault="00072E3F" w:rsidP="00072E3F">
      <w:pPr>
        <w:spacing w:after="100" w:line="259" w:lineRule="auto"/>
        <w:rPr>
          <w:rFonts w:ascii="Times New Roman" w:eastAsiaTheme="minorEastAsia" w:hAnsi="Times New Roman" w:cs="Times New Roman"/>
        </w:rPr>
      </w:pPr>
      <w:r w:rsidRPr="00072E3F">
        <w:rPr>
          <w:rFonts w:ascii="Times New Roman" w:hAnsi="Times New Roman" w:cs="Times New Roman"/>
        </w:rPr>
        <w:t xml:space="preserve">The device architecture used in this experiment is ITO/glass / </w:t>
      </w:r>
      <w:proofErr w:type="gramStart"/>
      <w:r w:rsidRPr="00072E3F">
        <w:rPr>
          <w:rFonts w:ascii="Times New Roman" w:hAnsi="Times New Roman" w:cs="Times New Roman"/>
        </w:rPr>
        <w:t>PEDOT:PSS</w:t>
      </w:r>
      <w:proofErr w:type="gramEnd"/>
      <w:r w:rsidRPr="00072E3F">
        <w:rPr>
          <w:rFonts w:ascii="Times New Roman" w:hAnsi="Times New Roman" w:cs="Times New Roman"/>
        </w:rPr>
        <w:t xml:space="preserve"> / active layer / PDINN / Ag. ITO/glass serves as the transparent conducting substrate. </w:t>
      </w:r>
      <w:proofErr w:type="gramStart"/>
      <w:r w:rsidRPr="00072E3F">
        <w:rPr>
          <w:rFonts w:ascii="Times New Roman" w:hAnsi="Times New Roman" w:cs="Times New Roman"/>
        </w:rPr>
        <w:t>PEDOT:PSS</w:t>
      </w:r>
      <w:proofErr w:type="gramEnd"/>
      <w:r w:rsidRPr="00072E3F">
        <w:rPr>
          <w:rFonts w:ascii="Times New Roman" w:hAnsi="Times New Roman" w:cs="Times New Roman"/>
        </w:rPr>
        <w:t xml:space="preserve"> is the hole transport layer. The active layer is either D18 only or a D18:Y6 blend. PDINN works as the electron transport layer and interfacial modifier near the metal electrode. The thermally evaporated Ag layer is the top electrode.</w:t>
      </w:r>
    </w:p>
    <w:p w14:paraId="6FA6313E" w14:textId="0717D8A1" w:rsidR="00072E3F" w:rsidRPr="00072E3F" w:rsidRDefault="00072E3F" w:rsidP="00072E3F">
      <w:pPr>
        <w:pStyle w:val="a9"/>
        <w:numPr>
          <w:ilvl w:val="1"/>
          <w:numId w:val="2"/>
        </w:num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 xml:space="preserve"> Device Architecture</w:t>
      </w:r>
    </w:p>
    <w:tbl>
      <w:tblPr>
        <w:tblStyle w:val="af2"/>
        <w:tblW w:w="0" w:type="auto"/>
        <w:jc w:val="center"/>
        <w:tblLook w:val="04A0" w:firstRow="1" w:lastRow="0" w:firstColumn="1" w:lastColumn="0" w:noHBand="0" w:noVBand="1"/>
      </w:tblPr>
      <w:tblGrid>
        <w:gridCol w:w="2261"/>
        <w:gridCol w:w="1829"/>
        <w:gridCol w:w="4206"/>
      </w:tblGrid>
      <w:tr w:rsidR="00072E3F" w:rsidRPr="00072E3F" w14:paraId="20C50E3E" w14:textId="77777777" w:rsidTr="00072E3F">
        <w:trPr>
          <w:jc w:val="center"/>
        </w:trPr>
        <w:tc>
          <w:tcPr>
            <w:tcW w:w="2261" w:type="dxa"/>
            <w:vAlign w:val="center"/>
          </w:tcPr>
          <w:p w14:paraId="424987D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Layer</w:t>
            </w:r>
          </w:p>
        </w:tc>
        <w:tc>
          <w:tcPr>
            <w:tcW w:w="1829" w:type="dxa"/>
            <w:vAlign w:val="center"/>
          </w:tcPr>
          <w:p w14:paraId="19EE2E23"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Material</w:t>
            </w:r>
          </w:p>
        </w:tc>
        <w:tc>
          <w:tcPr>
            <w:tcW w:w="4206" w:type="dxa"/>
            <w:vAlign w:val="center"/>
          </w:tcPr>
          <w:p w14:paraId="616CAA10"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Function</w:t>
            </w:r>
          </w:p>
        </w:tc>
      </w:tr>
      <w:tr w:rsidR="00072E3F" w:rsidRPr="00072E3F" w14:paraId="2EC22F08" w14:textId="77777777" w:rsidTr="00072E3F">
        <w:trPr>
          <w:jc w:val="center"/>
        </w:trPr>
        <w:tc>
          <w:tcPr>
            <w:tcW w:w="2261" w:type="dxa"/>
            <w:vAlign w:val="center"/>
          </w:tcPr>
          <w:p w14:paraId="42C01F9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Transparent front electrode / substrate</w:t>
            </w:r>
          </w:p>
        </w:tc>
        <w:tc>
          <w:tcPr>
            <w:tcW w:w="1829" w:type="dxa"/>
            <w:vAlign w:val="center"/>
          </w:tcPr>
          <w:p w14:paraId="5F89A1A0"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Patterned ITO/glass</w:t>
            </w:r>
          </w:p>
        </w:tc>
        <w:tc>
          <w:tcPr>
            <w:tcW w:w="4206" w:type="dxa"/>
            <w:vAlign w:val="center"/>
          </w:tcPr>
          <w:p w14:paraId="3E0A5DE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Provides mechanical support and a transparent conducting contact. Light enters through this side, and holes are collected through the ITO/</w:t>
            </w:r>
            <w:proofErr w:type="gramStart"/>
            <w:r w:rsidRPr="00072E3F">
              <w:rPr>
                <w:rFonts w:ascii="Times New Roman" w:hAnsi="Times New Roman" w:cs="Times New Roman"/>
                <w:sz w:val="16"/>
              </w:rPr>
              <w:t>PEDOT:PSS</w:t>
            </w:r>
            <w:proofErr w:type="gramEnd"/>
            <w:r w:rsidRPr="00072E3F">
              <w:rPr>
                <w:rFonts w:ascii="Times New Roman" w:hAnsi="Times New Roman" w:cs="Times New Roman"/>
                <w:sz w:val="16"/>
              </w:rPr>
              <w:t xml:space="preserve"> contact.</w:t>
            </w:r>
          </w:p>
        </w:tc>
      </w:tr>
      <w:tr w:rsidR="00072E3F" w:rsidRPr="00072E3F" w14:paraId="0C5B847E" w14:textId="77777777" w:rsidTr="00072E3F">
        <w:trPr>
          <w:jc w:val="center"/>
        </w:trPr>
        <w:tc>
          <w:tcPr>
            <w:tcW w:w="2261" w:type="dxa"/>
            <w:vAlign w:val="center"/>
          </w:tcPr>
          <w:p w14:paraId="6A9308E4"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Hole transport layer (HTL)</w:t>
            </w:r>
          </w:p>
        </w:tc>
        <w:tc>
          <w:tcPr>
            <w:tcW w:w="1829" w:type="dxa"/>
            <w:vAlign w:val="center"/>
          </w:tcPr>
          <w:p w14:paraId="25C8FB81" w14:textId="77777777" w:rsidR="00072E3F" w:rsidRPr="00072E3F" w:rsidRDefault="00072E3F" w:rsidP="00F359BE">
            <w:pPr>
              <w:rPr>
                <w:rFonts w:ascii="Times New Roman" w:hAnsi="Times New Roman" w:cs="Times New Roman"/>
              </w:rPr>
            </w:pPr>
            <w:proofErr w:type="gramStart"/>
            <w:r w:rsidRPr="00072E3F">
              <w:rPr>
                <w:rFonts w:ascii="Times New Roman" w:hAnsi="Times New Roman" w:cs="Times New Roman"/>
                <w:sz w:val="16"/>
              </w:rPr>
              <w:t>PEDOT:PSS</w:t>
            </w:r>
            <w:proofErr w:type="gramEnd"/>
          </w:p>
        </w:tc>
        <w:tc>
          <w:tcPr>
            <w:tcW w:w="4206" w:type="dxa"/>
            <w:vAlign w:val="center"/>
          </w:tcPr>
          <w:p w14:paraId="2A655430"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Smooths the ITO surface, selectively extracts holes, blocks electrons, and reduces the injection/extraction barrier at the anode side.</w:t>
            </w:r>
          </w:p>
        </w:tc>
      </w:tr>
      <w:tr w:rsidR="00072E3F" w:rsidRPr="00072E3F" w14:paraId="07A0B388" w14:textId="77777777" w:rsidTr="00072E3F">
        <w:trPr>
          <w:jc w:val="center"/>
        </w:trPr>
        <w:tc>
          <w:tcPr>
            <w:tcW w:w="2261" w:type="dxa"/>
            <w:vAlign w:val="center"/>
          </w:tcPr>
          <w:p w14:paraId="2DF67B17"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Active layer</w:t>
            </w:r>
          </w:p>
        </w:tc>
        <w:tc>
          <w:tcPr>
            <w:tcW w:w="1829" w:type="dxa"/>
            <w:vAlign w:val="center"/>
          </w:tcPr>
          <w:p w14:paraId="63DCE65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D18 only or D18:Y6 blend</w:t>
            </w:r>
          </w:p>
        </w:tc>
        <w:tc>
          <w:tcPr>
            <w:tcW w:w="4206" w:type="dxa"/>
            <w:vAlign w:val="center"/>
          </w:tcPr>
          <w:p w14:paraId="2C7E62CA"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Absorbs photons and generates excitons. In D18:Y6 devices, the donor-acceptor bulk heterojunction provides interfaces for exciton dissociation and pathways for hole/electron transport.</w:t>
            </w:r>
          </w:p>
        </w:tc>
      </w:tr>
      <w:tr w:rsidR="00072E3F" w:rsidRPr="00072E3F" w14:paraId="28F18531" w14:textId="77777777" w:rsidTr="00072E3F">
        <w:trPr>
          <w:jc w:val="center"/>
        </w:trPr>
        <w:tc>
          <w:tcPr>
            <w:tcW w:w="2261" w:type="dxa"/>
            <w:vAlign w:val="center"/>
          </w:tcPr>
          <w:p w14:paraId="3B141B35"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Electron transport/interfacial layer (ETL)</w:t>
            </w:r>
          </w:p>
        </w:tc>
        <w:tc>
          <w:tcPr>
            <w:tcW w:w="1829" w:type="dxa"/>
            <w:vAlign w:val="center"/>
          </w:tcPr>
          <w:p w14:paraId="0D649FF1"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PDINN</w:t>
            </w:r>
          </w:p>
        </w:tc>
        <w:tc>
          <w:tcPr>
            <w:tcW w:w="4206" w:type="dxa"/>
            <w:vAlign w:val="center"/>
          </w:tcPr>
          <w:p w14:paraId="6858924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Selectively extracts electrons, modifies the cathode interface, lowers contact resistance, and helps block holes from reaching the Ag electrode.</w:t>
            </w:r>
          </w:p>
        </w:tc>
      </w:tr>
      <w:tr w:rsidR="00072E3F" w:rsidRPr="00072E3F" w14:paraId="66A420A3" w14:textId="77777777" w:rsidTr="00072E3F">
        <w:trPr>
          <w:jc w:val="center"/>
        </w:trPr>
        <w:tc>
          <w:tcPr>
            <w:tcW w:w="2261" w:type="dxa"/>
            <w:vAlign w:val="center"/>
          </w:tcPr>
          <w:p w14:paraId="548F6DE2"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Back metal electrode</w:t>
            </w:r>
          </w:p>
        </w:tc>
        <w:tc>
          <w:tcPr>
            <w:tcW w:w="1829" w:type="dxa"/>
            <w:vAlign w:val="center"/>
          </w:tcPr>
          <w:p w14:paraId="1D776313"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Ag, 100 nm</w:t>
            </w:r>
          </w:p>
        </w:tc>
        <w:tc>
          <w:tcPr>
            <w:tcW w:w="4206" w:type="dxa"/>
            <w:vAlign w:val="center"/>
          </w:tcPr>
          <w:p w14:paraId="08209FEE"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Collects electrons from the ETL side, defines the top contact, and completes the external circuit.</w:t>
            </w:r>
          </w:p>
        </w:tc>
      </w:tr>
    </w:tbl>
    <w:p w14:paraId="721136D7" w14:textId="4E7FE82E" w:rsidR="00723BAD" w:rsidRPr="00723BAD" w:rsidRDefault="00723BAD" w:rsidP="00723BAD">
      <w:pPr>
        <w:jc w:val="center"/>
        <w:rPr>
          <w:rFonts w:ascii="Times New Roman" w:eastAsiaTheme="minorEastAsia" w:hAnsi="Times New Roman" w:cs="Times New Roman"/>
          <w:i/>
          <w:iCs/>
          <w:sz w:val="15"/>
          <w:szCs w:val="15"/>
        </w:rPr>
      </w:pPr>
      <w:r w:rsidRPr="0058619E">
        <w:rPr>
          <w:rFonts w:ascii="Times New Roman" w:eastAsiaTheme="minorEastAsia" w:hAnsi="Times New Roman" w:cs="Times New Roman"/>
          <w:b/>
          <w:bCs/>
          <w:i/>
          <w:iCs/>
          <w:sz w:val="15"/>
          <w:szCs w:val="15"/>
        </w:rPr>
        <w:t>Table 1.</w:t>
      </w:r>
      <w:r w:rsidRPr="00723BAD">
        <w:rPr>
          <w:rFonts w:ascii="Times New Roman" w:eastAsiaTheme="minorEastAsia" w:hAnsi="Times New Roman" w:cs="Times New Roman"/>
          <w:i/>
          <w:iCs/>
          <w:sz w:val="15"/>
          <w:szCs w:val="15"/>
        </w:rPr>
        <w:t xml:space="preserve"> Device structure, materials, and functions of each layer in the organic solar cells.</w:t>
      </w:r>
    </w:p>
    <w:p w14:paraId="5D9C0F98" w14:textId="5B875693" w:rsidR="00072E3F" w:rsidRPr="00072E3F" w:rsidRDefault="00072E3F" w:rsidP="00072E3F">
      <w:pPr>
        <w:pStyle w:val="a9"/>
        <w:numPr>
          <w:ilvl w:val="0"/>
          <w:numId w:val="2"/>
        </w:numPr>
        <w:rPr>
          <w:rFonts w:ascii="Times New Roman" w:eastAsiaTheme="minorEastAsia" w:hAnsi="Times New Roman" w:cs="Times New Roman"/>
          <w:b/>
          <w:bCs/>
          <w:sz w:val="28"/>
          <w:szCs w:val="28"/>
        </w:rPr>
      </w:pPr>
      <w:r w:rsidRPr="00072E3F">
        <w:rPr>
          <w:rFonts w:ascii="Times New Roman" w:hAnsi="Times New Roman" w:cs="Times New Roman"/>
          <w:b/>
          <w:bCs/>
          <w:sz w:val="28"/>
          <w:szCs w:val="28"/>
        </w:rPr>
        <w:t>Experimental Method</w:t>
      </w:r>
    </w:p>
    <w:p w14:paraId="21EDDDE6" w14:textId="77777777" w:rsidR="00072E3F" w:rsidRPr="00072E3F" w:rsidRDefault="00072E3F" w:rsidP="00072E3F">
      <w:pPr>
        <w:spacing w:after="100" w:line="259" w:lineRule="auto"/>
        <w:rPr>
          <w:rFonts w:ascii="Times New Roman" w:hAnsi="Times New Roman" w:cs="Times New Roman"/>
        </w:rPr>
      </w:pPr>
      <w:r w:rsidRPr="00072E3F">
        <w:rPr>
          <w:rFonts w:ascii="Times New Roman" w:hAnsi="Times New Roman" w:cs="Times New Roman"/>
        </w:rPr>
        <w:t xml:space="preserve">Patterned ITO/glass substrates were cleaned by sequential sonication in detergent water, deionized water, and absolute ethanol for 15 min each. The substrates were dried with an air gun and stored at 60 </w:t>
      </w:r>
      <w:proofErr w:type="spellStart"/>
      <w:r w:rsidRPr="00072E3F">
        <w:rPr>
          <w:rFonts w:ascii="Times New Roman" w:hAnsi="Times New Roman" w:cs="Times New Roman"/>
        </w:rPr>
        <w:t>degC</w:t>
      </w:r>
      <w:proofErr w:type="spellEnd"/>
      <w:r w:rsidRPr="00072E3F">
        <w:rPr>
          <w:rFonts w:ascii="Times New Roman" w:hAnsi="Times New Roman" w:cs="Times New Roman"/>
        </w:rPr>
        <w:t xml:space="preserve"> for 1 h before use. Before film deposition, the substrates were treated by UV-ozone for 20 min.</w:t>
      </w:r>
    </w:p>
    <w:p w14:paraId="47065302" w14:textId="30405E86" w:rsidR="00072E3F" w:rsidRPr="00072E3F" w:rsidRDefault="00072E3F" w:rsidP="00072E3F">
      <w:pPr>
        <w:spacing w:after="100" w:line="259" w:lineRule="auto"/>
        <w:rPr>
          <w:rFonts w:ascii="Times New Roman" w:eastAsiaTheme="minorEastAsia" w:hAnsi="Times New Roman" w:cs="Times New Roman"/>
        </w:rPr>
      </w:pPr>
      <w:r w:rsidRPr="00072E3F">
        <w:rPr>
          <w:rFonts w:ascii="Times New Roman" w:hAnsi="Times New Roman" w:cs="Times New Roman"/>
        </w:rPr>
        <w:t xml:space="preserve">The active-layer solutions were prepared using chloroform as solvent. Three device conditions were fabricated: D18:Y6 with a 1:1.2 donor-to-acceptor ratio without additive, D18:Y6 with additive, and D18 only. </w:t>
      </w:r>
      <w:proofErr w:type="gramStart"/>
      <w:r w:rsidRPr="00072E3F">
        <w:rPr>
          <w:rFonts w:ascii="Times New Roman" w:hAnsi="Times New Roman" w:cs="Times New Roman"/>
        </w:rPr>
        <w:t>PEDOT:PSS</w:t>
      </w:r>
      <w:proofErr w:type="gramEnd"/>
      <w:r w:rsidRPr="00072E3F">
        <w:rPr>
          <w:rFonts w:ascii="Times New Roman" w:hAnsi="Times New Roman" w:cs="Times New Roman"/>
        </w:rPr>
        <w:t xml:space="preserve"> was spin-coated at 4000 rpm. The active layers were spin-coated inside the glovebox at 3000 rpm and then thermally annealed. PDINN was spin-coated at 3000 rpm. Finally, 100 nm Ag was thermally evaporated through a shadow mask.</w:t>
      </w:r>
    </w:p>
    <w:p w14:paraId="3CBA9D25" w14:textId="7C1A27A9" w:rsidR="00072E3F" w:rsidRPr="00072E3F" w:rsidRDefault="00072E3F" w:rsidP="00D57F7D">
      <w:pPr>
        <w:widowControl/>
        <w:rPr>
          <w:rFonts w:ascii="Times New Roman" w:eastAsia="宋体" w:hAnsi="Times New Roman" w:cs="Times New Roman"/>
          <w:b/>
          <w:bCs/>
          <w:sz w:val="28"/>
          <w:szCs w:val="28"/>
        </w:rPr>
      </w:pPr>
      <w:r w:rsidRPr="00072E3F">
        <w:rPr>
          <w:rFonts w:ascii="Times New Roman" w:eastAsiaTheme="minorEastAsia" w:hAnsi="Times New Roman" w:cs="Times New Roman"/>
          <w:b/>
          <w:bCs/>
          <w:sz w:val="28"/>
          <w:szCs w:val="28"/>
        </w:rPr>
        <w:lastRenderedPageBreak/>
        <w:t xml:space="preserve">4.1 </w:t>
      </w:r>
      <w:r w:rsidRPr="00072E3F">
        <w:rPr>
          <w:rFonts w:ascii="Times New Roman" w:hAnsi="Times New Roman" w:cs="Times New Roman"/>
          <w:b/>
          <w:bCs/>
          <w:sz w:val="28"/>
          <w:szCs w:val="28"/>
        </w:rPr>
        <w:t>Purpose of Each Fabrication Step</w:t>
      </w:r>
    </w:p>
    <w:tbl>
      <w:tblPr>
        <w:tblStyle w:val="af2"/>
        <w:tblW w:w="0" w:type="auto"/>
        <w:jc w:val="center"/>
        <w:tblLook w:val="04A0" w:firstRow="1" w:lastRow="0" w:firstColumn="1" w:lastColumn="0" w:noHBand="0" w:noVBand="1"/>
      </w:tblPr>
      <w:tblGrid>
        <w:gridCol w:w="742"/>
        <w:gridCol w:w="2812"/>
        <w:gridCol w:w="4742"/>
      </w:tblGrid>
      <w:tr w:rsidR="00072E3F" w:rsidRPr="00072E3F" w14:paraId="3C77DD79" w14:textId="77777777" w:rsidTr="00723BAD">
        <w:trPr>
          <w:jc w:val="center"/>
        </w:trPr>
        <w:tc>
          <w:tcPr>
            <w:tcW w:w="742" w:type="dxa"/>
            <w:vAlign w:val="center"/>
          </w:tcPr>
          <w:p w14:paraId="6071C400"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Step</w:t>
            </w:r>
          </w:p>
        </w:tc>
        <w:tc>
          <w:tcPr>
            <w:tcW w:w="2812" w:type="dxa"/>
            <w:vAlign w:val="center"/>
          </w:tcPr>
          <w:p w14:paraId="0779212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Process</w:t>
            </w:r>
          </w:p>
        </w:tc>
        <w:tc>
          <w:tcPr>
            <w:tcW w:w="4742" w:type="dxa"/>
            <w:vAlign w:val="center"/>
          </w:tcPr>
          <w:p w14:paraId="4CFA616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Purpose / analysis</w:t>
            </w:r>
          </w:p>
        </w:tc>
      </w:tr>
      <w:tr w:rsidR="00072E3F" w:rsidRPr="00072E3F" w14:paraId="5180BA17" w14:textId="77777777" w:rsidTr="00723BAD">
        <w:trPr>
          <w:jc w:val="center"/>
        </w:trPr>
        <w:tc>
          <w:tcPr>
            <w:tcW w:w="742" w:type="dxa"/>
            <w:vAlign w:val="center"/>
          </w:tcPr>
          <w:p w14:paraId="5D784D1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w:t>
            </w:r>
          </w:p>
        </w:tc>
        <w:tc>
          <w:tcPr>
            <w:tcW w:w="2812" w:type="dxa"/>
            <w:vAlign w:val="center"/>
          </w:tcPr>
          <w:p w14:paraId="6B33296C"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Sonication in detergent water for 15 min</w:t>
            </w:r>
          </w:p>
        </w:tc>
        <w:tc>
          <w:tcPr>
            <w:tcW w:w="4742" w:type="dxa"/>
            <w:vAlign w:val="center"/>
          </w:tcPr>
          <w:p w14:paraId="24C916E9"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Removes dust, grease, and loosely attached organic residues from patterned ITO/glass. This reduces shunting pathways and improves the reproducibility of later coating steps.</w:t>
            </w:r>
          </w:p>
        </w:tc>
      </w:tr>
      <w:tr w:rsidR="00072E3F" w:rsidRPr="00072E3F" w14:paraId="3FD4C09B" w14:textId="77777777" w:rsidTr="00723BAD">
        <w:trPr>
          <w:jc w:val="center"/>
        </w:trPr>
        <w:tc>
          <w:tcPr>
            <w:tcW w:w="742" w:type="dxa"/>
            <w:vAlign w:val="center"/>
          </w:tcPr>
          <w:p w14:paraId="526FEF34"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2</w:t>
            </w:r>
          </w:p>
        </w:tc>
        <w:tc>
          <w:tcPr>
            <w:tcW w:w="2812" w:type="dxa"/>
            <w:vAlign w:val="center"/>
          </w:tcPr>
          <w:p w14:paraId="2B38787B"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Sonication in deionized water for 15 min</w:t>
            </w:r>
          </w:p>
        </w:tc>
        <w:tc>
          <w:tcPr>
            <w:tcW w:w="4742" w:type="dxa"/>
            <w:vAlign w:val="center"/>
          </w:tcPr>
          <w:p w14:paraId="3072D150"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Rinses away detergent residues and soluble ionic contaminants. A cleaner ITO surface helps avoid leakage current and interfacial recombination.</w:t>
            </w:r>
          </w:p>
        </w:tc>
      </w:tr>
      <w:tr w:rsidR="00072E3F" w:rsidRPr="00072E3F" w14:paraId="4C952B0D" w14:textId="77777777" w:rsidTr="00723BAD">
        <w:trPr>
          <w:jc w:val="center"/>
        </w:trPr>
        <w:tc>
          <w:tcPr>
            <w:tcW w:w="742" w:type="dxa"/>
            <w:vAlign w:val="center"/>
          </w:tcPr>
          <w:p w14:paraId="5FEDCC47"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3</w:t>
            </w:r>
          </w:p>
        </w:tc>
        <w:tc>
          <w:tcPr>
            <w:tcW w:w="2812" w:type="dxa"/>
            <w:vAlign w:val="center"/>
          </w:tcPr>
          <w:p w14:paraId="40C2B50E"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Sonication in absolute ethanol for 15 min</w:t>
            </w:r>
          </w:p>
        </w:tc>
        <w:tc>
          <w:tcPr>
            <w:tcW w:w="4742" w:type="dxa"/>
            <w:vAlign w:val="center"/>
          </w:tcPr>
          <w:p w14:paraId="08A8BE32"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Further removes organic residues and promotes rapid drying. Ethanol is volatile and helps leave a cleaner substrate surface before thermal drying.</w:t>
            </w:r>
          </w:p>
        </w:tc>
      </w:tr>
      <w:tr w:rsidR="00072E3F" w:rsidRPr="00072E3F" w14:paraId="7C7C6198" w14:textId="77777777" w:rsidTr="00723BAD">
        <w:trPr>
          <w:jc w:val="center"/>
        </w:trPr>
        <w:tc>
          <w:tcPr>
            <w:tcW w:w="742" w:type="dxa"/>
            <w:vAlign w:val="center"/>
          </w:tcPr>
          <w:p w14:paraId="11A175FB"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4</w:t>
            </w:r>
          </w:p>
        </w:tc>
        <w:tc>
          <w:tcPr>
            <w:tcW w:w="2812" w:type="dxa"/>
            <w:vAlign w:val="center"/>
          </w:tcPr>
          <w:p w14:paraId="7A37D301"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 xml:space="preserve">Air-gun drying and storage at 60 </w:t>
            </w:r>
            <w:proofErr w:type="spellStart"/>
            <w:r w:rsidRPr="00072E3F">
              <w:rPr>
                <w:rFonts w:ascii="Times New Roman" w:hAnsi="Times New Roman" w:cs="Times New Roman"/>
                <w:sz w:val="16"/>
              </w:rPr>
              <w:t>degC</w:t>
            </w:r>
            <w:proofErr w:type="spellEnd"/>
            <w:r w:rsidRPr="00072E3F">
              <w:rPr>
                <w:rFonts w:ascii="Times New Roman" w:hAnsi="Times New Roman" w:cs="Times New Roman"/>
                <w:sz w:val="16"/>
              </w:rPr>
              <w:t xml:space="preserve"> for 1 h</w:t>
            </w:r>
          </w:p>
        </w:tc>
        <w:tc>
          <w:tcPr>
            <w:tcW w:w="4742" w:type="dxa"/>
            <w:vAlign w:val="center"/>
          </w:tcPr>
          <w:p w14:paraId="4AA6CFB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 xml:space="preserve">Removes residual solvent and moisture from the substrate. Dry substrates are important for uniform </w:t>
            </w:r>
            <w:proofErr w:type="gramStart"/>
            <w:r w:rsidRPr="00072E3F">
              <w:rPr>
                <w:rFonts w:ascii="Times New Roman" w:hAnsi="Times New Roman" w:cs="Times New Roman"/>
                <w:sz w:val="16"/>
              </w:rPr>
              <w:t>PEDOT:PSS</w:t>
            </w:r>
            <w:proofErr w:type="gramEnd"/>
            <w:r w:rsidRPr="00072E3F">
              <w:rPr>
                <w:rFonts w:ascii="Times New Roman" w:hAnsi="Times New Roman" w:cs="Times New Roman"/>
                <w:sz w:val="16"/>
              </w:rPr>
              <w:t xml:space="preserve"> coating and stable device interfaces.</w:t>
            </w:r>
          </w:p>
        </w:tc>
      </w:tr>
      <w:tr w:rsidR="00072E3F" w:rsidRPr="00072E3F" w14:paraId="126F2850" w14:textId="77777777" w:rsidTr="00723BAD">
        <w:trPr>
          <w:jc w:val="center"/>
        </w:trPr>
        <w:tc>
          <w:tcPr>
            <w:tcW w:w="742" w:type="dxa"/>
            <w:vAlign w:val="center"/>
          </w:tcPr>
          <w:p w14:paraId="4AB8FF8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5</w:t>
            </w:r>
          </w:p>
        </w:tc>
        <w:tc>
          <w:tcPr>
            <w:tcW w:w="2812" w:type="dxa"/>
            <w:vAlign w:val="center"/>
          </w:tcPr>
          <w:p w14:paraId="36309D77"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Preparation of D18:Y6 and D18 solutions using chloroform as solvent</w:t>
            </w:r>
          </w:p>
        </w:tc>
        <w:tc>
          <w:tcPr>
            <w:tcW w:w="4742" w:type="dxa"/>
            <w:vAlign w:val="center"/>
          </w:tcPr>
          <w:p w14:paraId="02159E86"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Creates the active-layer inks. The D18:Y6 blend provides donor-acceptor interfaces for exciton dissociation, while D18-only devices serve as a control for comparison.</w:t>
            </w:r>
          </w:p>
        </w:tc>
      </w:tr>
      <w:tr w:rsidR="00072E3F" w:rsidRPr="00072E3F" w14:paraId="3B1A7302" w14:textId="77777777" w:rsidTr="00723BAD">
        <w:trPr>
          <w:jc w:val="center"/>
        </w:trPr>
        <w:tc>
          <w:tcPr>
            <w:tcW w:w="742" w:type="dxa"/>
            <w:vAlign w:val="center"/>
          </w:tcPr>
          <w:p w14:paraId="4D6A504B"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6</w:t>
            </w:r>
          </w:p>
        </w:tc>
        <w:tc>
          <w:tcPr>
            <w:tcW w:w="2812" w:type="dxa"/>
            <w:vAlign w:val="center"/>
          </w:tcPr>
          <w:p w14:paraId="029725D1"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UV-ozone treatment for 20 min</w:t>
            </w:r>
          </w:p>
        </w:tc>
        <w:tc>
          <w:tcPr>
            <w:tcW w:w="4742" w:type="dxa"/>
            <w:vAlign w:val="center"/>
          </w:tcPr>
          <w:p w14:paraId="7B926ADC"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 xml:space="preserve">Removes remaining organic contamination and increases the surface energy of ITO. This improves wettability and helps </w:t>
            </w:r>
            <w:proofErr w:type="gramStart"/>
            <w:r w:rsidRPr="00072E3F">
              <w:rPr>
                <w:rFonts w:ascii="Times New Roman" w:hAnsi="Times New Roman" w:cs="Times New Roman"/>
                <w:sz w:val="16"/>
              </w:rPr>
              <w:t>PEDOT:PSS</w:t>
            </w:r>
            <w:proofErr w:type="gramEnd"/>
            <w:r w:rsidRPr="00072E3F">
              <w:rPr>
                <w:rFonts w:ascii="Times New Roman" w:hAnsi="Times New Roman" w:cs="Times New Roman"/>
                <w:sz w:val="16"/>
              </w:rPr>
              <w:t xml:space="preserve"> form a continuous film.</w:t>
            </w:r>
          </w:p>
        </w:tc>
      </w:tr>
      <w:tr w:rsidR="00072E3F" w:rsidRPr="00072E3F" w14:paraId="5E3580B8" w14:textId="77777777" w:rsidTr="00723BAD">
        <w:trPr>
          <w:jc w:val="center"/>
        </w:trPr>
        <w:tc>
          <w:tcPr>
            <w:tcW w:w="742" w:type="dxa"/>
            <w:vAlign w:val="center"/>
          </w:tcPr>
          <w:p w14:paraId="00BAF2AA"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7</w:t>
            </w:r>
          </w:p>
        </w:tc>
        <w:tc>
          <w:tcPr>
            <w:tcW w:w="2812" w:type="dxa"/>
            <w:vAlign w:val="center"/>
          </w:tcPr>
          <w:p w14:paraId="1EFC1C8E"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 xml:space="preserve">Spin-coating </w:t>
            </w:r>
            <w:proofErr w:type="gramStart"/>
            <w:r w:rsidRPr="00072E3F">
              <w:rPr>
                <w:rFonts w:ascii="Times New Roman" w:hAnsi="Times New Roman" w:cs="Times New Roman"/>
                <w:sz w:val="16"/>
              </w:rPr>
              <w:t>PEDOT:PSS</w:t>
            </w:r>
            <w:proofErr w:type="gramEnd"/>
            <w:r w:rsidRPr="00072E3F">
              <w:rPr>
                <w:rFonts w:ascii="Times New Roman" w:hAnsi="Times New Roman" w:cs="Times New Roman"/>
                <w:sz w:val="16"/>
              </w:rPr>
              <w:t xml:space="preserve"> at 4000 rpm</w:t>
            </w:r>
          </w:p>
        </w:tc>
        <w:tc>
          <w:tcPr>
            <w:tcW w:w="4742" w:type="dxa"/>
            <w:vAlign w:val="center"/>
          </w:tcPr>
          <w:p w14:paraId="48E0414A"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 xml:space="preserve">Forms the hole transport layer. </w:t>
            </w:r>
            <w:proofErr w:type="gramStart"/>
            <w:r w:rsidRPr="00072E3F">
              <w:rPr>
                <w:rFonts w:ascii="Times New Roman" w:hAnsi="Times New Roman" w:cs="Times New Roman"/>
                <w:sz w:val="16"/>
              </w:rPr>
              <w:t>PEDOT:PSS</w:t>
            </w:r>
            <w:proofErr w:type="gramEnd"/>
            <w:r w:rsidRPr="00072E3F">
              <w:rPr>
                <w:rFonts w:ascii="Times New Roman" w:hAnsi="Times New Roman" w:cs="Times New Roman"/>
                <w:sz w:val="16"/>
              </w:rPr>
              <w:t xml:space="preserve"> smooths the ITO surface, extracts holes, and blocks electrons at the illuminated electrode side.</w:t>
            </w:r>
          </w:p>
        </w:tc>
      </w:tr>
      <w:tr w:rsidR="00072E3F" w:rsidRPr="00072E3F" w14:paraId="420A531C" w14:textId="77777777" w:rsidTr="00723BAD">
        <w:trPr>
          <w:jc w:val="center"/>
        </w:trPr>
        <w:tc>
          <w:tcPr>
            <w:tcW w:w="742" w:type="dxa"/>
            <w:vAlign w:val="center"/>
          </w:tcPr>
          <w:p w14:paraId="45980A48"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8</w:t>
            </w:r>
          </w:p>
        </w:tc>
        <w:tc>
          <w:tcPr>
            <w:tcW w:w="2812" w:type="dxa"/>
            <w:vAlign w:val="center"/>
          </w:tcPr>
          <w:p w14:paraId="74CF3429"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Transfer of substrates into the glovebox</w:t>
            </w:r>
          </w:p>
        </w:tc>
        <w:tc>
          <w:tcPr>
            <w:tcW w:w="4742" w:type="dxa"/>
            <w:vAlign w:val="center"/>
          </w:tcPr>
          <w:p w14:paraId="4C10F816"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Protects the organic active-layer materials from oxygen and moisture during deposition. This is important because both the donor-acceptor morphology and interfaces are sensitive to ambient exposure.</w:t>
            </w:r>
          </w:p>
        </w:tc>
      </w:tr>
      <w:tr w:rsidR="00072E3F" w:rsidRPr="00072E3F" w14:paraId="21206964" w14:textId="77777777" w:rsidTr="00723BAD">
        <w:trPr>
          <w:jc w:val="center"/>
        </w:trPr>
        <w:tc>
          <w:tcPr>
            <w:tcW w:w="742" w:type="dxa"/>
            <w:vAlign w:val="center"/>
          </w:tcPr>
          <w:p w14:paraId="21234153"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9</w:t>
            </w:r>
          </w:p>
        </w:tc>
        <w:tc>
          <w:tcPr>
            <w:tcW w:w="2812" w:type="dxa"/>
            <w:vAlign w:val="center"/>
          </w:tcPr>
          <w:p w14:paraId="608DD30F"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Spin-coating active layers at 3000 rpm: D18:Y6 without additive, D18:Y6 with additive, and D18 only</w:t>
            </w:r>
          </w:p>
        </w:tc>
        <w:tc>
          <w:tcPr>
            <w:tcW w:w="4742" w:type="dxa"/>
            <w:vAlign w:val="center"/>
          </w:tcPr>
          <w:p w14:paraId="3BE6D259"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Deposits the photoactive semiconductor layer. Comparing these three conditions reveals the role of the Y6 acceptor and the effect of additive-assisted morphology control.</w:t>
            </w:r>
          </w:p>
        </w:tc>
      </w:tr>
      <w:tr w:rsidR="00072E3F" w:rsidRPr="00072E3F" w14:paraId="6BC62DD5" w14:textId="77777777" w:rsidTr="00723BAD">
        <w:trPr>
          <w:jc w:val="center"/>
        </w:trPr>
        <w:tc>
          <w:tcPr>
            <w:tcW w:w="742" w:type="dxa"/>
            <w:vAlign w:val="center"/>
          </w:tcPr>
          <w:p w14:paraId="7377D89F"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10</w:t>
            </w:r>
          </w:p>
        </w:tc>
        <w:tc>
          <w:tcPr>
            <w:tcW w:w="2812" w:type="dxa"/>
            <w:vAlign w:val="center"/>
          </w:tcPr>
          <w:p w14:paraId="57BE4DE9"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Thermal annealing of the active layers</w:t>
            </w:r>
          </w:p>
        </w:tc>
        <w:tc>
          <w:tcPr>
            <w:tcW w:w="4742" w:type="dxa"/>
            <w:vAlign w:val="center"/>
          </w:tcPr>
          <w:p w14:paraId="3ABFD11E"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Promotes solvent removal, molecular packing, and phase organization. Proper annealing can improve charge transport and reduce recombination in the blend film.</w:t>
            </w:r>
          </w:p>
        </w:tc>
      </w:tr>
      <w:tr w:rsidR="00072E3F" w:rsidRPr="00072E3F" w14:paraId="5D3C542E" w14:textId="77777777" w:rsidTr="00723BAD">
        <w:trPr>
          <w:jc w:val="center"/>
        </w:trPr>
        <w:tc>
          <w:tcPr>
            <w:tcW w:w="742" w:type="dxa"/>
            <w:vAlign w:val="center"/>
          </w:tcPr>
          <w:p w14:paraId="2CD93E97"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11</w:t>
            </w:r>
          </w:p>
        </w:tc>
        <w:tc>
          <w:tcPr>
            <w:tcW w:w="2812" w:type="dxa"/>
            <w:vAlign w:val="center"/>
          </w:tcPr>
          <w:p w14:paraId="2542E439"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Spin-coating PDINN at 3000 rpm</w:t>
            </w:r>
          </w:p>
        </w:tc>
        <w:tc>
          <w:tcPr>
            <w:tcW w:w="4742" w:type="dxa"/>
            <w:vAlign w:val="center"/>
          </w:tcPr>
          <w:p w14:paraId="123A2F7C"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Forms the electron transport/interfacial layer. PDINN improves electron extraction at the cathode side and reduces contact resistance with the Ag electrode.</w:t>
            </w:r>
          </w:p>
        </w:tc>
      </w:tr>
      <w:tr w:rsidR="00072E3F" w:rsidRPr="00072E3F" w14:paraId="419E5ECE" w14:textId="77777777" w:rsidTr="00723BAD">
        <w:trPr>
          <w:jc w:val="center"/>
        </w:trPr>
        <w:tc>
          <w:tcPr>
            <w:tcW w:w="742" w:type="dxa"/>
            <w:vAlign w:val="center"/>
          </w:tcPr>
          <w:p w14:paraId="6E764206"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12</w:t>
            </w:r>
          </w:p>
        </w:tc>
        <w:tc>
          <w:tcPr>
            <w:tcW w:w="2812" w:type="dxa"/>
            <w:vAlign w:val="center"/>
          </w:tcPr>
          <w:p w14:paraId="49CFCDC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Shadow-mask alignment and thermal evaporation of 100 nm Ag</w:t>
            </w:r>
          </w:p>
        </w:tc>
        <w:tc>
          <w:tcPr>
            <w:tcW w:w="4742" w:type="dxa"/>
            <w:vAlign w:val="center"/>
          </w:tcPr>
          <w:p w14:paraId="4417016C"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Defines the active device area and deposits the top electrode. Ag collects electrons and completes the external circuit.</w:t>
            </w:r>
          </w:p>
        </w:tc>
      </w:tr>
      <w:tr w:rsidR="00072E3F" w:rsidRPr="00072E3F" w14:paraId="7EA5AE6A" w14:textId="77777777" w:rsidTr="00723BAD">
        <w:trPr>
          <w:trHeight w:val="708"/>
          <w:jc w:val="center"/>
        </w:trPr>
        <w:tc>
          <w:tcPr>
            <w:tcW w:w="742" w:type="dxa"/>
            <w:vAlign w:val="center"/>
          </w:tcPr>
          <w:p w14:paraId="73A7E51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13</w:t>
            </w:r>
          </w:p>
        </w:tc>
        <w:tc>
          <w:tcPr>
            <w:tcW w:w="2812" w:type="dxa"/>
            <w:vAlign w:val="center"/>
          </w:tcPr>
          <w:p w14:paraId="0B0D9967"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Device performance measurement using a solar simulator and EQE system</w:t>
            </w:r>
          </w:p>
        </w:tc>
        <w:tc>
          <w:tcPr>
            <w:tcW w:w="4742" w:type="dxa"/>
            <w:vAlign w:val="center"/>
          </w:tcPr>
          <w:p w14:paraId="23C2AE4E"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Extracts J-V parameters including VOC, JSC, FF, and PCE, and measures wavelength-resolved photocurrent generation through EQE spectra.</w:t>
            </w:r>
          </w:p>
        </w:tc>
      </w:tr>
    </w:tbl>
    <w:p w14:paraId="1B7140C9" w14:textId="62CF31D0" w:rsidR="00723BAD" w:rsidRPr="00723BAD" w:rsidRDefault="00723BAD" w:rsidP="00723BAD">
      <w:pPr>
        <w:widowControl/>
        <w:jc w:val="center"/>
        <w:rPr>
          <w:rFonts w:ascii="Times New Roman" w:eastAsiaTheme="minorEastAsia" w:hAnsi="Times New Roman" w:cs="Times New Roman"/>
          <w:i/>
          <w:iCs/>
          <w:sz w:val="15"/>
          <w:szCs w:val="15"/>
        </w:rPr>
      </w:pPr>
      <w:r w:rsidRPr="0058619E">
        <w:rPr>
          <w:rFonts w:ascii="Times New Roman" w:eastAsiaTheme="minorEastAsia" w:hAnsi="Times New Roman" w:cs="Times New Roman"/>
          <w:b/>
          <w:bCs/>
          <w:i/>
          <w:iCs/>
          <w:sz w:val="15"/>
          <w:szCs w:val="15"/>
        </w:rPr>
        <w:t xml:space="preserve">Table 2. </w:t>
      </w:r>
      <w:r w:rsidRPr="00723BAD">
        <w:rPr>
          <w:rFonts w:ascii="Times New Roman" w:eastAsiaTheme="minorEastAsia" w:hAnsi="Times New Roman" w:cs="Times New Roman"/>
          <w:i/>
          <w:iCs/>
          <w:sz w:val="15"/>
          <w:szCs w:val="15"/>
        </w:rPr>
        <w:t>Detailed fabrication process and corresponding purposes for each step of the organic solar cells.</w:t>
      </w:r>
    </w:p>
    <w:p w14:paraId="16B936B3" w14:textId="11292B09" w:rsidR="000237DD" w:rsidRPr="00072E3F" w:rsidRDefault="00072E3F">
      <w:p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 xml:space="preserve">5 </w:t>
      </w:r>
      <w:r w:rsidR="000237DD" w:rsidRPr="00072E3F">
        <w:rPr>
          <w:rFonts w:ascii="Times New Roman" w:eastAsiaTheme="minorEastAsia" w:hAnsi="Times New Roman" w:cs="Times New Roman"/>
          <w:b/>
          <w:bCs/>
          <w:sz w:val="28"/>
          <w:szCs w:val="28"/>
        </w:rPr>
        <w:t>Result</w:t>
      </w:r>
    </w:p>
    <w:p w14:paraId="27BC301B" w14:textId="0DA5E376" w:rsidR="000237DD" w:rsidRPr="00072E3F" w:rsidRDefault="00072E3F">
      <w:pPr>
        <w:rPr>
          <w:rFonts w:ascii="Times New Roman" w:eastAsia="宋体" w:hAnsi="Times New Roman" w:cs="Times New Roman"/>
          <w:sz w:val="26"/>
          <w:szCs w:val="26"/>
        </w:rPr>
      </w:pPr>
      <w:r w:rsidRPr="00072E3F">
        <w:rPr>
          <w:rFonts w:ascii="Times New Roman" w:eastAsia="宋体" w:hAnsi="Times New Roman" w:cs="Times New Roman"/>
          <w:b/>
          <w:sz w:val="26"/>
          <w:szCs w:val="26"/>
        </w:rPr>
        <w:lastRenderedPageBreak/>
        <w:t xml:space="preserve">5.1 </w:t>
      </w:r>
      <w:r w:rsidR="000237DD" w:rsidRPr="00072E3F">
        <w:rPr>
          <w:rFonts w:ascii="Times New Roman" w:eastAsia="宋体" w:hAnsi="Times New Roman" w:cs="Times New Roman"/>
          <w:b/>
          <w:sz w:val="26"/>
          <w:szCs w:val="26"/>
        </w:rPr>
        <w:t>J-V Characteristics</w:t>
      </w:r>
    </w:p>
    <w:p w14:paraId="62D72CD8" w14:textId="40710B93" w:rsidR="00072E3F" w:rsidRPr="00723BAD" w:rsidRDefault="00072E3F" w:rsidP="00723BAD">
      <w:pPr>
        <w:jc w:val="center"/>
        <w:rPr>
          <w:rFonts w:ascii="Times New Roman" w:eastAsia="宋体" w:hAnsi="Times New Roman" w:cs="Times New Roman"/>
          <w:sz w:val="15"/>
          <w:szCs w:val="15"/>
        </w:rPr>
      </w:pPr>
      <w:r w:rsidRPr="00723BAD">
        <w:rPr>
          <w:rFonts w:ascii="Times New Roman" w:hAnsi="Times New Roman" w:cs="Times New Roman"/>
          <w:noProof/>
          <w:sz w:val="15"/>
          <w:szCs w:val="15"/>
        </w:rPr>
        <w:drawing>
          <wp:inline distT="0" distB="0" distL="0" distR="0" wp14:anchorId="1793DA5A" wp14:editId="4F76B630">
            <wp:extent cx="5274310" cy="1406139"/>
            <wp:effectExtent l="0" t="0" r="254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v_jv_curves.png"/>
                    <pic:cNvPicPr/>
                  </pic:nvPicPr>
                  <pic:blipFill>
                    <a:blip r:embed="rId7"/>
                    <a:stretch>
                      <a:fillRect/>
                    </a:stretch>
                  </pic:blipFill>
                  <pic:spPr>
                    <a:xfrm>
                      <a:off x="0" y="0"/>
                      <a:ext cx="5274310" cy="1406139"/>
                    </a:xfrm>
                    <a:prstGeom prst="rect">
                      <a:avLst/>
                    </a:prstGeom>
                  </pic:spPr>
                </pic:pic>
              </a:graphicData>
            </a:graphic>
          </wp:inline>
        </w:drawing>
      </w:r>
      <w:r w:rsidRPr="0058619E">
        <w:rPr>
          <w:rFonts w:ascii="Times New Roman" w:hAnsi="Times New Roman" w:cs="Times New Roman"/>
          <w:b/>
          <w:bCs/>
          <w:i/>
          <w:sz w:val="15"/>
          <w:szCs w:val="15"/>
        </w:rPr>
        <w:t>Figure 1.</w:t>
      </w:r>
      <w:r w:rsidRPr="00723BAD">
        <w:rPr>
          <w:rFonts w:ascii="Times New Roman" w:hAnsi="Times New Roman" w:cs="Times New Roman"/>
          <w:i/>
          <w:sz w:val="15"/>
          <w:szCs w:val="15"/>
        </w:rPr>
        <w:t xml:space="preserve"> J-V curves of D18-only and D18:Y6 OPV devices.</w:t>
      </w:r>
    </w:p>
    <w:p w14:paraId="61C35C7F" w14:textId="77777777" w:rsidR="00072E3F" w:rsidRPr="00072E3F" w:rsidRDefault="00072E3F" w:rsidP="00072E3F">
      <w:pPr>
        <w:spacing w:after="100" w:line="259" w:lineRule="auto"/>
        <w:rPr>
          <w:rFonts w:ascii="Times New Roman" w:hAnsi="Times New Roman" w:cs="Times New Roman"/>
        </w:rPr>
      </w:pPr>
      <w:r w:rsidRPr="00072E3F">
        <w:rPr>
          <w:rFonts w:ascii="Times New Roman" w:hAnsi="Times New Roman" w:cs="Times New Roman"/>
        </w:rPr>
        <w:t>The D18-only device produced extremely small current density because a single donor material does not provide an efficient acceptor interface for exciton dissociation. The D18:Y6 blend devices showed clear photovoltaic behavior. In the group3 data, adding the processing additive improved both JSC and FF, producing the highest PCE.</w:t>
      </w:r>
    </w:p>
    <w:p w14:paraId="2ACE493D" w14:textId="15FC4159" w:rsidR="00072E3F" w:rsidRPr="00072E3F" w:rsidRDefault="00072E3F" w:rsidP="00072E3F">
      <w:pPr>
        <w:jc w:val="center"/>
        <w:rPr>
          <w:rFonts w:ascii="Times New Roman" w:eastAsia="宋体" w:hAnsi="Times New Roman" w:cs="Times New Roman"/>
        </w:rPr>
      </w:pPr>
      <w:r w:rsidRPr="00072E3F">
        <w:rPr>
          <w:rFonts w:ascii="Times New Roman" w:hAnsi="Times New Roman" w:cs="Times New Roman"/>
          <w:noProof/>
        </w:rPr>
        <w:drawing>
          <wp:inline distT="0" distB="0" distL="0" distR="0" wp14:anchorId="3E09DE19" wp14:editId="1B9A3303">
            <wp:extent cx="5212080" cy="37575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v_performance_summary.png"/>
                    <pic:cNvPicPr/>
                  </pic:nvPicPr>
                  <pic:blipFill>
                    <a:blip r:embed="rId8"/>
                    <a:stretch>
                      <a:fillRect/>
                    </a:stretch>
                  </pic:blipFill>
                  <pic:spPr>
                    <a:xfrm>
                      <a:off x="0" y="0"/>
                      <a:ext cx="5212080" cy="3757546"/>
                    </a:xfrm>
                    <a:prstGeom prst="rect">
                      <a:avLst/>
                    </a:prstGeom>
                  </pic:spPr>
                </pic:pic>
              </a:graphicData>
            </a:graphic>
          </wp:inline>
        </w:drawing>
      </w:r>
      <w:r w:rsidRPr="0058619E">
        <w:rPr>
          <w:rFonts w:ascii="Times New Roman" w:hAnsi="Times New Roman" w:cs="Times New Roman"/>
          <w:b/>
          <w:bCs/>
          <w:i/>
          <w:sz w:val="15"/>
          <w:szCs w:val="15"/>
        </w:rPr>
        <w:t>Figure 2.</w:t>
      </w:r>
      <w:r w:rsidRPr="0058619E">
        <w:rPr>
          <w:rFonts w:ascii="Times New Roman" w:hAnsi="Times New Roman" w:cs="Times New Roman"/>
          <w:i/>
          <w:sz w:val="15"/>
          <w:szCs w:val="15"/>
        </w:rPr>
        <w:t xml:space="preserve"> Average photovoltaic parameters from five devices for each condition.</w:t>
      </w:r>
    </w:p>
    <w:tbl>
      <w:tblPr>
        <w:tblStyle w:val="af2"/>
        <w:tblW w:w="0" w:type="auto"/>
        <w:jc w:val="center"/>
        <w:tblLook w:val="04A0" w:firstRow="1" w:lastRow="0" w:firstColumn="1" w:lastColumn="0" w:noHBand="0" w:noVBand="1"/>
      </w:tblPr>
      <w:tblGrid>
        <w:gridCol w:w="1679"/>
        <w:gridCol w:w="1640"/>
        <w:gridCol w:w="1659"/>
        <w:gridCol w:w="1659"/>
        <w:gridCol w:w="1659"/>
      </w:tblGrid>
      <w:tr w:rsidR="00072E3F" w:rsidRPr="00072E3F" w14:paraId="04216726" w14:textId="77777777" w:rsidTr="00072E3F">
        <w:trPr>
          <w:jc w:val="center"/>
        </w:trPr>
        <w:tc>
          <w:tcPr>
            <w:tcW w:w="1679" w:type="dxa"/>
            <w:vAlign w:val="center"/>
          </w:tcPr>
          <w:p w14:paraId="77725D2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Device</w:t>
            </w:r>
          </w:p>
        </w:tc>
        <w:tc>
          <w:tcPr>
            <w:tcW w:w="1640" w:type="dxa"/>
            <w:vAlign w:val="center"/>
          </w:tcPr>
          <w:p w14:paraId="796DB0FB"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Voc (V)</w:t>
            </w:r>
          </w:p>
        </w:tc>
        <w:tc>
          <w:tcPr>
            <w:tcW w:w="1659" w:type="dxa"/>
            <w:vAlign w:val="center"/>
          </w:tcPr>
          <w:p w14:paraId="002B9662" w14:textId="77777777" w:rsidR="00072E3F" w:rsidRPr="00072E3F" w:rsidRDefault="00072E3F" w:rsidP="00F359BE">
            <w:pPr>
              <w:jc w:val="center"/>
              <w:rPr>
                <w:rFonts w:ascii="Times New Roman" w:hAnsi="Times New Roman" w:cs="Times New Roman"/>
              </w:rPr>
            </w:pPr>
            <w:proofErr w:type="spellStart"/>
            <w:r w:rsidRPr="00072E3F">
              <w:rPr>
                <w:rFonts w:ascii="Times New Roman" w:hAnsi="Times New Roman" w:cs="Times New Roman"/>
                <w:b/>
                <w:sz w:val="17"/>
              </w:rPr>
              <w:t>Jsc</w:t>
            </w:r>
            <w:proofErr w:type="spellEnd"/>
            <w:r w:rsidRPr="00072E3F">
              <w:rPr>
                <w:rFonts w:ascii="Times New Roman" w:hAnsi="Times New Roman" w:cs="Times New Roman"/>
                <w:b/>
                <w:sz w:val="17"/>
              </w:rPr>
              <w:t xml:space="preserve"> (mA cm^-2)</w:t>
            </w:r>
          </w:p>
        </w:tc>
        <w:tc>
          <w:tcPr>
            <w:tcW w:w="1659" w:type="dxa"/>
            <w:vAlign w:val="center"/>
          </w:tcPr>
          <w:p w14:paraId="2334D132"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FF (%)</w:t>
            </w:r>
          </w:p>
        </w:tc>
        <w:tc>
          <w:tcPr>
            <w:tcW w:w="1659" w:type="dxa"/>
            <w:vAlign w:val="center"/>
          </w:tcPr>
          <w:p w14:paraId="3C4A295B"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PCE (%)</w:t>
            </w:r>
          </w:p>
        </w:tc>
      </w:tr>
      <w:tr w:rsidR="00072E3F" w:rsidRPr="00072E3F" w14:paraId="7ECB0284" w14:textId="77777777" w:rsidTr="00072E3F">
        <w:trPr>
          <w:jc w:val="center"/>
        </w:trPr>
        <w:tc>
          <w:tcPr>
            <w:tcW w:w="1679" w:type="dxa"/>
            <w:vAlign w:val="center"/>
          </w:tcPr>
          <w:p w14:paraId="107EBD2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D18 only</w:t>
            </w:r>
          </w:p>
        </w:tc>
        <w:tc>
          <w:tcPr>
            <w:tcW w:w="1640" w:type="dxa"/>
            <w:vAlign w:val="center"/>
          </w:tcPr>
          <w:p w14:paraId="692C2CC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0.170</w:t>
            </w:r>
          </w:p>
        </w:tc>
        <w:tc>
          <w:tcPr>
            <w:tcW w:w="1659" w:type="dxa"/>
            <w:vAlign w:val="center"/>
          </w:tcPr>
          <w:p w14:paraId="5EBFC34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0.055</w:t>
            </w:r>
          </w:p>
        </w:tc>
        <w:tc>
          <w:tcPr>
            <w:tcW w:w="1659" w:type="dxa"/>
            <w:vAlign w:val="center"/>
          </w:tcPr>
          <w:p w14:paraId="7DB3A94C"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25.892</w:t>
            </w:r>
          </w:p>
        </w:tc>
        <w:tc>
          <w:tcPr>
            <w:tcW w:w="1659" w:type="dxa"/>
            <w:vAlign w:val="center"/>
          </w:tcPr>
          <w:p w14:paraId="7072CA62"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0.002</w:t>
            </w:r>
          </w:p>
        </w:tc>
      </w:tr>
      <w:tr w:rsidR="00072E3F" w:rsidRPr="00072E3F" w14:paraId="2EA32021" w14:textId="77777777" w:rsidTr="00072E3F">
        <w:trPr>
          <w:jc w:val="center"/>
        </w:trPr>
        <w:tc>
          <w:tcPr>
            <w:tcW w:w="1679" w:type="dxa"/>
            <w:vAlign w:val="center"/>
          </w:tcPr>
          <w:p w14:paraId="4D2C77F7"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D18:Y6 without additive</w:t>
            </w:r>
          </w:p>
        </w:tc>
        <w:tc>
          <w:tcPr>
            <w:tcW w:w="1640" w:type="dxa"/>
            <w:vAlign w:val="center"/>
          </w:tcPr>
          <w:p w14:paraId="3E031BD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0.890</w:t>
            </w:r>
          </w:p>
        </w:tc>
        <w:tc>
          <w:tcPr>
            <w:tcW w:w="1659" w:type="dxa"/>
            <w:vAlign w:val="center"/>
          </w:tcPr>
          <w:p w14:paraId="1850E506"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25.095</w:t>
            </w:r>
          </w:p>
        </w:tc>
        <w:tc>
          <w:tcPr>
            <w:tcW w:w="1659" w:type="dxa"/>
            <w:vAlign w:val="center"/>
          </w:tcPr>
          <w:p w14:paraId="726ED4B1"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68.245</w:t>
            </w:r>
          </w:p>
        </w:tc>
        <w:tc>
          <w:tcPr>
            <w:tcW w:w="1659" w:type="dxa"/>
            <w:vAlign w:val="center"/>
          </w:tcPr>
          <w:p w14:paraId="20E28F60"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15.242</w:t>
            </w:r>
          </w:p>
        </w:tc>
      </w:tr>
      <w:tr w:rsidR="00072E3F" w:rsidRPr="00072E3F" w14:paraId="6F7BCD04" w14:textId="77777777" w:rsidTr="00072E3F">
        <w:trPr>
          <w:jc w:val="center"/>
        </w:trPr>
        <w:tc>
          <w:tcPr>
            <w:tcW w:w="1679" w:type="dxa"/>
            <w:vAlign w:val="center"/>
          </w:tcPr>
          <w:p w14:paraId="43146C0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D18:Y6 with additive</w:t>
            </w:r>
          </w:p>
        </w:tc>
        <w:tc>
          <w:tcPr>
            <w:tcW w:w="1640" w:type="dxa"/>
            <w:vAlign w:val="center"/>
          </w:tcPr>
          <w:p w14:paraId="0182154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0.890</w:t>
            </w:r>
          </w:p>
        </w:tc>
        <w:tc>
          <w:tcPr>
            <w:tcW w:w="1659" w:type="dxa"/>
            <w:vAlign w:val="center"/>
          </w:tcPr>
          <w:p w14:paraId="7677F7FF"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26.474</w:t>
            </w:r>
          </w:p>
        </w:tc>
        <w:tc>
          <w:tcPr>
            <w:tcW w:w="1659" w:type="dxa"/>
            <w:vAlign w:val="center"/>
          </w:tcPr>
          <w:p w14:paraId="7371E75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70.742</w:t>
            </w:r>
          </w:p>
        </w:tc>
        <w:tc>
          <w:tcPr>
            <w:tcW w:w="1659" w:type="dxa"/>
            <w:vAlign w:val="center"/>
          </w:tcPr>
          <w:p w14:paraId="73C5347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16.668</w:t>
            </w:r>
          </w:p>
        </w:tc>
      </w:tr>
    </w:tbl>
    <w:p w14:paraId="7C861827" w14:textId="6BE4F3BD" w:rsidR="00072E3F" w:rsidRPr="00723BAD" w:rsidRDefault="00723BAD" w:rsidP="00072E3F">
      <w:pPr>
        <w:jc w:val="center"/>
        <w:rPr>
          <w:rFonts w:ascii="Times New Roman" w:hAnsi="Times New Roman" w:cs="Times New Roman"/>
          <w:sz w:val="15"/>
          <w:szCs w:val="15"/>
        </w:rPr>
      </w:pPr>
      <w:r w:rsidRPr="00723BAD">
        <w:rPr>
          <w:rFonts w:ascii="Times New Roman" w:hAnsi="Times New Roman" w:cs="Times New Roman"/>
          <w:b/>
          <w:bCs/>
          <w:i/>
          <w:sz w:val="15"/>
          <w:szCs w:val="15"/>
        </w:rPr>
        <w:t>Table 3.</w:t>
      </w:r>
      <w:r w:rsidRPr="00723BAD">
        <w:rPr>
          <w:rFonts w:ascii="Times New Roman" w:hAnsi="Times New Roman" w:cs="Times New Roman"/>
          <w:i/>
          <w:sz w:val="15"/>
          <w:szCs w:val="15"/>
        </w:rPr>
        <w:t xml:space="preserve"> Photovoltaic parameters of D18:Y6-based devices with and without the additive.</w:t>
      </w:r>
    </w:p>
    <w:tbl>
      <w:tblPr>
        <w:tblStyle w:val="af2"/>
        <w:tblW w:w="0" w:type="auto"/>
        <w:jc w:val="center"/>
        <w:tblLook w:val="04A0" w:firstRow="1" w:lastRow="0" w:firstColumn="1" w:lastColumn="0" w:noHBand="0" w:noVBand="1"/>
      </w:tblPr>
      <w:tblGrid>
        <w:gridCol w:w="1406"/>
        <w:gridCol w:w="1252"/>
        <w:gridCol w:w="1200"/>
        <w:gridCol w:w="1010"/>
        <w:gridCol w:w="1159"/>
        <w:gridCol w:w="2269"/>
      </w:tblGrid>
      <w:tr w:rsidR="00072E3F" w:rsidRPr="00072E3F" w14:paraId="102E14F4" w14:textId="77777777" w:rsidTr="00723BAD">
        <w:trPr>
          <w:jc w:val="center"/>
        </w:trPr>
        <w:tc>
          <w:tcPr>
            <w:tcW w:w="1406" w:type="dxa"/>
            <w:vAlign w:val="center"/>
          </w:tcPr>
          <w:p w14:paraId="0691BB4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lastRenderedPageBreak/>
              <w:t>Parameter</w:t>
            </w:r>
          </w:p>
        </w:tc>
        <w:tc>
          <w:tcPr>
            <w:tcW w:w="1252" w:type="dxa"/>
            <w:vAlign w:val="center"/>
          </w:tcPr>
          <w:p w14:paraId="1FCA9180"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Without additive</w:t>
            </w:r>
          </w:p>
        </w:tc>
        <w:tc>
          <w:tcPr>
            <w:tcW w:w="1200" w:type="dxa"/>
            <w:vAlign w:val="center"/>
          </w:tcPr>
          <w:p w14:paraId="393C94E5"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With additive</w:t>
            </w:r>
          </w:p>
        </w:tc>
        <w:tc>
          <w:tcPr>
            <w:tcW w:w="1010" w:type="dxa"/>
            <w:vAlign w:val="center"/>
          </w:tcPr>
          <w:p w14:paraId="6428F446"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Change</w:t>
            </w:r>
          </w:p>
        </w:tc>
        <w:tc>
          <w:tcPr>
            <w:tcW w:w="1159" w:type="dxa"/>
            <w:vAlign w:val="center"/>
          </w:tcPr>
          <w:p w14:paraId="12300E87"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Relative change</w:t>
            </w:r>
          </w:p>
        </w:tc>
        <w:tc>
          <w:tcPr>
            <w:tcW w:w="2269" w:type="dxa"/>
            <w:vAlign w:val="center"/>
          </w:tcPr>
          <w:p w14:paraId="58AA1680"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Interpretation</w:t>
            </w:r>
          </w:p>
        </w:tc>
      </w:tr>
      <w:tr w:rsidR="00072E3F" w:rsidRPr="00072E3F" w14:paraId="1AAEFDA5" w14:textId="77777777" w:rsidTr="00723BAD">
        <w:trPr>
          <w:jc w:val="center"/>
        </w:trPr>
        <w:tc>
          <w:tcPr>
            <w:tcW w:w="1406" w:type="dxa"/>
            <w:vAlign w:val="center"/>
          </w:tcPr>
          <w:p w14:paraId="52E6900F"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Voc (V)</w:t>
            </w:r>
          </w:p>
        </w:tc>
        <w:tc>
          <w:tcPr>
            <w:tcW w:w="1252" w:type="dxa"/>
            <w:vAlign w:val="center"/>
          </w:tcPr>
          <w:p w14:paraId="72316ADC"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0.890</w:t>
            </w:r>
          </w:p>
        </w:tc>
        <w:tc>
          <w:tcPr>
            <w:tcW w:w="1200" w:type="dxa"/>
            <w:vAlign w:val="center"/>
          </w:tcPr>
          <w:p w14:paraId="6CDD6AD6"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0.890</w:t>
            </w:r>
          </w:p>
        </w:tc>
        <w:tc>
          <w:tcPr>
            <w:tcW w:w="1010" w:type="dxa"/>
            <w:vAlign w:val="center"/>
          </w:tcPr>
          <w:p w14:paraId="055889C2"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+0.000</w:t>
            </w:r>
          </w:p>
        </w:tc>
        <w:tc>
          <w:tcPr>
            <w:tcW w:w="1159" w:type="dxa"/>
            <w:vAlign w:val="center"/>
          </w:tcPr>
          <w:p w14:paraId="30A98E40"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+0.00%</w:t>
            </w:r>
          </w:p>
        </w:tc>
        <w:tc>
          <w:tcPr>
            <w:tcW w:w="2269" w:type="dxa"/>
            <w:vAlign w:val="center"/>
          </w:tcPr>
          <w:p w14:paraId="73C2FE9F"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Voltage remains unchanged</w:t>
            </w:r>
          </w:p>
        </w:tc>
      </w:tr>
      <w:tr w:rsidR="00072E3F" w:rsidRPr="00072E3F" w14:paraId="471202D5" w14:textId="77777777" w:rsidTr="00723BAD">
        <w:trPr>
          <w:jc w:val="center"/>
        </w:trPr>
        <w:tc>
          <w:tcPr>
            <w:tcW w:w="1406" w:type="dxa"/>
            <w:vAlign w:val="center"/>
          </w:tcPr>
          <w:p w14:paraId="46455B5D" w14:textId="77777777" w:rsidR="00072E3F" w:rsidRPr="00072E3F" w:rsidRDefault="00072E3F" w:rsidP="00F359BE">
            <w:pPr>
              <w:rPr>
                <w:rFonts w:ascii="Times New Roman" w:hAnsi="Times New Roman" w:cs="Times New Roman"/>
              </w:rPr>
            </w:pPr>
            <w:proofErr w:type="spellStart"/>
            <w:r w:rsidRPr="00072E3F">
              <w:rPr>
                <w:rFonts w:ascii="Times New Roman" w:hAnsi="Times New Roman" w:cs="Times New Roman"/>
                <w:sz w:val="16"/>
              </w:rPr>
              <w:t>Jsc</w:t>
            </w:r>
            <w:proofErr w:type="spellEnd"/>
            <w:r w:rsidRPr="00072E3F">
              <w:rPr>
                <w:rFonts w:ascii="Times New Roman" w:hAnsi="Times New Roman" w:cs="Times New Roman"/>
                <w:sz w:val="16"/>
              </w:rPr>
              <w:t xml:space="preserve"> (mA cm^-2)</w:t>
            </w:r>
          </w:p>
        </w:tc>
        <w:tc>
          <w:tcPr>
            <w:tcW w:w="1252" w:type="dxa"/>
            <w:vAlign w:val="center"/>
          </w:tcPr>
          <w:p w14:paraId="6DCED001"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25.095</w:t>
            </w:r>
          </w:p>
        </w:tc>
        <w:tc>
          <w:tcPr>
            <w:tcW w:w="1200" w:type="dxa"/>
            <w:vAlign w:val="center"/>
          </w:tcPr>
          <w:p w14:paraId="320EB2AC"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26.474</w:t>
            </w:r>
          </w:p>
        </w:tc>
        <w:tc>
          <w:tcPr>
            <w:tcW w:w="1010" w:type="dxa"/>
            <w:vAlign w:val="center"/>
          </w:tcPr>
          <w:p w14:paraId="78E93125"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+1.380</w:t>
            </w:r>
          </w:p>
        </w:tc>
        <w:tc>
          <w:tcPr>
            <w:tcW w:w="1159" w:type="dxa"/>
            <w:vAlign w:val="center"/>
          </w:tcPr>
          <w:p w14:paraId="250F4F48"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+5.50%</w:t>
            </w:r>
          </w:p>
        </w:tc>
        <w:tc>
          <w:tcPr>
            <w:tcW w:w="2269" w:type="dxa"/>
            <w:vAlign w:val="center"/>
          </w:tcPr>
          <w:p w14:paraId="576133E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Higher photocurrent after additive treatment</w:t>
            </w:r>
          </w:p>
        </w:tc>
      </w:tr>
      <w:tr w:rsidR="00072E3F" w:rsidRPr="00072E3F" w14:paraId="197C896A" w14:textId="77777777" w:rsidTr="00723BAD">
        <w:trPr>
          <w:jc w:val="center"/>
        </w:trPr>
        <w:tc>
          <w:tcPr>
            <w:tcW w:w="1406" w:type="dxa"/>
            <w:vAlign w:val="center"/>
          </w:tcPr>
          <w:p w14:paraId="19038943"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FF (%)</w:t>
            </w:r>
          </w:p>
        </w:tc>
        <w:tc>
          <w:tcPr>
            <w:tcW w:w="1252" w:type="dxa"/>
            <w:vAlign w:val="center"/>
          </w:tcPr>
          <w:p w14:paraId="37B587B0"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68.245</w:t>
            </w:r>
          </w:p>
        </w:tc>
        <w:tc>
          <w:tcPr>
            <w:tcW w:w="1200" w:type="dxa"/>
            <w:vAlign w:val="center"/>
          </w:tcPr>
          <w:p w14:paraId="4A233531"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70.742</w:t>
            </w:r>
          </w:p>
        </w:tc>
        <w:tc>
          <w:tcPr>
            <w:tcW w:w="1010" w:type="dxa"/>
            <w:vAlign w:val="center"/>
          </w:tcPr>
          <w:p w14:paraId="43BC72D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+2.497</w:t>
            </w:r>
          </w:p>
        </w:tc>
        <w:tc>
          <w:tcPr>
            <w:tcW w:w="1159" w:type="dxa"/>
            <w:vAlign w:val="center"/>
          </w:tcPr>
          <w:p w14:paraId="2F8F6ED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+3.66%</w:t>
            </w:r>
          </w:p>
        </w:tc>
        <w:tc>
          <w:tcPr>
            <w:tcW w:w="2269" w:type="dxa"/>
            <w:vAlign w:val="center"/>
          </w:tcPr>
          <w:p w14:paraId="2C9CE150"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Improved curve squareness and charge extraction</w:t>
            </w:r>
          </w:p>
        </w:tc>
      </w:tr>
      <w:tr w:rsidR="00072E3F" w:rsidRPr="00072E3F" w14:paraId="48BA071F" w14:textId="77777777" w:rsidTr="00723BAD">
        <w:trPr>
          <w:jc w:val="center"/>
        </w:trPr>
        <w:tc>
          <w:tcPr>
            <w:tcW w:w="1406" w:type="dxa"/>
            <w:vAlign w:val="center"/>
          </w:tcPr>
          <w:p w14:paraId="59B068B2"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PCE (%)</w:t>
            </w:r>
          </w:p>
        </w:tc>
        <w:tc>
          <w:tcPr>
            <w:tcW w:w="1252" w:type="dxa"/>
            <w:vAlign w:val="center"/>
          </w:tcPr>
          <w:p w14:paraId="5FAD4F8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15.242</w:t>
            </w:r>
          </w:p>
        </w:tc>
        <w:tc>
          <w:tcPr>
            <w:tcW w:w="1200" w:type="dxa"/>
            <w:vAlign w:val="center"/>
          </w:tcPr>
          <w:p w14:paraId="16D1BABA"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16.668</w:t>
            </w:r>
          </w:p>
        </w:tc>
        <w:tc>
          <w:tcPr>
            <w:tcW w:w="1010" w:type="dxa"/>
            <w:vAlign w:val="center"/>
          </w:tcPr>
          <w:p w14:paraId="06F537A2"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+1.426</w:t>
            </w:r>
          </w:p>
        </w:tc>
        <w:tc>
          <w:tcPr>
            <w:tcW w:w="1159" w:type="dxa"/>
            <w:vAlign w:val="center"/>
          </w:tcPr>
          <w:p w14:paraId="0863EEF6"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6"/>
              </w:rPr>
              <w:t>+9.36%</w:t>
            </w:r>
          </w:p>
        </w:tc>
        <w:tc>
          <w:tcPr>
            <w:tcW w:w="2269" w:type="dxa"/>
            <w:vAlign w:val="center"/>
          </w:tcPr>
          <w:p w14:paraId="7CD3142D" w14:textId="77777777" w:rsidR="00072E3F" w:rsidRPr="00072E3F" w:rsidRDefault="00072E3F" w:rsidP="00F359BE">
            <w:pPr>
              <w:rPr>
                <w:rFonts w:ascii="Times New Roman" w:hAnsi="Times New Roman" w:cs="Times New Roman"/>
              </w:rPr>
            </w:pPr>
            <w:r w:rsidRPr="00072E3F">
              <w:rPr>
                <w:rFonts w:ascii="Times New Roman" w:hAnsi="Times New Roman" w:cs="Times New Roman"/>
                <w:sz w:val="16"/>
              </w:rPr>
              <w:t>Overall efficiency increases</w:t>
            </w:r>
          </w:p>
        </w:tc>
      </w:tr>
    </w:tbl>
    <w:p w14:paraId="4BEB7B25" w14:textId="4E8BDB82" w:rsidR="00661FDC" w:rsidRPr="00723BAD" w:rsidRDefault="00723BAD" w:rsidP="00723BAD">
      <w:pPr>
        <w:jc w:val="center"/>
        <w:rPr>
          <w:rFonts w:ascii="Times New Roman" w:eastAsiaTheme="minorEastAsia" w:hAnsi="Times New Roman" w:cs="Times New Roman"/>
          <w:i/>
          <w:iCs/>
          <w:sz w:val="15"/>
          <w:szCs w:val="15"/>
        </w:rPr>
      </w:pPr>
      <w:r w:rsidRPr="0058619E">
        <w:rPr>
          <w:rFonts w:ascii="Times New Roman" w:eastAsiaTheme="minorEastAsia" w:hAnsi="Times New Roman" w:cs="Times New Roman"/>
          <w:b/>
          <w:bCs/>
          <w:i/>
          <w:iCs/>
          <w:sz w:val="15"/>
          <w:szCs w:val="15"/>
        </w:rPr>
        <w:t>Table 4.</w:t>
      </w:r>
      <w:r w:rsidRPr="00723BAD">
        <w:rPr>
          <w:rFonts w:ascii="Times New Roman" w:eastAsiaTheme="minorEastAsia" w:hAnsi="Times New Roman" w:cs="Times New Roman"/>
          <w:i/>
          <w:iCs/>
          <w:sz w:val="15"/>
          <w:szCs w:val="15"/>
        </w:rPr>
        <w:t xml:space="preserve"> Quantitative analysis of the changes in photovoltaic parameters for D18:Y6 devices induced by the additive.</w:t>
      </w:r>
    </w:p>
    <w:p w14:paraId="098DAA02" w14:textId="33A948C6" w:rsidR="00661FDC" w:rsidRPr="00072E3F" w:rsidRDefault="00072E3F">
      <w:pPr>
        <w:rPr>
          <w:rFonts w:ascii="Times New Roman" w:eastAsia="宋体" w:hAnsi="Times New Roman" w:cs="Times New Roman"/>
          <w:b/>
          <w:sz w:val="26"/>
          <w:szCs w:val="26"/>
        </w:rPr>
      </w:pPr>
      <w:r w:rsidRPr="00072E3F">
        <w:rPr>
          <w:rFonts w:ascii="Times New Roman" w:eastAsia="宋体" w:hAnsi="Times New Roman" w:cs="Times New Roman"/>
          <w:b/>
          <w:sz w:val="26"/>
          <w:szCs w:val="26"/>
        </w:rPr>
        <w:t xml:space="preserve">5.2 </w:t>
      </w:r>
      <w:r w:rsidR="00661FDC" w:rsidRPr="00072E3F">
        <w:rPr>
          <w:rFonts w:ascii="Times New Roman" w:eastAsia="宋体" w:hAnsi="Times New Roman" w:cs="Times New Roman"/>
          <w:b/>
          <w:sz w:val="26"/>
          <w:szCs w:val="26"/>
        </w:rPr>
        <w:t>EQE Spectra</w:t>
      </w:r>
    </w:p>
    <w:p w14:paraId="22F2C199" w14:textId="77AF8528" w:rsidR="00072E3F" w:rsidRPr="0058619E" w:rsidRDefault="00072E3F" w:rsidP="00072E3F">
      <w:pPr>
        <w:jc w:val="center"/>
        <w:rPr>
          <w:rFonts w:ascii="Times New Roman" w:eastAsiaTheme="minorEastAsia" w:hAnsi="Times New Roman" w:cs="Times New Roman"/>
          <w:i/>
          <w:sz w:val="15"/>
          <w:szCs w:val="15"/>
        </w:rPr>
      </w:pPr>
      <w:r w:rsidRPr="00072E3F">
        <w:rPr>
          <w:rFonts w:ascii="Times New Roman" w:hAnsi="Times New Roman" w:cs="Times New Roman"/>
          <w:noProof/>
        </w:rPr>
        <w:drawing>
          <wp:inline distT="0" distB="0" distL="0" distR="0" wp14:anchorId="1BD21BCC" wp14:editId="6681182E">
            <wp:extent cx="5212080" cy="30659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v_eqe_spectra.png"/>
                    <pic:cNvPicPr/>
                  </pic:nvPicPr>
                  <pic:blipFill>
                    <a:blip r:embed="rId9"/>
                    <a:stretch>
                      <a:fillRect/>
                    </a:stretch>
                  </pic:blipFill>
                  <pic:spPr>
                    <a:xfrm>
                      <a:off x="0" y="0"/>
                      <a:ext cx="5212080" cy="3065929"/>
                    </a:xfrm>
                    <a:prstGeom prst="rect">
                      <a:avLst/>
                    </a:prstGeom>
                  </pic:spPr>
                </pic:pic>
              </a:graphicData>
            </a:graphic>
          </wp:inline>
        </w:drawing>
      </w:r>
      <w:r w:rsidRPr="0058619E">
        <w:rPr>
          <w:rFonts w:ascii="Times New Roman" w:hAnsi="Times New Roman" w:cs="Times New Roman"/>
          <w:b/>
          <w:bCs/>
          <w:i/>
          <w:sz w:val="15"/>
          <w:szCs w:val="15"/>
        </w:rPr>
        <w:t>Figure 3.</w:t>
      </w:r>
      <w:r w:rsidRPr="0058619E">
        <w:rPr>
          <w:rFonts w:ascii="Times New Roman" w:hAnsi="Times New Roman" w:cs="Times New Roman"/>
          <w:i/>
          <w:sz w:val="15"/>
          <w:szCs w:val="15"/>
        </w:rPr>
        <w:t xml:space="preserve"> EQE spectra of the three OPV active-layer conditions.</w:t>
      </w:r>
    </w:p>
    <w:p w14:paraId="6630D2A9" w14:textId="77777777" w:rsidR="00072E3F" w:rsidRPr="00072E3F" w:rsidRDefault="00072E3F" w:rsidP="00072E3F">
      <w:pPr>
        <w:spacing w:after="100" w:line="259" w:lineRule="auto"/>
        <w:rPr>
          <w:rFonts w:ascii="Times New Roman" w:eastAsiaTheme="minorEastAsia" w:hAnsi="Times New Roman" w:cs="Times New Roman"/>
        </w:rPr>
      </w:pPr>
      <w:r w:rsidRPr="00072E3F">
        <w:rPr>
          <w:rFonts w:ascii="Times New Roman" w:hAnsi="Times New Roman" w:cs="Times New Roman"/>
        </w:rPr>
        <w:t>The blend devices show broad EQE response from the visible to near-infrared region, consistent with the complementary absorption and charge generation of the D18:Y6 bulk heterojunction. The additive-treated device has higher EQE over most of the wavelength range, agreeing with its higher JSC in the J-V measurement.</w:t>
      </w:r>
    </w:p>
    <w:tbl>
      <w:tblPr>
        <w:tblStyle w:val="af2"/>
        <w:tblW w:w="0" w:type="auto"/>
        <w:jc w:val="center"/>
        <w:tblLook w:val="04A0" w:firstRow="1" w:lastRow="0" w:firstColumn="1" w:lastColumn="0" w:noHBand="0" w:noVBand="1"/>
      </w:tblPr>
      <w:tblGrid>
        <w:gridCol w:w="1344"/>
        <w:gridCol w:w="1417"/>
        <w:gridCol w:w="1318"/>
        <w:gridCol w:w="1414"/>
        <w:gridCol w:w="1423"/>
        <w:gridCol w:w="1380"/>
      </w:tblGrid>
      <w:tr w:rsidR="00072E3F" w:rsidRPr="00072E3F" w14:paraId="290A8E40" w14:textId="77777777" w:rsidTr="00723BAD">
        <w:trPr>
          <w:jc w:val="center"/>
        </w:trPr>
        <w:tc>
          <w:tcPr>
            <w:tcW w:w="1344" w:type="dxa"/>
            <w:vAlign w:val="center"/>
          </w:tcPr>
          <w:p w14:paraId="05137D91"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Device</w:t>
            </w:r>
          </w:p>
        </w:tc>
        <w:tc>
          <w:tcPr>
            <w:tcW w:w="1417" w:type="dxa"/>
            <w:vAlign w:val="center"/>
          </w:tcPr>
          <w:p w14:paraId="57C4C6D1"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 xml:space="preserve">Integrated </w:t>
            </w:r>
            <w:proofErr w:type="spellStart"/>
            <w:r w:rsidRPr="00072E3F">
              <w:rPr>
                <w:rFonts w:ascii="Times New Roman" w:hAnsi="Times New Roman" w:cs="Times New Roman"/>
                <w:b/>
                <w:sz w:val="17"/>
              </w:rPr>
              <w:t>Jsc</w:t>
            </w:r>
            <w:proofErr w:type="spellEnd"/>
            <w:r w:rsidRPr="00072E3F">
              <w:rPr>
                <w:rFonts w:ascii="Times New Roman" w:hAnsi="Times New Roman" w:cs="Times New Roman"/>
                <w:b/>
                <w:sz w:val="17"/>
              </w:rPr>
              <w:t xml:space="preserve"> from EQE (mA cm^-2)</w:t>
            </w:r>
          </w:p>
        </w:tc>
        <w:tc>
          <w:tcPr>
            <w:tcW w:w="1318" w:type="dxa"/>
            <w:vAlign w:val="center"/>
          </w:tcPr>
          <w:p w14:paraId="330C210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Mean EQE 400-800 nm (%)</w:t>
            </w:r>
          </w:p>
        </w:tc>
        <w:tc>
          <w:tcPr>
            <w:tcW w:w="1414" w:type="dxa"/>
            <w:vAlign w:val="center"/>
          </w:tcPr>
          <w:p w14:paraId="735C1954"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Maximum EQE (%)</w:t>
            </w:r>
          </w:p>
        </w:tc>
        <w:tc>
          <w:tcPr>
            <w:tcW w:w="1423" w:type="dxa"/>
            <w:vAlign w:val="center"/>
          </w:tcPr>
          <w:p w14:paraId="2F449B2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Linear absorption edge (nm)</w:t>
            </w:r>
          </w:p>
        </w:tc>
        <w:tc>
          <w:tcPr>
            <w:tcW w:w="1380" w:type="dxa"/>
            <w:vAlign w:val="center"/>
          </w:tcPr>
          <w:p w14:paraId="7601403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b/>
                <w:sz w:val="17"/>
              </w:rPr>
              <w:t>Bandgap from linear edge (eV)</w:t>
            </w:r>
          </w:p>
        </w:tc>
      </w:tr>
      <w:tr w:rsidR="00072E3F" w:rsidRPr="00072E3F" w14:paraId="5DA73482" w14:textId="77777777" w:rsidTr="00723BAD">
        <w:trPr>
          <w:jc w:val="center"/>
        </w:trPr>
        <w:tc>
          <w:tcPr>
            <w:tcW w:w="1344" w:type="dxa"/>
            <w:vAlign w:val="center"/>
          </w:tcPr>
          <w:p w14:paraId="14FFED51"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D18 only</w:t>
            </w:r>
          </w:p>
        </w:tc>
        <w:tc>
          <w:tcPr>
            <w:tcW w:w="1417" w:type="dxa"/>
            <w:vAlign w:val="center"/>
          </w:tcPr>
          <w:p w14:paraId="393FFB84"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0.034</w:t>
            </w:r>
          </w:p>
        </w:tc>
        <w:tc>
          <w:tcPr>
            <w:tcW w:w="1318" w:type="dxa"/>
            <w:vAlign w:val="center"/>
          </w:tcPr>
          <w:p w14:paraId="66A0CE8B"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0.082</w:t>
            </w:r>
          </w:p>
        </w:tc>
        <w:tc>
          <w:tcPr>
            <w:tcW w:w="1414" w:type="dxa"/>
            <w:vAlign w:val="center"/>
          </w:tcPr>
          <w:p w14:paraId="4220914C"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9.141</w:t>
            </w:r>
          </w:p>
        </w:tc>
        <w:tc>
          <w:tcPr>
            <w:tcW w:w="1423" w:type="dxa"/>
            <w:vAlign w:val="center"/>
          </w:tcPr>
          <w:p w14:paraId="7672F28A" w14:textId="77777777" w:rsidR="00072E3F" w:rsidRPr="00072E3F" w:rsidRDefault="00072E3F" w:rsidP="00F359BE">
            <w:pPr>
              <w:jc w:val="center"/>
              <w:rPr>
                <w:rFonts w:ascii="Times New Roman" w:hAnsi="Times New Roman" w:cs="Times New Roman"/>
              </w:rPr>
            </w:pPr>
          </w:p>
        </w:tc>
        <w:tc>
          <w:tcPr>
            <w:tcW w:w="1380" w:type="dxa"/>
            <w:vAlign w:val="center"/>
          </w:tcPr>
          <w:p w14:paraId="32CF817C" w14:textId="77777777" w:rsidR="00072E3F" w:rsidRPr="00072E3F" w:rsidRDefault="00072E3F" w:rsidP="00F359BE">
            <w:pPr>
              <w:jc w:val="center"/>
              <w:rPr>
                <w:rFonts w:ascii="Times New Roman" w:hAnsi="Times New Roman" w:cs="Times New Roman"/>
              </w:rPr>
            </w:pPr>
          </w:p>
        </w:tc>
      </w:tr>
      <w:tr w:rsidR="00072E3F" w:rsidRPr="00072E3F" w14:paraId="011A8B64" w14:textId="77777777" w:rsidTr="00723BAD">
        <w:trPr>
          <w:jc w:val="center"/>
        </w:trPr>
        <w:tc>
          <w:tcPr>
            <w:tcW w:w="1344" w:type="dxa"/>
            <w:vAlign w:val="center"/>
          </w:tcPr>
          <w:p w14:paraId="72963D7C"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D18:Y6 without additive</w:t>
            </w:r>
          </w:p>
        </w:tc>
        <w:tc>
          <w:tcPr>
            <w:tcW w:w="1417" w:type="dxa"/>
            <w:vAlign w:val="center"/>
          </w:tcPr>
          <w:p w14:paraId="08C1AB3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20.600</w:t>
            </w:r>
          </w:p>
        </w:tc>
        <w:tc>
          <w:tcPr>
            <w:tcW w:w="1318" w:type="dxa"/>
            <w:vAlign w:val="center"/>
          </w:tcPr>
          <w:p w14:paraId="08D24FD9"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67.050</w:t>
            </w:r>
          </w:p>
        </w:tc>
        <w:tc>
          <w:tcPr>
            <w:tcW w:w="1414" w:type="dxa"/>
            <w:vAlign w:val="center"/>
          </w:tcPr>
          <w:p w14:paraId="074DFCC5"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79.824</w:t>
            </w:r>
          </w:p>
        </w:tc>
        <w:tc>
          <w:tcPr>
            <w:tcW w:w="1423" w:type="dxa"/>
            <w:vAlign w:val="center"/>
          </w:tcPr>
          <w:p w14:paraId="55E6C93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911.072</w:t>
            </w:r>
          </w:p>
        </w:tc>
        <w:tc>
          <w:tcPr>
            <w:tcW w:w="1380" w:type="dxa"/>
            <w:vAlign w:val="center"/>
          </w:tcPr>
          <w:p w14:paraId="11C3016E"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1.361</w:t>
            </w:r>
          </w:p>
        </w:tc>
      </w:tr>
      <w:tr w:rsidR="00072E3F" w:rsidRPr="00072E3F" w14:paraId="32FB33DE" w14:textId="77777777" w:rsidTr="00723BAD">
        <w:trPr>
          <w:jc w:val="center"/>
        </w:trPr>
        <w:tc>
          <w:tcPr>
            <w:tcW w:w="1344" w:type="dxa"/>
            <w:vAlign w:val="center"/>
          </w:tcPr>
          <w:p w14:paraId="7262382B"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D18:Y6 with additive</w:t>
            </w:r>
          </w:p>
        </w:tc>
        <w:tc>
          <w:tcPr>
            <w:tcW w:w="1417" w:type="dxa"/>
            <w:vAlign w:val="center"/>
          </w:tcPr>
          <w:p w14:paraId="3D11B658"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21.721</w:t>
            </w:r>
          </w:p>
        </w:tc>
        <w:tc>
          <w:tcPr>
            <w:tcW w:w="1318" w:type="dxa"/>
            <w:vAlign w:val="center"/>
          </w:tcPr>
          <w:p w14:paraId="6B8D228F"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70.139</w:t>
            </w:r>
          </w:p>
        </w:tc>
        <w:tc>
          <w:tcPr>
            <w:tcW w:w="1414" w:type="dxa"/>
            <w:vAlign w:val="center"/>
          </w:tcPr>
          <w:p w14:paraId="2073CAED"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82.296</w:t>
            </w:r>
          </w:p>
        </w:tc>
        <w:tc>
          <w:tcPr>
            <w:tcW w:w="1423" w:type="dxa"/>
            <w:vAlign w:val="center"/>
          </w:tcPr>
          <w:p w14:paraId="153CAD0F"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911.949</w:t>
            </w:r>
          </w:p>
        </w:tc>
        <w:tc>
          <w:tcPr>
            <w:tcW w:w="1380" w:type="dxa"/>
            <w:vAlign w:val="center"/>
          </w:tcPr>
          <w:p w14:paraId="53C7CC73" w14:textId="77777777" w:rsidR="00072E3F" w:rsidRPr="00072E3F" w:rsidRDefault="00072E3F" w:rsidP="00F359BE">
            <w:pPr>
              <w:jc w:val="center"/>
              <w:rPr>
                <w:rFonts w:ascii="Times New Roman" w:hAnsi="Times New Roman" w:cs="Times New Roman"/>
              </w:rPr>
            </w:pPr>
            <w:r w:rsidRPr="00072E3F">
              <w:rPr>
                <w:rFonts w:ascii="Times New Roman" w:hAnsi="Times New Roman" w:cs="Times New Roman"/>
                <w:sz w:val="17"/>
              </w:rPr>
              <w:t>1.360</w:t>
            </w:r>
          </w:p>
        </w:tc>
      </w:tr>
    </w:tbl>
    <w:p w14:paraId="622E9526" w14:textId="437C7443" w:rsidR="00723BAD" w:rsidRPr="00723BAD" w:rsidRDefault="00723BAD" w:rsidP="00723BAD">
      <w:pPr>
        <w:spacing w:after="100" w:line="259" w:lineRule="auto"/>
        <w:jc w:val="center"/>
        <w:rPr>
          <w:rFonts w:ascii="Times New Roman" w:eastAsiaTheme="minorEastAsia" w:hAnsi="Times New Roman" w:cs="Times New Roman"/>
          <w:i/>
          <w:iCs/>
          <w:sz w:val="15"/>
          <w:szCs w:val="15"/>
        </w:rPr>
      </w:pPr>
      <w:r w:rsidRPr="0058619E">
        <w:rPr>
          <w:rFonts w:ascii="Times New Roman" w:eastAsiaTheme="minorEastAsia" w:hAnsi="Times New Roman" w:cs="Times New Roman"/>
          <w:b/>
          <w:bCs/>
          <w:i/>
          <w:iCs/>
          <w:sz w:val="15"/>
          <w:szCs w:val="15"/>
        </w:rPr>
        <w:t>Table 5.</w:t>
      </w:r>
      <w:r w:rsidRPr="00723BAD">
        <w:rPr>
          <w:rFonts w:ascii="Times New Roman" w:eastAsiaTheme="minorEastAsia" w:hAnsi="Times New Roman" w:cs="Times New Roman"/>
          <w:i/>
          <w:iCs/>
          <w:sz w:val="15"/>
          <w:szCs w:val="15"/>
        </w:rPr>
        <w:t xml:space="preserve"> External quantum efficiency (EQE) parameters and estimated optical bandgaps of the fabricated devices.</w:t>
      </w:r>
    </w:p>
    <w:p w14:paraId="7844DE5D" w14:textId="7A8883A0" w:rsidR="00072E3F" w:rsidRPr="00072E3F" w:rsidRDefault="00072E3F" w:rsidP="00072E3F">
      <w:pPr>
        <w:spacing w:after="100" w:line="259" w:lineRule="auto"/>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lastRenderedPageBreak/>
        <w:t xml:space="preserve">5.3 </w:t>
      </w:r>
      <w:r w:rsidRPr="00072E3F">
        <w:rPr>
          <w:rFonts w:ascii="Times New Roman" w:hAnsi="Times New Roman" w:cs="Times New Roman"/>
          <w:b/>
          <w:bCs/>
          <w:sz w:val="28"/>
          <w:szCs w:val="28"/>
        </w:rPr>
        <w:t>Absorption Edge and Optical Gap</w:t>
      </w:r>
    </w:p>
    <w:p w14:paraId="6F877138" w14:textId="7BC08DFB" w:rsidR="00072E3F" w:rsidRPr="0058619E" w:rsidRDefault="00072E3F" w:rsidP="00072E3F">
      <w:pPr>
        <w:jc w:val="center"/>
        <w:rPr>
          <w:rFonts w:ascii="Times New Roman" w:hAnsi="Times New Roman" w:cs="Times New Roman"/>
          <w:sz w:val="15"/>
          <w:szCs w:val="15"/>
        </w:rPr>
      </w:pPr>
      <w:r w:rsidRPr="00072E3F">
        <w:rPr>
          <w:rFonts w:ascii="Times New Roman" w:hAnsi="Times New Roman" w:cs="Times New Roman"/>
          <w:noProof/>
        </w:rPr>
        <w:drawing>
          <wp:inline distT="0" distB="0" distL="0" distR="0" wp14:anchorId="6DA410F4" wp14:editId="4A2B4425">
            <wp:extent cx="5212080" cy="30659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pv_eqe_edge_fit.png"/>
                    <pic:cNvPicPr/>
                  </pic:nvPicPr>
                  <pic:blipFill>
                    <a:blip r:embed="rId10"/>
                    <a:stretch>
                      <a:fillRect/>
                    </a:stretch>
                  </pic:blipFill>
                  <pic:spPr>
                    <a:xfrm>
                      <a:off x="0" y="0"/>
                      <a:ext cx="5212080" cy="3065929"/>
                    </a:xfrm>
                    <a:prstGeom prst="rect">
                      <a:avLst/>
                    </a:prstGeom>
                  </pic:spPr>
                </pic:pic>
              </a:graphicData>
            </a:graphic>
          </wp:inline>
        </w:drawing>
      </w:r>
      <w:r w:rsidRPr="00072E3F">
        <w:rPr>
          <w:rFonts w:ascii="Times New Roman" w:hAnsi="Times New Roman" w:cs="Times New Roman"/>
          <w:i/>
          <w:sz w:val="18"/>
        </w:rPr>
        <w:t xml:space="preserve"> </w:t>
      </w:r>
      <w:r w:rsidRPr="0058619E">
        <w:rPr>
          <w:rFonts w:ascii="Times New Roman" w:hAnsi="Times New Roman" w:cs="Times New Roman"/>
          <w:b/>
          <w:bCs/>
          <w:i/>
          <w:sz w:val="15"/>
          <w:szCs w:val="15"/>
        </w:rPr>
        <w:t xml:space="preserve">Figure 4. </w:t>
      </w:r>
      <w:r w:rsidRPr="0058619E">
        <w:rPr>
          <w:rFonts w:ascii="Times New Roman" w:hAnsi="Times New Roman" w:cs="Times New Roman"/>
          <w:i/>
          <w:sz w:val="15"/>
          <w:szCs w:val="15"/>
        </w:rPr>
        <w:t>Linear extrapolation of the D18:Y6 long-wavelength EQE edge.</w:t>
      </w:r>
    </w:p>
    <w:p w14:paraId="14DD4AD8" w14:textId="4CFD9394" w:rsidR="00072E3F" w:rsidRPr="00723BAD" w:rsidRDefault="00072E3F" w:rsidP="00723BAD">
      <w:pPr>
        <w:spacing w:after="100" w:line="259" w:lineRule="auto"/>
        <w:rPr>
          <w:rFonts w:ascii="Times New Roman" w:eastAsiaTheme="minorEastAsia" w:hAnsi="Times New Roman" w:cs="Times New Roman"/>
        </w:rPr>
      </w:pPr>
      <w:r w:rsidRPr="00072E3F">
        <w:rPr>
          <w:rFonts w:ascii="Times New Roman" w:hAnsi="Times New Roman" w:cs="Times New Roman"/>
        </w:rPr>
        <w:t>The long-wavelength EQE edge of the D18:Y6 devices was linearly extrapolated using the 840-920 nm region. The resulting optical gaps are about 1.36 eV for both blend devices, consistent with the low-bandgap Y6 acceptor dominating the near-infrared absorption edge. The D18-only EQE signal was very weak and noisy, so its edge-derived bandgap is not considered reliable in this report.</w:t>
      </w:r>
    </w:p>
    <w:p w14:paraId="04D194E7" w14:textId="77777777" w:rsidR="00072E3F" w:rsidRPr="00072E3F" w:rsidRDefault="00072E3F" w:rsidP="00072E3F">
      <w:p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 xml:space="preserve">6 </w:t>
      </w:r>
      <w:r w:rsidR="000237DD" w:rsidRPr="00072E3F">
        <w:rPr>
          <w:rFonts w:ascii="Times New Roman" w:eastAsiaTheme="minorEastAsia" w:hAnsi="Times New Roman" w:cs="Times New Roman"/>
          <w:b/>
          <w:bCs/>
          <w:sz w:val="28"/>
          <w:szCs w:val="28"/>
        </w:rPr>
        <w:t>Discussion</w:t>
      </w:r>
    </w:p>
    <w:p w14:paraId="26F36613" w14:textId="77777777" w:rsidR="00072E3F" w:rsidRPr="00072E3F" w:rsidRDefault="00072E3F" w:rsidP="00072E3F">
      <w:pPr>
        <w:spacing w:after="100" w:line="259" w:lineRule="auto"/>
        <w:rPr>
          <w:rFonts w:ascii="Times New Roman" w:hAnsi="Times New Roman" w:cs="Times New Roman"/>
        </w:rPr>
      </w:pPr>
      <w:r w:rsidRPr="00072E3F">
        <w:rPr>
          <w:rFonts w:ascii="Times New Roman" w:hAnsi="Times New Roman" w:cs="Times New Roman"/>
        </w:rPr>
        <w:t>The large difference between the D18-only control and the D18:Y6 blend devices confirms the central role of the donor-acceptor bulk heterojunction. In D18-only films, excitons have no efficient acceptor phase for charge transfer, so most photogenerated excitons recombine before contributing to current. This explains the near-zero JSC and PCE in group3.</w:t>
      </w:r>
    </w:p>
    <w:p w14:paraId="629FB294" w14:textId="77777777" w:rsidR="00072E3F" w:rsidRPr="00072E3F" w:rsidRDefault="00072E3F" w:rsidP="00072E3F">
      <w:pPr>
        <w:spacing w:after="100" w:line="259" w:lineRule="auto"/>
        <w:rPr>
          <w:rFonts w:ascii="Times New Roman" w:hAnsi="Times New Roman" w:cs="Times New Roman"/>
        </w:rPr>
      </w:pPr>
      <w:r w:rsidRPr="00072E3F">
        <w:rPr>
          <w:rFonts w:ascii="Times New Roman" w:hAnsi="Times New Roman" w:cs="Times New Roman"/>
        </w:rPr>
        <w:t>Adding Y6 introduces acceptor domains and donor-acceptor interfaces, enabling exciton dissociation and balanced charge transport. The D18:Y6 group3 devices therefore show JSC values above 25 mA cm-2 and PCE values above 15%. The additive further improves performance, most likely by optimizing phase separation, molecular packing, and vertical composition distribution. These morphology improvements can reduce recombination and transport resistance, which is reflected in the higher FF and PCE.</w:t>
      </w:r>
    </w:p>
    <w:p w14:paraId="70C191DB" w14:textId="7DCF35C4" w:rsidR="00661FDC" w:rsidRPr="00723BAD" w:rsidRDefault="00072E3F" w:rsidP="00723BAD">
      <w:pPr>
        <w:spacing w:after="100" w:line="259" w:lineRule="auto"/>
        <w:rPr>
          <w:rFonts w:ascii="Times New Roman" w:eastAsiaTheme="minorEastAsia" w:hAnsi="Times New Roman" w:cs="Times New Roman"/>
        </w:rPr>
      </w:pPr>
      <w:r w:rsidRPr="00072E3F">
        <w:rPr>
          <w:rFonts w:ascii="Times New Roman" w:hAnsi="Times New Roman" w:cs="Times New Roman"/>
        </w:rPr>
        <w:t xml:space="preserve">The EQE-integrated JSC values are lower than the J-V JSC values. This mismatch can arise from spectral mismatch between the solar simulator and AM1.5G reference spectrum, calibration uncertainty, device area definition, light-bias conditions, or degradation/position variation during measurements. However, the trend remains consistent: the additive-treated </w:t>
      </w:r>
      <w:r w:rsidRPr="00072E3F">
        <w:rPr>
          <w:rFonts w:ascii="Times New Roman" w:hAnsi="Times New Roman" w:cs="Times New Roman"/>
        </w:rPr>
        <w:lastRenderedPageBreak/>
        <w:t>blend device gives the highest spectral response and the highest J-V performance.</w:t>
      </w:r>
    </w:p>
    <w:p w14:paraId="081B5858" w14:textId="6630A0FA" w:rsidR="000237DD" w:rsidRPr="00072E3F" w:rsidRDefault="000237DD">
      <w:pPr>
        <w:rPr>
          <w:rFonts w:ascii="Times New Roman" w:eastAsiaTheme="minorEastAsia" w:hAnsi="Times New Roman" w:cs="Times New Roman"/>
          <w:b/>
          <w:bCs/>
          <w:sz w:val="28"/>
          <w:szCs w:val="28"/>
        </w:rPr>
      </w:pPr>
      <w:r w:rsidRPr="00072E3F">
        <w:rPr>
          <w:rFonts w:ascii="Times New Roman" w:eastAsiaTheme="minorEastAsia" w:hAnsi="Times New Roman" w:cs="Times New Roman"/>
          <w:b/>
          <w:bCs/>
          <w:sz w:val="28"/>
          <w:szCs w:val="28"/>
        </w:rPr>
        <w:t>Conclusion</w:t>
      </w:r>
    </w:p>
    <w:p w14:paraId="124A687E" w14:textId="77777777" w:rsidR="00072E3F" w:rsidRPr="00072E3F" w:rsidRDefault="00072E3F" w:rsidP="00072E3F">
      <w:pPr>
        <w:spacing w:after="100" w:line="259" w:lineRule="auto"/>
        <w:rPr>
          <w:rFonts w:ascii="Times New Roman" w:hAnsi="Times New Roman" w:cs="Times New Roman"/>
        </w:rPr>
      </w:pPr>
      <w:r w:rsidRPr="00072E3F">
        <w:rPr>
          <w:rFonts w:ascii="Times New Roman" w:hAnsi="Times New Roman" w:cs="Times New Roman"/>
        </w:rPr>
        <w:t>Organic photovoltaic devices based on D18, D18:Y6 without additive, and D18:Y6 with additive were fabricated and characterized. This report uses the group3 J-V data for all device-performance comparisons. The D18-only control showed negligible photovoltaic output, confirming that a donor-only active layer cannot efficiently separate excitons. The D18:Y6 blend formed an effective bulk heterojunction and achieved a PCE of 15.24% without additive. With additive, the PCE increased to 16.67%, mainly because JSC and FF improved. EQE spectra further confirmed stronger broadband photocurrent generation in the additive-treated device, with an integrated JSC of 21.72 mA cm-2.</w:t>
      </w:r>
    </w:p>
    <w:p w14:paraId="1DF3614D" w14:textId="5CC1C555" w:rsidR="00661FDC" w:rsidRPr="00072E3F" w:rsidRDefault="00661FDC">
      <w:pPr>
        <w:rPr>
          <w:rFonts w:ascii="Times New Roman" w:eastAsia="宋体" w:hAnsi="Times New Roman" w:cs="Times New Roman"/>
          <w:b/>
          <w:bCs/>
          <w:sz w:val="28"/>
          <w:szCs w:val="28"/>
        </w:rPr>
      </w:pPr>
      <w:r w:rsidRPr="00072E3F">
        <w:rPr>
          <w:rFonts w:ascii="Times New Roman" w:eastAsia="宋体" w:hAnsi="Times New Roman" w:cs="Times New Roman"/>
          <w:b/>
          <w:bCs/>
          <w:sz w:val="28"/>
          <w:szCs w:val="28"/>
        </w:rPr>
        <w:t>References</w:t>
      </w:r>
    </w:p>
    <w:p w14:paraId="488FE779" w14:textId="77777777" w:rsidR="00072E3F" w:rsidRPr="00072E3F" w:rsidRDefault="00072E3F" w:rsidP="00072E3F">
      <w:pPr>
        <w:rPr>
          <w:rFonts w:ascii="Times New Roman" w:hAnsi="Times New Roman" w:cs="Times New Roman"/>
        </w:rPr>
      </w:pPr>
      <w:r w:rsidRPr="00072E3F">
        <w:rPr>
          <w:rFonts w:ascii="Times New Roman" w:hAnsi="Times New Roman" w:cs="Times New Roman"/>
        </w:rPr>
        <w:t>EE336 Fundamentals of Photovoltaics, Lab Session for Organic Photovoltaics (OPVs) Device Fabrication.</w:t>
      </w:r>
    </w:p>
    <w:p w14:paraId="53AFD70F" w14:textId="77777777" w:rsidR="00072E3F" w:rsidRPr="00072E3F" w:rsidRDefault="00072E3F" w:rsidP="00072E3F">
      <w:pPr>
        <w:rPr>
          <w:rFonts w:ascii="Times New Roman" w:hAnsi="Times New Roman" w:cs="Times New Roman"/>
        </w:rPr>
      </w:pPr>
      <w:r w:rsidRPr="00072E3F">
        <w:rPr>
          <w:rFonts w:ascii="Times New Roman" w:hAnsi="Times New Roman" w:cs="Times New Roman"/>
        </w:rPr>
        <w:t>J-V measurement files in OPV DATA/D18, OPV DATA/D18 Y6</w:t>
      </w:r>
      <w:r w:rsidRPr="00072E3F">
        <w:rPr>
          <w:rFonts w:ascii="宋体" w:eastAsia="宋体" w:hAnsi="宋体" w:cs="宋体" w:hint="eastAsia"/>
        </w:rPr>
        <w:t>无添加剂</w:t>
      </w:r>
      <w:r w:rsidRPr="00072E3F">
        <w:rPr>
          <w:rFonts w:ascii="Times New Roman" w:hAnsi="Times New Roman" w:cs="Times New Roman"/>
        </w:rPr>
        <w:t>, and OPV DATA/D18 Y6</w:t>
      </w:r>
      <w:r w:rsidRPr="00072E3F">
        <w:rPr>
          <w:rFonts w:ascii="宋体" w:eastAsia="宋体" w:hAnsi="宋体" w:cs="宋体" w:hint="eastAsia"/>
        </w:rPr>
        <w:t>加添加剂</w:t>
      </w:r>
      <w:r w:rsidRPr="00072E3F">
        <w:rPr>
          <w:rFonts w:ascii="Times New Roman" w:hAnsi="Times New Roman" w:cs="Times New Roman"/>
        </w:rPr>
        <w:t>.</w:t>
      </w:r>
    </w:p>
    <w:p w14:paraId="1BDA4CF1" w14:textId="77777777" w:rsidR="00072E3F" w:rsidRPr="00072E3F" w:rsidRDefault="00072E3F" w:rsidP="00072E3F">
      <w:pPr>
        <w:rPr>
          <w:rFonts w:ascii="Times New Roman" w:hAnsi="Times New Roman" w:cs="Times New Roman"/>
        </w:rPr>
      </w:pPr>
      <w:r w:rsidRPr="00072E3F">
        <w:rPr>
          <w:rFonts w:ascii="Times New Roman" w:hAnsi="Times New Roman" w:cs="Times New Roman"/>
        </w:rPr>
        <w:t>EQE measurement files in OPV DATA/EQE.</w:t>
      </w:r>
    </w:p>
    <w:p w14:paraId="1EF5FC61" w14:textId="77777777" w:rsidR="00661FDC" w:rsidRPr="00072E3F" w:rsidRDefault="00661FDC">
      <w:pPr>
        <w:rPr>
          <w:rFonts w:ascii="Times New Roman" w:hAnsi="Times New Roman" w:cs="Times New Roman"/>
          <w:b/>
          <w:bCs/>
        </w:rPr>
      </w:pPr>
    </w:p>
    <w:p w14:paraId="5DC25FED" w14:textId="77777777" w:rsidR="000237DD" w:rsidRPr="00072E3F" w:rsidRDefault="000237DD">
      <w:pPr>
        <w:rPr>
          <w:rFonts w:ascii="Times New Roman" w:hAnsi="Times New Roman" w:cs="Times New Roman"/>
          <w:b/>
          <w:bCs/>
        </w:rPr>
      </w:pPr>
    </w:p>
    <w:p w14:paraId="2AE54B1E" w14:textId="77777777" w:rsidR="000237DD" w:rsidRPr="00072E3F" w:rsidRDefault="000237DD">
      <w:pPr>
        <w:rPr>
          <w:rFonts w:ascii="Times New Roman" w:hAnsi="Times New Roman" w:cs="Times New Roman"/>
          <w:b/>
          <w:bCs/>
        </w:rPr>
      </w:pPr>
    </w:p>
    <w:p w14:paraId="6ACB2EEC" w14:textId="77777777" w:rsidR="000237DD" w:rsidRPr="00072E3F" w:rsidRDefault="000237DD">
      <w:pPr>
        <w:rPr>
          <w:rFonts w:ascii="Times New Roman" w:hAnsi="Times New Roman" w:cs="Times New Roman"/>
          <w:b/>
          <w:bCs/>
        </w:rPr>
      </w:pPr>
    </w:p>
    <w:p w14:paraId="534A8FBF" w14:textId="77777777" w:rsidR="000237DD" w:rsidRPr="00072E3F" w:rsidRDefault="000237DD">
      <w:pPr>
        <w:rPr>
          <w:rFonts w:ascii="Times New Roman" w:hAnsi="Times New Roman" w:cs="Times New Roman"/>
          <w:b/>
          <w:bCs/>
        </w:rPr>
      </w:pPr>
    </w:p>
    <w:p w14:paraId="46A6774C" w14:textId="77777777" w:rsidR="000237DD" w:rsidRPr="00072E3F" w:rsidRDefault="000237DD">
      <w:pPr>
        <w:rPr>
          <w:rFonts w:ascii="Times New Roman" w:hAnsi="Times New Roman" w:cs="Times New Roman"/>
          <w:b/>
          <w:bCs/>
        </w:rPr>
      </w:pPr>
    </w:p>
    <w:p w14:paraId="34D61673" w14:textId="77777777" w:rsidR="000237DD" w:rsidRPr="00072E3F" w:rsidRDefault="000237DD">
      <w:pPr>
        <w:rPr>
          <w:rFonts w:ascii="Times New Roman" w:hAnsi="Times New Roman" w:cs="Times New Roman"/>
          <w:b/>
          <w:bCs/>
        </w:rPr>
      </w:pPr>
    </w:p>
    <w:sectPr w:rsidR="000237DD" w:rsidRPr="00072E3F">
      <w:headerReference w:type="default" r:id="rId1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58653" w14:textId="77777777" w:rsidR="008A6940" w:rsidRDefault="008A6940" w:rsidP="000237DD">
      <w:pPr>
        <w:spacing w:after="0" w:line="240" w:lineRule="auto"/>
      </w:pPr>
      <w:r>
        <w:separator/>
      </w:r>
    </w:p>
  </w:endnote>
  <w:endnote w:type="continuationSeparator" w:id="0">
    <w:p w14:paraId="215F0AEB" w14:textId="77777777" w:rsidR="008A6940" w:rsidRDefault="008A6940" w:rsidP="000237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FD1D3D" w14:textId="77777777" w:rsidR="008A6940" w:rsidRDefault="008A6940" w:rsidP="000237DD">
      <w:pPr>
        <w:spacing w:after="0" w:line="240" w:lineRule="auto"/>
      </w:pPr>
      <w:r>
        <w:separator/>
      </w:r>
    </w:p>
  </w:footnote>
  <w:footnote w:type="continuationSeparator" w:id="0">
    <w:p w14:paraId="761A7F46" w14:textId="77777777" w:rsidR="008A6940" w:rsidRDefault="008A6940" w:rsidP="000237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CC3D0" w14:textId="7380E979" w:rsidR="000237DD" w:rsidRDefault="000237DD">
    <w:pPr>
      <w:pStyle w:val="ae"/>
    </w:pPr>
    <w:r>
      <w:rPr>
        <w:rFonts w:ascii="Times New Roman" w:hAnsi="Times New Roman"/>
        <w:b/>
        <w:sz w:val="21"/>
      </w:rPr>
      <w:t>EE336 Fundamentals of Photovoltaics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513F"/>
    <w:multiLevelType w:val="hybridMultilevel"/>
    <w:tmpl w:val="E8025A86"/>
    <w:lvl w:ilvl="0" w:tplc="DBE6C4C8">
      <w:start w:val="3"/>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50AD40B4"/>
    <w:multiLevelType w:val="multilevel"/>
    <w:tmpl w:val="FFD070D8"/>
    <w:lvl w:ilvl="0">
      <w:start w:val="3"/>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565707A5"/>
    <w:multiLevelType w:val="hybridMultilevel"/>
    <w:tmpl w:val="5046DE0C"/>
    <w:lvl w:ilvl="0" w:tplc="5F466B1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AEE2EC5"/>
    <w:multiLevelType w:val="multilevel"/>
    <w:tmpl w:val="B424686A"/>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4" w15:restartNumberingAfterBreak="0">
    <w:nsid w:val="62D12B6E"/>
    <w:multiLevelType w:val="hybridMultilevel"/>
    <w:tmpl w:val="7BCEF45C"/>
    <w:lvl w:ilvl="0" w:tplc="9C1EC588">
      <w:start w:val="2"/>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732117584">
    <w:abstractNumId w:val="3"/>
  </w:num>
  <w:num w:numId="2" w16cid:durableId="1318071361">
    <w:abstractNumId w:val="1"/>
  </w:num>
  <w:num w:numId="3" w16cid:durableId="816606421">
    <w:abstractNumId w:val="0"/>
  </w:num>
  <w:num w:numId="4" w16cid:durableId="153451233">
    <w:abstractNumId w:val="4"/>
  </w:num>
  <w:num w:numId="5" w16cid:durableId="19531264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65C4"/>
    <w:rsid w:val="000237DD"/>
    <w:rsid w:val="00072E3F"/>
    <w:rsid w:val="001D54E9"/>
    <w:rsid w:val="003F65C4"/>
    <w:rsid w:val="0058619E"/>
    <w:rsid w:val="00636041"/>
    <w:rsid w:val="00661FDC"/>
    <w:rsid w:val="006B6AE0"/>
    <w:rsid w:val="00723BAD"/>
    <w:rsid w:val="007E4735"/>
    <w:rsid w:val="00815086"/>
    <w:rsid w:val="008A6940"/>
    <w:rsid w:val="00A14499"/>
    <w:rsid w:val="00CD3590"/>
    <w:rsid w:val="00D57F7D"/>
    <w:rsid w:val="00ED2839"/>
    <w:rsid w:val="00F232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401A48"/>
  <w15:chartTrackingRefBased/>
  <w15:docId w15:val="{87DEA8B4-B685-4AD4-A7A3-EFE3C7D05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4735"/>
    <w:pPr>
      <w:widowControl w:val="0"/>
    </w:pPr>
    <w:rPr>
      <w:rFonts w:eastAsia="Times New Roman"/>
    </w:rPr>
  </w:style>
  <w:style w:type="paragraph" w:styleId="1">
    <w:name w:val="heading 1"/>
    <w:basedOn w:val="a"/>
    <w:next w:val="a"/>
    <w:link w:val="10"/>
    <w:uiPriority w:val="9"/>
    <w:qFormat/>
    <w:rsid w:val="003F65C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F65C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F65C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F65C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F65C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F65C4"/>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F65C4"/>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F65C4"/>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3F65C4"/>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F65C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F65C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F65C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F65C4"/>
    <w:rPr>
      <w:rFonts w:cstheme="majorBidi"/>
      <w:color w:val="0F4761" w:themeColor="accent1" w:themeShade="BF"/>
      <w:sz w:val="28"/>
      <w:szCs w:val="28"/>
    </w:rPr>
  </w:style>
  <w:style w:type="character" w:customStyle="1" w:styleId="50">
    <w:name w:val="标题 5 字符"/>
    <w:basedOn w:val="a0"/>
    <w:link w:val="5"/>
    <w:uiPriority w:val="9"/>
    <w:semiHidden/>
    <w:rsid w:val="003F65C4"/>
    <w:rPr>
      <w:rFonts w:cstheme="majorBidi"/>
      <w:color w:val="0F4761" w:themeColor="accent1" w:themeShade="BF"/>
      <w:sz w:val="24"/>
    </w:rPr>
  </w:style>
  <w:style w:type="character" w:customStyle="1" w:styleId="60">
    <w:name w:val="标题 6 字符"/>
    <w:basedOn w:val="a0"/>
    <w:link w:val="6"/>
    <w:uiPriority w:val="9"/>
    <w:semiHidden/>
    <w:rsid w:val="003F65C4"/>
    <w:rPr>
      <w:rFonts w:cstheme="majorBidi"/>
      <w:b/>
      <w:bCs/>
      <w:color w:val="0F4761" w:themeColor="accent1" w:themeShade="BF"/>
    </w:rPr>
  </w:style>
  <w:style w:type="character" w:customStyle="1" w:styleId="70">
    <w:name w:val="标题 7 字符"/>
    <w:basedOn w:val="a0"/>
    <w:link w:val="7"/>
    <w:uiPriority w:val="9"/>
    <w:semiHidden/>
    <w:rsid w:val="003F65C4"/>
    <w:rPr>
      <w:rFonts w:cstheme="majorBidi"/>
      <w:b/>
      <w:bCs/>
      <w:color w:val="595959" w:themeColor="text1" w:themeTint="A6"/>
    </w:rPr>
  </w:style>
  <w:style w:type="character" w:customStyle="1" w:styleId="80">
    <w:name w:val="标题 8 字符"/>
    <w:basedOn w:val="a0"/>
    <w:link w:val="8"/>
    <w:uiPriority w:val="9"/>
    <w:semiHidden/>
    <w:rsid w:val="003F65C4"/>
    <w:rPr>
      <w:rFonts w:cstheme="majorBidi"/>
      <w:color w:val="595959" w:themeColor="text1" w:themeTint="A6"/>
    </w:rPr>
  </w:style>
  <w:style w:type="character" w:customStyle="1" w:styleId="90">
    <w:name w:val="标题 9 字符"/>
    <w:basedOn w:val="a0"/>
    <w:link w:val="9"/>
    <w:uiPriority w:val="9"/>
    <w:semiHidden/>
    <w:rsid w:val="003F65C4"/>
    <w:rPr>
      <w:rFonts w:eastAsiaTheme="majorEastAsia" w:cstheme="majorBidi"/>
      <w:color w:val="595959" w:themeColor="text1" w:themeTint="A6"/>
    </w:rPr>
  </w:style>
  <w:style w:type="paragraph" w:styleId="a3">
    <w:name w:val="Title"/>
    <w:basedOn w:val="a"/>
    <w:next w:val="a"/>
    <w:link w:val="a4"/>
    <w:uiPriority w:val="10"/>
    <w:qFormat/>
    <w:rsid w:val="003F65C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F65C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F65C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F65C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F65C4"/>
    <w:pPr>
      <w:spacing w:before="160"/>
      <w:jc w:val="center"/>
    </w:pPr>
    <w:rPr>
      <w:i/>
      <w:iCs/>
      <w:color w:val="404040" w:themeColor="text1" w:themeTint="BF"/>
    </w:rPr>
  </w:style>
  <w:style w:type="character" w:customStyle="1" w:styleId="a8">
    <w:name w:val="引用 字符"/>
    <w:basedOn w:val="a0"/>
    <w:link w:val="a7"/>
    <w:uiPriority w:val="29"/>
    <w:rsid w:val="003F65C4"/>
    <w:rPr>
      <w:i/>
      <w:iCs/>
      <w:color w:val="404040" w:themeColor="text1" w:themeTint="BF"/>
    </w:rPr>
  </w:style>
  <w:style w:type="paragraph" w:styleId="a9">
    <w:name w:val="List Paragraph"/>
    <w:basedOn w:val="a"/>
    <w:uiPriority w:val="34"/>
    <w:qFormat/>
    <w:rsid w:val="003F65C4"/>
    <w:pPr>
      <w:ind w:left="720"/>
      <w:contextualSpacing/>
    </w:pPr>
  </w:style>
  <w:style w:type="character" w:styleId="aa">
    <w:name w:val="Intense Emphasis"/>
    <w:basedOn w:val="a0"/>
    <w:uiPriority w:val="21"/>
    <w:qFormat/>
    <w:rsid w:val="003F65C4"/>
    <w:rPr>
      <w:i/>
      <w:iCs/>
      <w:color w:val="0F4761" w:themeColor="accent1" w:themeShade="BF"/>
    </w:rPr>
  </w:style>
  <w:style w:type="paragraph" w:styleId="ab">
    <w:name w:val="Intense Quote"/>
    <w:basedOn w:val="a"/>
    <w:next w:val="a"/>
    <w:link w:val="ac"/>
    <w:uiPriority w:val="30"/>
    <w:qFormat/>
    <w:rsid w:val="003F65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F65C4"/>
    <w:rPr>
      <w:i/>
      <w:iCs/>
      <w:color w:val="0F4761" w:themeColor="accent1" w:themeShade="BF"/>
    </w:rPr>
  </w:style>
  <w:style w:type="character" w:styleId="ad">
    <w:name w:val="Intense Reference"/>
    <w:basedOn w:val="a0"/>
    <w:uiPriority w:val="32"/>
    <w:qFormat/>
    <w:rsid w:val="003F65C4"/>
    <w:rPr>
      <w:b/>
      <w:bCs/>
      <w:smallCaps/>
      <w:color w:val="0F4761" w:themeColor="accent1" w:themeShade="BF"/>
      <w:spacing w:val="5"/>
    </w:rPr>
  </w:style>
  <w:style w:type="paragraph" w:styleId="ae">
    <w:name w:val="header"/>
    <w:basedOn w:val="a"/>
    <w:link w:val="af"/>
    <w:uiPriority w:val="99"/>
    <w:unhideWhenUsed/>
    <w:rsid w:val="000237DD"/>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0237DD"/>
    <w:rPr>
      <w:sz w:val="18"/>
      <w:szCs w:val="18"/>
    </w:rPr>
  </w:style>
  <w:style w:type="paragraph" w:styleId="af0">
    <w:name w:val="footer"/>
    <w:basedOn w:val="a"/>
    <w:link w:val="af1"/>
    <w:uiPriority w:val="99"/>
    <w:unhideWhenUsed/>
    <w:rsid w:val="000237DD"/>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0237DD"/>
    <w:rPr>
      <w:sz w:val="18"/>
      <w:szCs w:val="18"/>
    </w:rPr>
  </w:style>
  <w:style w:type="table" w:styleId="af2">
    <w:name w:val="Table Grid"/>
    <w:basedOn w:val="a1"/>
    <w:uiPriority w:val="59"/>
    <w:rsid w:val="00661FDC"/>
    <w:pPr>
      <w:spacing w:after="0" w:line="240" w:lineRule="auto"/>
    </w:pPr>
    <w:rPr>
      <w:kern w:val="0"/>
      <w:szCs w:val="22"/>
      <w:lang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7</Pages>
  <Words>1753</Words>
  <Characters>10447</Characters>
  <Application>Microsoft Office Word</Application>
  <DocSecurity>0</DocSecurity>
  <Lines>315</Lines>
  <Paragraphs>177</Paragraphs>
  <ScaleCrop>false</ScaleCrop>
  <Company/>
  <LinksUpToDate>false</LinksUpToDate>
  <CharactersWithSpaces>12015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7</cp:revision>
  <cp:lastPrinted>2026-05-30T14:27:00Z</cp:lastPrinted>
  <dcterms:created xsi:type="dcterms:W3CDTF">2026-04-29T14:29:00Z</dcterms:created>
  <dcterms:modified xsi:type="dcterms:W3CDTF">2026-05-30T14:29:00Z</dcterms:modified>
</cp:coreProperties>
</file>