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003B" w14:textId="0497355D" w:rsidR="004255A2" w:rsidRDefault="004255A2" w:rsidP="004255A2">
      <w:r w:rsidRPr="004255A2">
        <w:rPr>
          <w:b/>
          <w:bCs/>
        </w:rPr>
        <w:t>研究背景</w:t>
      </w:r>
      <w:r w:rsidRPr="004255A2">
        <w:t>：传统光学显微镜在生物组织深层成像时面临的“空间分辨率”瓶颈（如高 NA 镜头焦深极浅、组织散射导致深层模糊）。</w:t>
      </w:r>
    </w:p>
    <w:p w14:paraId="61F5D2E5" w14:textId="64D0C727" w:rsidR="004255A2" w:rsidRPr="004255A2" w:rsidRDefault="004255A2" w:rsidP="004255A2">
      <w:proofErr w:type="gramStart"/>
      <w:r w:rsidRPr="004255A2">
        <w:rPr>
          <w:b/>
          <w:bCs/>
        </w:rPr>
        <w:t>破局思路</w:t>
      </w:r>
      <w:proofErr w:type="gramEnd"/>
      <w:r w:rsidRPr="004255A2">
        <w:t>：引入光学相干断层扫描 (OCT) 技术，通过干涉测量法打破传统焦深的限制，实现深层组织的 3D 高分辨率成像。</w:t>
      </w:r>
    </w:p>
    <w:p w14:paraId="4B7B3309" w14:textId="77777777" w:rsidR="00217D46" w:rsidRPr="004255A2" w:rsidRDefault="00217D46"/>
    <w:sectPr w:rsidR="00217D46" w:rsidRPr="004255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46"/>
    <w:rsid w:val="00217D46"/>
    <w:rsid w:val="004255A2"/>
    <w:rsid w:val="009217AA"/>
    <w:rsid w:val="00AB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28E1DD"/>
  <w15:chartTrackingRefBased/>
  <w15:docId w15:val="{709DA57D-83E3-4869-AF2B-B856122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7D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D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D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D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D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D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D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D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7D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7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7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7D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7D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7D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7D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7D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7D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7D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D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7D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7D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D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7D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7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7D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7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17</Words>
  <Characters>106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2026-04-15T06:27:00Z</dcterms:created>
  <dcterms:modified xsi:type="dcterms:W3CDTF">2026-04-15T09:19:00Z</dcterms:modified>
</cp:coreProperties>
</file>