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462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2B0D3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3DBE4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83BB7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60EDC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0CE17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DF41B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D14CEF8">
      <w:pPr>
        <w:bidi w:val="0"/>
        <w:jc w:val="center"/>
        <w:rPr>
          <w:b/>
          <w:bCs/>
        </w:rPr>
      </w:pPr>
      <w:r>
        <w:rPr>
          <w:b/>
          <w:bCs/>
        </w:rPr>
        <w:t xml:space="preserve">Legalizing </w:t>
      </w:r>
      <w:r>
        <w:rPr>
          <w:rFonts w:hint="eastAsia"/>
          <w:b/>
          <w:bCs/>
          <w:lang w:val="en-US" w:eastAsia="zh-CN"/>
        </w:rPr>
        <w:t>R</w:t>
      </w:r>
      <w:r>
        <w:rPr>
          <w:b/>
          <w:bCs/>
        </w:rPr>
        <w:t xml:space="preserve">ecreational </w:t>
      </w:r>
      <w:r>
        <w:rPr>
          <w:rFonts w:hint="eastAsia"/>
          <w:b/>
          <w:bCs/>
          <w:lang w:val="en-US" w:eastAsia="zh-CN"/>
        </w:rPr>
        <w:t>C</w:t>
      </w:r>
      <w:r>
        <w:rPr>
          <w:b/>
          <w:bCs/>
        </w:rPr>
        <w:t xml:space="preserve">annabis </w:t>
      </w:r>
      <w:r>
        <w:rPr>
          <w:rFonts w:hint="eastAsia"/>
          <w:b/>
          <w:bCs/>
          <w:lang w:val="en-US" w:eastAsia="zh-CN"/>
        </w:rPr>
        <w:t>R</w:t>
      </w:r>
      <w:r>
        <w:rPr>
          <w:b/>
          <w:bCs/>
        </w:rPr>
        <w:t xml:space="preserve">educes </w:t>
      </w:r>
      <w:r>
        <w:rPr>
          <w:rFonts w:hint="eastAsia"/>
          <w:b/>
          <w:bCs/>
          <w:lang w:val="en-US" w:eastAsia="zh-CN"/>
        </w:rPr>
        <w:t>C</w:t>
      </w:r>
      <w:r>
        <w:rPr>
          <w:b/>
          <w:bCs/>
        </w:rPr>
        <w:t xml:space="preserve">rime, </w:t>
      </w:r>
      <w:r>
        <w:rPr>
          <w:rFonts w:hint="eastAsia"/>
          <w:b/>
          <w:bCs/>
          <w:lang w:val="en-US" w:eastAsia="zh-CN"/>
        </w:rPr>
        <w:t>B</w:t>
      </w:r>
      <w:r>
        <w:rPr>
          <w:b/>
          <w:bCs/>
        </w:rPr>
        <w:t xml:space="preserve">oosts the </w:t>
      </w:r>
      <w:r>
        <w:rPr>
          <w:rFonts w:hint="eastAsia"/>
          <w:b/>
          <w:bCs/>
          <w:lang w:val="en-US" w:eastAsia="zh-CN"/>
        </w:rPr>
        <w:t>E</w:t>
      </w:r>
      <w:r>
        <w:rPr>
          <w:b/>
          <w:bCs/>
        </w:rPr>
        <w:t>conomy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 xml:space="preserve">and </w:t>
      </w:r>
      <w:r>
        <w:rPr>
          <w:rFonts w:hint="eastAsia"/>
          <w:b/>
          <w:bCs/>
          <w:lang w:val="en-US" w:eastAsia="zh-CN"/>
        </w:rPr>
        <w:t>E</w:t>
      </w:r>
      <w:r>
        <w:rPr>
          <w:b/>
          <w:bCs/>
        </w:rPr>
        <w:t xml:space="preserve">nhances </w:t>
      </w:r>
      <w:r>
        <w:rPr>
          <w:rFonts w:hint="eastAsia"/>
          <w:b/>
          <w:bCs/>
          <w:lang w:val="en-US" w:eastAsia="zh-CN"/>
        </w:rPr>
        <w:t>P</w:t>
      </w:r>
      <w:r>
        <w:rPr>
          <w:b/>
          <w:bCs/>
        </w:rPr>
        <w:t xml:space="preserve">ublic </w:t>
      </w:r>
      <w:r>
        <w:rPr>
          <w:rFonts w:hint="eastAsia"/>
          <w:b/>
          <w:bCs/>
          <w:lang w:val="en-US" w:eastAsia="zh-CN"/>
        </w:rPr>
        <w:t>H</w:t>
      </w:r>
      <w:r>
        <w:rPr>
          <w:b/>
          <w:bCs/>
        </w:rPr>
        <w:t>ealth</w:t>
      </w:r>
    </w:p>
    <w:p w14:paraId="50921543">
      <w:pPr>
        <w:bidi w:val="0"/>
        <w:jc w:val="center"/>
        <w:rPr>
          <w:rFonts w:hint="default"/>
          <w:b/>
          <w:bCs/>
        </w:rPr>
      </w:pPr>
    </w:p>
    <w:p w14:paraId="3D6697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hopin (HE Yanning)</w:t>
      </w:r>
    </w:p>
    <w:p w14:paraId="71238F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12311512</w:t>
      </w:r>
    </w:p>
    <w:p w14:paraId="120AC9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EAP 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SE27</w:t>
      </w:r>
    </w:p>
    <w:p w14:paraId="5B2125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Dr. Conrad Herrera</w:t>
      </w:r>
    </w:p>
    <w:p w14:paraId="525353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1"/>
        <w:jc w:val="center"/>
        <w:textAlignment w:val="auto"/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April 27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, 202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5</w:t>
      </w:r>
    </w:p>
    <w:p w14:paraId="585AFF00">
      <w:pPr>
        <w:rPr>
          <w:rFonts w:hint="default"/>
          <w:lang w:val="en-US" w:eastAsia="zh-CN"/>
        </w:rPr>
      </w:pPr>
    </w:p>
    <w:p w14:paraId="1FDCE93C">
      <w:pPr>
        <w:rPr>
          <w:rFonts w:hint="default"/>
          <w:lang w:val="en-US" w:eastAsia="zh-CN"/>
        </w:rPr>
      </w:pPr>
    </w:p>
    <w:p w14:paraId="1A873FDB">
      <w:pPr>
        <w:rPr>
          <w:rFonts w:hint="default"/>
          <w:lang w:val="en-US" w:eastAsia="zh-CN"/>
        </w:rPr>
      </w:pPr>
    </w:p>
    <w:p w14:paraId="3007A696">
      <w:pPr>
        <w:rPr>
          <w:rFonts w:hint="default"/>
          <w:lang w:val="en-US" w:eastAsia="zh-CN"/>
        </w:rPr>
      </w:pPr>
    </w:p>
    <w:p w14:paraId="2904BE1A">
      <w:pPr>
        <w:rPr>
          <w:rFonts w:hint="default"/>
          <w:lang w:val="en-US" w:eastAsia="zh-CN"/>
        </w:rPr>
      </w:pPr>
    </w:p>
    <w:p w14:paraId="354CA7F4">
      <w:pPr>
        <w:rPr>
          <w:rFonts w:hint="default"/>
          <w:lang w:val="en-US" w:eastAsia="zh-CN"/>
        </w:rPr>
      </w:pPr>
    </w:p>
    <w:p w14:paraId="5D97F0D3">
      <w:pPr>
        <w:rPr>
          <w:rFonts w:hint="default"/>
          <w:lang w:val="en-US" w:eastAsia="zh-CN"/>
        </w:rPr>
      </w:pPr>
    </w:p>
    <w:p w14:paraId="570E8C29">
      <w:pPr>
        <w:bidi w:val="0"/>
        <w:jc w:val="center"/>
        <w:rPr>
          <w:b/>
          <w:bCs/>
        </w:rPr>
      </w:pPr>
      <w:r>
        <w:rPr>
          <w:b/>
          <w:bCs/>
        </w:rPr>
        <w:t xml:space="preserve">Legalizing </w:t>
      </w:r>
      <w:r>
        <w:rPr>
          <w:rFonts w:hint="eastAsia"/>
          <w:b/>
          <w:bCs/>
          <w:lang w:val="en-US" w:eastAsia="zh-CN"/>
        </w:rPr>
        <w:t>R</w:t>
      </w:r>
      <w:r>
        <w:rPr>
          <w:b/>
          <w:bCs/>
        </w:rPr>
        <w:t xml:space="preserve">ecreational </w:t>
      </w:r>
      <w:r>
        <w:rPr>
          <w:rFonts w:hint="eastAsia"/>
          <w:b/>
          <w:bCs/>
          <w:lang w:val="en-US" w:eastAsia="zh-CN"/>
        </w:rPr>
        <w:t>C</w:t>
      </w:r>
      <w:r>
        <w:rPr>
          <w:b/>
          <w:bCs/>
        </w:rPr>
        <w:t xml:space="preserve">annabis </w:t>
      </w:r>
      <w:r>
        <w:rPr>
          <w:rFonts w:hint="eastAsia"/>
          <w:b/>
          <w:bCs/>
          <w:lang w:val="en-US" w:eastAsia="zh-CN"/>
        </w:rPr>
        <w:t>R</w:t>
      </w:r>
      <w:r>
        <w:rPr>
          <w:b/>
          <w:bCs/>
        </w:rPr>
        <w:t xml:space="preserve">educes </w:t>
      </w:r>
      <w:r>
        <w:rPr>
          <w:rFonts w:hint="eastAsia"/>
          <w:b/>
          <w:bCs/>
          <w:lang w:val="en-US" w:eastAsia="zh-CN"/>
        </w:rPr>
        <w:t>C</w:t>
      </w:r>
      <w:r>
        <w:rPr>
          <w:b/>
          <w:bCs/>
        </w:rPr>
        <w:t xml:space="preserve">rime, </w:t>
      </w:r>
      <w:r>
        <w:rPr>
          <w:rFonts w:hint="eastAsia"/>
          <w:b/>
          <w:bCs/>
          <w:lang w:val="en-US" w:eastAsia="zh-CN"/>
        </w:rPr>
        <w:t>B</w:t>
      </w:r>
      <w:r>
        <w:rPr>
          <w:b/>
          <w:bCs/>
        </w:rPr>
        <w:t xml:space="preserve">oosts the </w:t>
      </w:r>
      <w:r>
        <w:rPr>
          <w:rFonts w:hint="eastAsia"/>
          <w:b/>
          <w:bCs/>
          <w:lang w:val="en-US" w:eastAsia="zh-CN"/>
        </w:rPr>
        <w:t>E</w:t>
      </w:r>
      <w:r>
        <w:rPr>
          <w:b/>
          <w:bCs/>
        </w:rPr>
        <w:t>conomy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 xml:space="preserve">and </w:t>
      </w:r>
      <w:r>
        <w:rPr>
          <w:rFonts w:hint="eastAsia"/>
          <w:b/>
          <w:bCs/>
          <w:lang w:val="en-US" w:eastAsia="zh-CN"/>
        </w:rPr>
        <w:t>E</w:t>
      </w:r>
      <w:r>
        <w:rPr>
          <w:b/>
          <w:bCs/>
        </w:rPr>
        <w:t xml:space="preserve">nhances </w:t>
      </w:r>
      <w:r>
        <w:rPr>
          <w:rFonts w:hint="eastAsia"/>
          <w:b/>
          <w:bCs/>
          <w:lang w:val="en-US" w:eastAsia="zh-CN"/>
        </w:rPr>
        <w:t>P</w:t>
      </w:r>
      <w:r>
        <w:rPr>
          <w:b/>
          <w:bCs/>
        </w:rPr>
        <w:t xml:space="preserve">ublic </w:t>
      </w:r>
      <w:r>
        <w:rPr>
          <w:rFonts w:hint="eastAsia"/>
          <w:b/>
          <w:bCs/>
          <w:lang w:val="en-US" w:eastAsia="zh-CN"/>
        </w:rPr>
        <w:t>H</w:t>
      </w:r>
      <w:r>
        <w:rPr>
          <w:b/>
          <w:bCs/>
        </w:rPr>
        <w:t>ealth</w:t>
      </w:r>
    </w:p>
    <w:p w14:paraId="781A76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2023, the cannabis industry in America has employed over 428,000 full-time workers, more than the number of aerospace manufacturing by 127%. Despite the substantial economic success of the cannabis market, federal red tape still forces most legal shops to operate like cash-only backroom deals, trying to make a huge financial barriers (Federal Reserve Bank of Kansas City, 2019). Moreover, research which was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published in Addiction found that traffic accidents decreased by 10-15% in states where recreational cannabis has been legalized, showing the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improvements in public health and traffic safety(Timko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et al.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2021). And the United Nations Office on Drugs and Crime reported that the benefits for Mexican drug cartels from cannabis sales had declined by 33% following the legalization in U.S.A(United Nations, 2024).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Therefore, federal legalization of recreational cannabis would obviously reduce crime rate, enhance economic </w:t>
      </w:r>
      <w:bookmarkStart w:id="0" w:name="_GoBack"/>
      <w:bookmarkEnd w:id="0"/>
      <w:r>
        <w:rPr>
          <w:rFonts w:hint="default"/>
          <w:lang w:val="en-US" w:eastAsia="zh-CN"/>
        </w:rPr>
        <w:t>growth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and improve public health nationwide.</w:t>
      </w:r>
    </w:p>
    <w:p w14:paraId="483E29C5">
      <w:pPr>
        <w:bidi w:val="0"/>
        <w:rPr>
          <w:rFonts w:hint="default"/>
          <w:lang w:val="en-US" w:eastAsia="zh-CN"/>
        </w:rPr>
      </w:pPr>
    </w:p>
    <w:p w14:paraId="472FB5D7">
      <w:pPr>
        <w:bidi w:val="0"/>
        <w:rPr>
          <w:rFonts w:hint="default"/>
          <w:lang w:val="en-US" w:eastAsia="zh-CN"/>
        </w:rPr>
      </w:pPr>
    </w:p>
    <w:p w14:paraId="1A1D1F70">
      <w:pPr>
        <w:bidi w:val="0"/>
        <w:rPr>
          <w:rFonts w:hint="default"/>
          <w:lang w:val="en-US" w:eastAsia="zh-CN"/>
        </w:rPr>
      </w:pPr>
    </w:p>
    <w:p w14:paraId="6B6B14A1">
      <w:pPr>
        <w:bidi w:val="0"/>
        <w:rPr>
          <w:rFonts w:hint="default"/>
          <w:lang w:val="en-US" w:eastAsia="zh-CN"/>
        </w:rPr>
      </w:pPr>
    </w:p>
    <w:p w14:paraId="408318EA">
      <w:pPr>
        <w:bidi w:val="0"/>
        <w:rPr>
          <w:rFonts w:hint="default"/>
          <w:lang w:val="en-US" w:eastAsia="zh-CN"/>
        </w:rPr>
      </w:pPr>
    </w:p>
    <w:p w14:paraId="58F05277">
      <w:pPr>
        <w:bidi w:val="0"/>
        <w:rPr>
          <w:rFonts w:hint="default"/>
          <w:lang w:val="en-US" w:eastAsia="zh-CN"/>
        </w:rPr>
      </w:pPr>
    </w:p>
    <w:p w14:paraId="5E987D29">
      <w:pPr>
        <w:bidi w:val="0"/>
        <w:jc w:val="center"/>
        <w:rPr>
          <w:rFonts w:hint="eastAsia"/>
          <w:b/>
          <w:bCs/>
          <w:lang w:val="en-US" w:eastAsia="zh-CN"/>
        </w:rPr>
      </w:pPr>
    </w:p>
    <w:p w14:paraId="4328275D">
      <w:pPr>
        <w:bidi w:val="0"/>
        <w:jc w:val="center"/>
        <w:rPr>
          <w:rFonts w:hint="eastAsia"/>
          <w:b/>
          <w:bCs/>
          <w:lang w:val="en-US" w:eastAsia="zh-CN"/>
        </w:rPr>
      </w:pPr>
    </w:p>
    <w:p w14:paraId="676627F0">
      <w:pPr>
        <w:bidi w:val="0"/>
        <w:jc w:val="center"/>
      </w:pPr>
      <w:r>
        <w:rPr>
          <w:rFonts w:hint="eastAsia"/>
          <w:b/>
          <w:bCs/>
          <w:lang w:val="en-US" w:eastAsia="zh-CN"/>
        </w:rPr>
        <w:t>References</w:t>
      </w:r>
    </w:p>
    <w:p w14:paraId="073D5204">
      <w:pPr>
        <w:numPr>
          <w:numId w:val="0"/>
        </w:numPr>
        <w:bidi w:val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Federal Reserve Bank of Kansas City. (2019). Https://Www.kansascityfed.org/. https://www.kansascityfed.org/</w:t>
      </w:r>
    </w:p>
    <w:p w14:paraId="5946D78F">
      <w:pPr>
        <w:bidi w:val="0"/>
        <w:ind w:left="0" w:leftChars="0" w:firstLine="0" w:firstLineChars="0"/>
        <w:rPr>
          <w:rFonts w:hint="default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 xml:space="preserve">Timko, C., Grant, K. M., Han, X., Young, L. B., &amp; Cucciare, M. A. (2021). Al‐Anon intensive referral to facilitate concerned others’ participation in Al‐Anon Family groups: A randomized controlled trial. Addiction, 117(3).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"https://doi.org/10.1111/add.15670"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https://doi.org/10.1111/add.15670</w:t>
      </w:r>
      <w:r>
        <w:rPr>
          <w:rFonts w:hint="default"/>
        </w:rPr>
        <w:fldChar w:fldCharType="end"/>
      </w:r>
    </w:p>
    <w:p w14:paraId="07AB00B6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United Nations. (2024). World Drug Report 2024. United Nations : Office on Drugs and Crime. https://www.unodc.org/unodc/en/data-and-analysis/world-drug-report-2024.html</w:t>
      </w:r>
    </w:p>
    <w:p w14:paraId="0B7AB0B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30AF0357">
      <w:pPr>
        <w:bidi w:val="0"/>
        <w:rPr>
          <w:rFonts w:hint="default"/>
        </w:rPr>
      </w:pPr>
    </w:p>
    <w:p w14:paraId="12A6BB67">
      <w:pPr>
        <w:bidi w:val="0"/>
        <w:rPr>
          <w:rFonts w:hint="default"/>
        </w:rPr>
      </w:pPr>
    </w:p>
    <w:p w14:paraId="2AC3841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48C4045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cs="Calibri"/>
          <w:i w:val="0"/>
          <w:iCs w:val="0"/>
          <w:caps w:val="0"/>
          <w:color w:val="000000"/>
          <w:spacing w:val="0"/>
          <w:sz w:val="27"/>
          <w:szCs w:val="27"/>
        </w:rPr>
        <w:t>‌</w:t>
      </w:r>
    </w:p>
    <w:p w14:paraId="46AEEE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34" w:beforeAutospacing="0" w:after="0" w:afterAutospacing="1"/>
      </w:pPr>
    </w:p>
    <w:p w14:paraId="35BEBFC3">
      <w:pPr>
        <w:bidi w:val="0"/>
        <w:jc w:val="center"/>
        <w:rPr>
          <w:rFonts w:hint="default"/>
          <w:b w:val="0"/>
          <w:bCs w:val="0"/>
          <w:lang w:val="en-US" w:eastAsia="zh-CN"/>
        </w:rPr>
      </w:pPr>
    </w:p>
    <w:p w14:paraId="4A7B4688">
      <w:pPr>
        <w:bidi w:val="0"/>
        <w:rPr>
          <w:rFonts w:hint="default"/>
          <w:lang w:val="en-US" w:eastAsia="zh-CN"/>
        </w:rPr>
      </w:pPr>
    </w:p>
    <w:p w14:paraId="17BA973A">
      <w:pPr>
        <w:bidi w:val="0"/>
        <w:rPr>
          <w:rFonts w:hint="default"/>
          <w:lang w:val="en-US" w:eastAsia="zh-CN"/>
        </w:rPr>
      </w:pPr>
    </w:p>
    <w:p w14:paraId="660B3927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firstLine="480"/>
      </w:pPr>
      <w:r>
        <w:separator/>
      </w:r>
    </w:p>
  </w:footnote>
  <w:footnote w:type="continuationSeparator" w:id="1">
    <w:p>
      <w:pPr>
        <w:spacing w:line="48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B3B93"/>
    <w:rsid w:val="32E35AF1"/>
    <w:rsid w:val="7744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ind w:firstLine="482" w:firstLineChars="200"/>
      <w:jc w:val="left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80" w:lineRule="auto"/>
      <w:ind w:firstLine="0" w:firstLineChars="0"/>
      <w:outlineLvl w:val="1"/>
    </w:pPr>
    <w:rPr>
      <w:rFonts w:eastAsia="黑体"/>
      <w:b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230</Words>
  <Characters>1598</Characters>
  <Lines>0</Lines>
  <Paragraphs>0</Paragraphs>
  <TotalTime>18</TotalTime>
  <ScaleCrop>false</ScaleCrop>
  <LinksUpToDate>false</LinksUpToDate>
  <CharactersWithSpaces>1816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2025-04-27T02:29:00Z</dcterms:created>
  <dc:creator>he</dc:creator>
  <cp:lastModifiedBy>Chopin</cp:lastModifiedBy>
  <dcterms:modified xsi:type="dcterms:W3CDTF">2025-04-28T08:15:16Z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882DD31D690243DF9F47750DCFAC6EE9_12</vt:lpwstr>
  </property>
</Properties>
</file>