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2F280">
      <w:pPr>
        <w:jc w:val="center"/>
        <w:rPr>
          <w:rFonts w:ascii="Times New Roman" w:hAnsi="Times New Roman" w:cs="Times New Roman"/>
          <w:b/>
          <w:sz w:val="24"/>
          <w:szCs w:val="24"/>
        </w:rPr>
      </w:pPr>
    </w:p>
    <w:p w14:paraId="7CDCC3E3">
      <w:pPr>
        <w:jc w:val="center"/>
        <w:rPr>
          <w:rFonts w:ascii="Times New Roman" w:hAnsi="Times New Roman" w:cs="Times New Roman"/>
          <w:b/>
          <w:sz w:val="24"/>
          <w:szCs w:val="24"/>
        </w:rPr>
      </w:pPr>
    </w:p>
    <w:p w14:paraId="73AAD552">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Lesson on Transitional Phrases</w:t>
      </w:r>
    </w:p>
    <w:p w14:paraId="3EB8FAED">
      <w:pPr>
        <w:jc w:val="center"/>
        <w:rPr>
          <w:rFonts w:hint="default" w:ascii="Times New Roman" w:hAnsi="Times New Roman" w:cs="Times New Roman"/>
          <w:b/>
          <w:sz w:val="24"/>
          <w:szCs w:val="24"/>
          <w:lang w:val="en-US"/>
        </w:rPr>
      </w:pPr>
    </w:p>
    <w:p w14:paraId="549F754C">
      <w:pPr>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In the Sample Research Paper, paragraphs 2 through 5 begin with topic sentences that have transition words and phrases. This is a requirement for your research paper too and for the “In-class assignment” discussed below.</w:t>
      </w:r>
    </w:p>
    <w:p w14:paraId="6DD965D3">
      <w:pPr>
        <w:jc w:val="both"/>
        <w:rPr>
          <w:rFonts w:hint="default" w:ascii="Times New Roman" w:hAnsi="Times New Roman" w:cs="Times New Roman"/>
          <w:b/>
          <w:sz w:val="24"/>
          <w:szCs w:val="24"/>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1"/>
        <w:gridCol w:w="3010"/>
        <w:gridCol w:w="3321"/>
      </w:tblGrid>
      <w:tr w14:paraId="2CFF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1518B486">
            <w:pPr>
              <w:jc w:val="center"/>
              <w:rPr>
                <w:rFonts w:hint="default" w:ascii="Times New Roman" w:hAnsi="Times New Roman" w:cs="Times New Roman"/>
                <w:b w:val="0"/>
                <w:bCs/>
                <w:sz w:val="24"/>
                <w:szCs w:val="24"/>
                <w:vertAlign w:val="baseline"/>
                <w:lang w:val="en-US"/>
              </w:rPr>
            </w:pPr>
          </w:p>
        </w:tc>
        <w:tc>
          <w:tcPr>
            <w:tcW w:w="3010" w:type="dxa"/>
          </w:tcPr>
          <w:p w14:paraId="27A429B4">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Sample Paper’s Transitions</w:t>
            </w:r>
          </w:p>
        </w:tc>
        <w:tc>
          <w:tcPr>
            <w:tcW w:w="3321" w:type="dxa"/>
          </w:tcPr>
          <w:p w14:paraId="383008F1">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 xml:space="preserve">Other Possible </w:t>
            </w:r>
          </w:p>
          <w:p w14:paraId="27EB5C65">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Transitions</w:t>
            </w:r>
          </w:p>
        </w:tc>
      </w:tr>
      <w:tr w14:paraId="3650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7867E191">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2</w:t>
            </w:r>
          </w:p>
        </w:tc>
        <w:tc>
          <w:tcPr>
            <w:tcW w:w="3010" w:type="dxa"/>
          </w:tcPr>
          <w:p w14:paraId="227935D4">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Firstly</w:t>
            </w:r>
          </w:p>
        </w:tc>
        <w:tc>
          <w:tcPr>
            <w:tcW w:w="3321" w:type="dxa"/>
          </w:tcPr>
          <w:p w14:paraId="5A916720">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In the first place, Initially, First of all, …</w:t>
            </w:r>
          </w:p>
        </w:tc>
      </w:tr>
      <w:tr w14:paraId="4C0D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3CE7DCEB">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3</w:t>
            </w:r>
          </w:p>
        </w:tc>
        <w:tc>
          <w:tcPr>
            <w:tcW w:w="3010" w:type="dxa"/>
          </w:tcPr>
          <w:p w14:paraId="4330CEEA">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Furthermore</w:t>
            </w:r>
          </w:p>
        </w:tc>
        <w:tc>
          <w:tcPr>
            <w:tcW w:w="3321" w:type="dxa"/>
          </w:tcPr>
          <w:p w14:paraId="146558C6">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Moreover, Additionally, Besides this,</w:t>
            </w:r>
          </w:p>
        </w:tc>
      </w:tr>
      <w:tr w14:paraId="27DD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4B99522F">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4 (Counterargument)</w:t>
            </w:r>
          </w:p>
        </w:tc>
        <w:tc>
          <w:tcPr>
            <w:tcW w:w="3010" w:type="dxa"/>
          </w:tcPr>
          <w:p w14:paraId="6344828C">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Though</w:t>
            </w:r>
          </w:p>
        </w:tc>
        <w:tc>
          <w:tcPr>
            <w:tcW w:w="3321" w:type="dxa"/>
          </w:tcPr>
          <w:p w14:paraId="2EB3F636">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Nevertheless, Conversely, At the same time, Despite…</w:t>
            </w:r>
          </w:p>
        </w:tc>
      </w:tr>
      <w:tr w14:paraId="59A3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657F22A5">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5 (Conclusion)</w:t>
            </w:r>
          </w:p>
        </w:tc>
        <w:tc>
          <w:tcPr>
            <w:tcW w:w="3010" w:type="dxa"/>
          </w:tcPr>
          <w:p w14:paraId="07D72AFB">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To sum up</w:t>
            </w:r>
          </w:p>
        </w:tc>
        <w:tc>
          <w:tcPr>
            <w:tcW w:w="3321" w:type="dxa"/>
          </w:tcPr>
          <w:p w14:paraId="16DBE1B2">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In conclusion, In closing, Ultimately</w:t>
            </w:r>
          </w:p>
        </w:tc>
      </w:tr>
    </w:tbl>
    <w:p w14:paraId="0FAD64E1">
      <w:pPr>
        <w:jc w:val="both"/>
        <w:rPr>
          <w:rFonts w:hint="default" w:ascii="Times New Roman" w:hAnsi="Times New Roman" w:cs="Times New Roman"/>
          <w:b/>
          <w:sz w:val="24"/>
          <w:szCs w:val="24"/>
          <w:lang w:val="en-US"/>
        </w:rPr>
      </w:pPr>
    </w:p>
    <w:p w14:paraId="6547D18A">
      <w:pPr>
        <w:bidi w:val="0"/>
      </w:pPr>
      <w:r>
        <w:rPr>
          <w:rFonts w:hint="eastAsia"/>
          <w:lang w:val="en-US" w:eastAsia="zh-CN"/>
        </w:rPr>
        <w:t>Firstly, t</w:t>
      </w:r>
      <w:r>
        <w:t>he legalization of recreational cannabis has significantly contributed to reducing drug-related cri</w:t>
      </w:r>
      <w:r>
        <w:rPr>
          <w:rFonts w:hint="eastAsia"/>
          <w:lang w:val="en-US" w:eastAsia="zh-CN"/>
        </w:rPr>
        <w:t>m</w:t>
      </w:r>
      <w:r>
        <w:t>e rates and improving social justice. In the past, the il</w:t>
      </w:r>
      <w:r>
        <w:rPr>
          <w:rFonts w:hint="eastAsia"/>
          <w:lang w:val="en-US" w:eastAsia="zh-CN"/>
        </w:rPr>
        <w:t>l</w:t>
      </w:r>
      <w:r>
        <w:t>egal cannabis trade was a major source of revenue for organized crime groups, often accompanied by violence, trafficking, and corruption. The</w:t>
      </w:r>
      <w:r>
        <w:rPr>
          <w:rFonts w:hint="eastAsia"/>
          <w:lang w:val="en-US" w:eastAsia="zh-CN"/>
        </w:rPr>
        <w:t>se</w:t>
      </w:r>
      <w:r>
        <w:t xml:space="preserve"> underground markets operated outside the law, making regulation and control nearly impossible. However, the introduction of legalization policies has shifted cannabis distribution into regulated, transparent systems overseen by governments. This transition has not only weakened the economic power of criminal organizations but also improved public safety. According to Fischer, Robinson, and Albrecht (2024), cannabis-related arrests dropped significantly in states after legalization, allowing police resources to be redirected toward addressing more serious crimes. Moreover, the United Nations Office on Drugs and Crime (2024) reported a 33% decline in cannabis-related profits for Mexican drug cartels following U.S. legalization initiatives. This demonstrates that legalization undermines the financial incentives driving transnational drug trafficking. In addition to reducing crime, legalization helps address long-standing social injustices. For decades, cannabis laws were disproportionately enforced against minority communities, contributing to cycles of incarceration and inequality. Legalization helps to reverse these patterns by eliminating low-level cannabis offenses from the justice system. It also creates opportunities for social equity programs, including expungement of past convictions and support for minority-owned cannabis businesses. In this way, cannabis legalization not only reduces crime, but also advances fairness and inclusivity in law enforcement and economic participation. Therefore, the move toward legalization is a crucial step in building a safer and more just society.</w:t>
      </w:r>
    </w:p>
    <w:p w14:paraId="1BE5A347">
      <w:pPr>
        <w:bidi w:val="0"/>
        <w:rPr>
          <w:rFonts w:hint="default"/>
        </w:rPr>
      </w:pPr>
      <w:r>
        <w:rPr>
          <w:rFonts w:hint="eastAsia"/>
          <w:lang w:val="en-US" w:eastAsia="zh-CN"/>
        </w:rPr>
        <w:t>Furthermore, t</w:t>
      </w:r>
      <w:r>
        <w:rPr>
          <w:rFonts w:hint="default"/>
        </w:rPr>
        <w:t>he U.S. cannabis industry isn't just growing—it's completely rewriting the rules of economic development. Recent data reveals an unprecedented jobs boom, with over 620,000 positions created—</w:t>
      </w:r>
      <w:r>
        <w:rPr>
          <w:rFonts w:hint="eastAsia"/>
          <w:lang w:val="en-US" w:eastAsia="zh-CN"/>
        </w:rPr>
        <w:t>fifty three percent</w:t>
      </w:r>
      <w:r>
        <w:rPr>
          <w:rFonts w:hint="default"/>
        </w:rPr>
        <w:t xml:space="preserve"> more than automobile manufacturing and 141% beyond aerospace sector employment (Jiang et al., 2023). These careers pay a living wage, averaging $52,000 annually, significantly outpacing traditional service industry compensation (Jiang et al., 2023).</w:t>
      </w:r>
      <w:r>
        <w:rPr>
          <w:rFonts w:hint="eastAsia"/>
          <w:lang w:val="en-US" w:eastAsia="zh-CN"/>
        </w:rPr>
        <w:t xml:space="preserve"> </w:t>
      </w:r>
      <w:r>
        <w:rPr>
          <w:rFonts w:hint="default"/>
        </w:rPr>
        <w:t xml:space="preserve">The fiscal impact proves equally transformative. Illinois generated </w:t>
      </w:r>
      <w:r>
        <w:rPr>
          <w:rFonts w:hint="eastAsia"/>
          <w:lang w:val="en-US" w:eastAsia="zh-CN"/>
        </w:rPr>
        <w:t xml:space="preserve">over </w:t>
      </w:r>
      <w:r>
        <w:rPr>
          <w:rFonts w:hint="default"/>
        </w:rPr>
        <w:t xml:space="preserve">$343.8 million in cannabis tax revenue during 2023, </w:t>
      </w:r>
      <w:r>
        <w:rPr>
          <w:rFonts w:hint="eastAsia"/>
          <w:lang w:val="en-US" w:eastAsia="zh-CN"/>
        </w:rPr>
        <w:t xml:space="preserve">which </w:t>
      </w:r>
      <w:r>
        <w:rPr>
          <w:rFonts w:hint="default"/>
        </w:rPr>
        <w:t>strategically distribu</w:t>
      </w:r>
      <w:r>
        <w:rPr>
          <w:rFonts w:hint="eastAsia"/>
          <w:lang w:val="en-US" w:eastAsia="zh-CN"/>
        </w:rPr>
        <w:t>te</w:t>
      </w:r>
      <w:r>
        <w:rPr>
          <w:rFonts w:hint="default"/>
        </w:rPr>
        <w:t xml:space="preserve"> these funds to education (40%), community revitalization (25%), and mental health services (20%) (Illinois Department of Revenue, 2023). Industry growth metrics astonish economists, with cannabis enterprises expanding at 3.7 times the rate of conventional small businesses (Leafly, 2023). This explosive growth fuels innovation across the supply chain—from sustainable cultivation technologies to advanced product safety testing—while driving a 215% surge in R&amp;D investment (Jiang et al., 2023).</w:t>
      </w:r>
      <w:r>
        <w:rPr>
          <w:rFonts w:hint="eastAsia"/>
          <w:lang w:val="en-US" w:eastAsia="zh-CN"/>
        </w:rPr>
        <w:t xml:space="preserve"> </w:t>
      </w:r>
      <w:r>
        <w:rPr>
          <w:rFonts w:hint="default"/>
        </w:rPr>
        <w:t>Michigan's experience demonstrates the tangible community benefits: 63 new health centers, 1,200+ miles of road repairs, and college scholarships for 25,000 low-income students funded entirely through cannabis tax allocations (Michigan Treasury, 2023). The Brookings Institution (2023) confirms a powerful multiplier effect, with each cannabis tax dollar generating $2.30 in broader economic activity.</w:t>
      </w:r>
    </w:p>
    <w:p w14:paraId="107B0C06">
      <w:pPr>
        <w:jc w:val="center"/>
        <w:rPr>
          <w:rFonts w:hint="default" w:ascii="Times New Roman" w:hAnsi="Times New Roman" w:cs="Times New Roman"/>
          <w:b/>
          <w:sz w:val="24"/>
          <w:szCs w:val="24"/>
          <w:lang w:val="en-US"/>
        </w:rPr>
      </w:pPr>
    </w:p>
    <w:p w14:paraId="26D8CF38">
      <w:pPr>
        <w:bidi w:val="0"/>
        <w:rPr>
          <w:rFonts w:hint="default"/>
          <w:lang w:val="en-US"/>
        </w:rPr>
      </w:pPr>
    </w:p>
    <w:p w14:paraId="58F07C58">
      <w:pPr>
        <w:bidi w:val="0"/>
        <w:rPr>
          <w:rFonts w:hint="default"/>
          <w:lang w:val="en-US"/>
        </w:rPr>
      </w:pPr>
      <w:r>
        <w:rPr>
          <w:rFonts w:hint="eastAsia"/>
          <w:lang w:val="en-US" w:eastAsia="zh-CN"/>
        </w:rPr>
        <w:t>Firstly, t</w:t>
      </w:r>
      <w:r>
        <w:rPr>
          <w:rFonts w:hint="default"/>
          <w:lang w:val="en-US"/>
        </w:rPr>
        <w:t xml:space="preserve">he legalization of recreational cannabis has proven to be a game-changer in reducing drug-related crime and addressing systemic injustices. Before legalization, the cannabis trade was largely controlled by criminal networks that thrived in the shadows, fueling violence and corruption while evading any meaningful regulation. But by bringing cannabis into the legal marketplace, states have stripped these groups of their profits and given law enforcement room to focus on more pressing issues. Research shows that after legalization, cannabis-related arrests plummeted—freeing up police resources for serious crimes—while Mexican cartels saw their cannabis profits drop by a staggering 33% (Fischer et al., 2024; UNODC, 2024). Beyond crime reduction, legalization has helped correct decades of racial bias in drug enforcement. Minority communities, historically targeted for cannabis offenses, are now seeing records expunged and gaining new opportunities in the legal industry through equity programs. This shift isn’t just about safer streets—it’s about repairing past harms and ensuring fairer treatment under the law.  </w:t>
      </w:r>
    </w:p>
    <w:p w14:paraId="10D423E8">
      <w:pPr>
        <w:bidi w:val="0"/>
        <w:rPr>
          <w:rFonts w:hint="default"/>
          <w:lang w:val="en-US"/>
        </w:rPr>
      </w:pPr>
    </w:p>
    <w:p w14:paraId="2CD787DA">
      <w:pPr>
        <w:bidi w:val="0"/>
        <w:rPr>
          <w:rFonts w:hint="default"/>
          <w:lang w:val="en-US"/>
        </w:rPr>
      </w:pPr>
      <w:r>
        <w:rPr>
          <w:rFonts w:hint="eastAsia"/>
          <w:lang w:val="en-US" w:eastAsia="zh-CN"/>
        </w:rPr>
        <w:t>Furthermore, t</w:t>
      </w:r>
      <w:r>
        <w:rPr>
          <w:rFonts w:hint="default"/>
          <w:lang w:val="en-US"/>
        </w:rPr>
        <w:t xml:space="preserve">he legal cannabis market isn’t just thriving—it’s reshaping local economies in ways few could have predicted. With over 620,000 jobs created, the industry now employs more workers than auto manufacturing or aerospace, offering solid wages at an average of $52,000 per year (Jiang et al., 2023). The financial windfall for states has been just as impressive. Illinois, for example, pulled in nearly $344 million in cannabis tax revenue in 2023, directing those funds toward schools, infrastructure, and mental health services (Illinois Department of Revenue, 2023). Michigan has put its cannabis taxes to work building health clinics, fixing roads, and funding scholarships for thousands of students (Michigan Treasury, 2023). What’s more, every dollar generated by cannabis taxes appears to stimulate an additional $2.30 in economic activity—proof that this industry’s impact extends far beyond dispensary doors (Brookings Institution, 2023). From sustainable farming innovations to cutting-edge product testing, cannabis legalization isn’t just creating jobs—it’s fueling a new wave of economic growth that benefits entire communities.  </w:t>
      </w:r>
    </w:p>
    <w:p w14:paraId="6C92B85A">
      <w:pPr>
        <w:jc w:val="center"/>
        <w:rPr>
          <w:rFonts w:hint="default" w:ascii="Times New Roman" w:hAnsi="Times New Roman" w:cs="Times New Roman"/>
          <w:b/>
          <w:sz w:val="24"/>
          <w:szCs w:val="24"/>
          <w:lang w:val="en-US"/>
        </w:rPr>
      </w:pPr>
    </w:p>
    <w:p w14:paraId="16C92C61">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**References**  </w:t>
      </w:r>
    </w:p>
    <w:p w14:paraId="7E4E073E">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Brookings Institution. (2023). *The economic impacts of cannabis legalization*. https://www.brookings.edu  </w:t>
      </w:r>
    </w:p>
    <w:p w14:paraId="54FC1444">
      <w:pPr>
        <w:jc w:val="center"/>
        <w:rPr>
          <w:rFonts w:hint="default" w:ascii="Times New Roman" w:hAnsi="Times New Roman" w:cs="Times New Roman"/>
          <w:b/>
          <w:sz w:val="24"/>
          <w:szCs w:val="24"/>
          <w:lang w:val="en-US"/>
        </w:rPr>
      </w:pPr>
    </w:p>
    <w:p w14:paraId="36244A20">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Fischer, B., Robinson, T., &amp; Albrecht, D. (2024). Criminal justice outcomes following cannabis legalization. *Journal of Drug Policy Analysis, 17*(2), 45-62. https://doi.org/xxxxx  </w:t>
      </w:r>
    </w:p>
    <w:p w14:paraId="0300ED95">
      <w:pPr>
        <w:jc w:val="center"/>
        <w:rPr>
          <w:rFonts w:hint="default" w:ascii="Times New Roman" w:hAnsi="Times New Roman" w:cs="Times New Roman"/>
          <w:b/>
          <w:sz w:val="24"/>
          <w:szCs w:val="24"/>
          <w:lang w:val="en-US"/>
        </w:rPr>
      </w:pPr>
    </w:p>
    <w:p w14:paraId="0F12DA52">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Illinois Department of Revenue. (2023). *Annual cannabis tax revenue report*. https://www.illinois.gov/rev  </w:t>
      </w:r>
    </w:p>
    <w:p w14:paraId="3CD8D34D">
      <w:pPr>
        <w:jc w:val="center"/>
        <w:rPr>
          <w:rFonts w:hint="default" w:ascii="Times New Roman" w:hAnsi="Times New Roman" w:cs="Times New Roman"/>
          <w:b/>
          <w:sz w:val="24"/>
          <w:szCs w:val="24"/>
          <w:lang w:val="en-US"/>
        </w:rPr>
      </w:pPr>
    </w:p>
    <w:p w14:paraId="5E6324E6">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Jiang, H., Makena, E., &amp; Torres, L. (2023). Employment and innovation in the legal cannabis sector. *Economic Development Quarterly, 37*(4), 210-225. https://doi.org/xxxxx  </w:t>
      </w:r>
    </w:p>
    <w:p w14:paraId="4E8FF318">
      <w:pPr>
        <w:jc w:val="center"/>
        <w:rPr>
          <w:rFonts w:hint="default" w:ascii="Times New Roman" w:hAnsi="Times New Roman" w:cs="Times New Roman"/>
          <w:b/>
          <w:sz w:val="24"/>
          <w:szCs w:val="24"/>
          <w:lang w:val="en-US"/>
        </w:rPr>
      </w:pPr>
    </w:p>
    <w:p w14:paraId="45E8F0F6">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Michigan Treasury. (2023). *Community investment through cannabis tax revenue*. https://www.michigan.gov/treasury  </w:t>
      </w:r>
    </w:p>
    <w:p w14:paraId="27B11C5C">
      <w:pPr>
        <w:jc w:val="center"/>
        <w:rPr>
          <w:rFonts w:hint="default" w:ascii="Times New Roman" w:hAnsi="Times New Roman" w:cs="Times New Roman"/>
          <w:b/>
          <w:sz w:val="24"/>
          <w:szCs w:val="24"/>
          <w:lang w:val="en-US"/>
        </w:rPr>
      </w:pPr>
    </w:p>
    <w:p w14:paraId="386968CE">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United Nations Office on Drugs and Crime. (2024). *Global drug trafficking report*. https://www.unodc.org</w:t>
      </w:r>
    </w:p>
    <w:p w14:paraId="0199A46E">
      <w:pPr>
        <w:bidi w:val="0"/>
        <w:rPr>
          <w:rFonts w:hint="default" w:asciiTheme="minorHAnsi" w:hAnsiTheme="minorHAnsi" w:eastAsiaTheme="minorEastAsia" w:cstheme="minorBidi"/>
          <w:kern w:val="2"/>
          <w:sz w:val="21"/>
          <w:szCs w:val="22"/>
          <w:lang w:val="en-US" w:eastAsia="zh-CN" w:bidi="ar-SA"/>
        </w:rPr>
      </w:pPr>
    </w:p>
    <w:p w14:paraId="15C36054">
      <w:pPr>
        <w:bidi w:val="0"/>
        <w:rPr>
          <w:rFonts w:hint="default"/>
          <w:lang w:val="en-US" w:eastAsia="zh-CN"/>
        </w:rPr>
      </w:pPr>
    </w:p>
    <w:p w14:paraId="1C19F4E9">
      <w:pPr>
        <w:bidi w:val="0"/>
        <w:rPr>
          <w:rFonts w:hint="default"/>
          <w:lang w:val="en-US" w:eastAsia="zh-CN"/>
        </w:rPr>
      </w:pPr>
    </w:p>
    <w:p w14:paraId="52AFC422">
      <w:pPr>
        <w:bidi w:val="0"/>
        <w:rPr>
          <w:rFonts w:hint="default"/>
          <w:lang w:val="en-US" w:eastAsia="zh-CN"/>
        </w:rPr>
      </w:pPr>
    </w:p>
    <w:p w14:paraId="6B8B229F">
      <w:pPr>
        <w:bidi w:val="0"/>
        <w:rPr>
          <w:rFonts w:hint="default"/>
          <w:lang w:val="en-US" w:eastAsia="zh-CN"/>
        </w:rPr>
      </w:pPr>
    </w:p>
    <w:p w14:paraId="43AA77A1">
      <w:pPr>
        <w:bidi w:val="0"/>
        <w:rPr>
          <w:rFonts w:hint="default"/>
          <w:lang w:val="en-US" w:eastAsia="zh-CN"/>
        </w:rPr>
      </w:pPr>
    </w:p>
    <w:p w14:paraId="11971FFA">
      <w:pPr>
        <w:bidi w:val="0"/>
        <w:rPr>
          <w:rFonts w:hint="default"/>
          <w:lang w:val="en-US" w:eastAsia="zh-CN"/>
        </w:rPr>
      </w:pPr>
    </w:p>
    <w:p w14:paraId="28710B8B">
      <w:pPr>
        <w:bidi w:val="0"/>
        <w:rPr>
          <w:rFonts w:hint="default"/>
          <w:lang w:val="en-US" w:eastAsia="zh-CN"/>
        </w:rPr>
      </w:pPr>
    </w:p>
    <w:p w14:paraId="44613CE6">
      <w:pPr>
        <w:bidi w:val="0"/>
        <w:rPr>
          <w:rFonts w:hint="default"/>
          <w:lang w:val="en-US" w:eastAsia="zh-CN"/>
        </w:rPr>
      </w:pPr>
    </w:p>
    <w:p w14:paraId="3255A400">
      <w:pPr>
        <w:bidi w:val="0"/>
        <w:rPr>
          <w:rFonts w:hint="default"/>
          <w:lang w:val="en-US" w:eastAsia="zh-CN"/>
        </w:rPr>
      </w:pPr>
    </w:p>
    <w:p w14:paraId="7E381EB4">
      <w:pPr>
        <w:bidi w:val="0"/>
        <w:rPr>
          <w:rFonts w:hint="default"/>
          <w:lang w:val="en-US" w:eastAsia="zh-CN"/>
        </w:rPr>
      </w:pPr>
    </w:p>
    <w:p w14:paraId="5FD0FE5F">
      <w:pPr>
        <w:bidi w:val="0"/>
        <w:rPr>
          <w:rFonts w:hint="default"/>
          <w:lang w:val="en-US" w:eastAsia="zh-CN"/>
        </w:rPr>
      </w:pPr>
    </w:p>
    <w:p w14:paraId="7A085014">
      <w:pPr>
        <w:bidi w:val="0"/>
        <w:rPr>
          <w:rFonts w:hint="default"/>
          <w:lang w:val="en-US" w:eastAsia="zh-CN"/>
        </w:rPr>
      </w:pPr>
    </w:p>
    <w:p w14:paraId="42426A8D">
      <w:pPr>
        <w:bidi w:val="0"/>
        <w:rPr>
          <w:rFonts w:hint="default"/>
          <w:lang w:val="en-US" w:eastAsia="zh-CN"/>
        </w:rPr>
      </w:pPr>
    </w:p>
    <w:p w14:paraId="23832A9F">
      <w:pPr>
        <w:bidi w:val="0"/>
        <w:rPr>
          <w:rFonts w:hint="default"/>
          <w:lang w:val="en-US" w:eastAsia="zh-CN"/>
        </w:rPr>
      </w:pPr>
    </w:p>
    <w:p w14:paraId="7BC85CC9">
      <w:pPr>
        <w:bidi w:val="0"/>
        <w:rPr>
          <w:rFonts w:hint="default"/>
          <w:lang w:val="en-US" w:eastAsia="zh-CN"/>
        </w:rPr>
      </w:pPr>
    </w:p>
    <w:p w14:paraId="66F19682">
      <w:pPr>
        <w:bidi w:val="0"/>
        <w:rPr>
          <w:rFonts w:hint="default"/>
          <w:lang w:val="en-US" w:eastAsia="zh-CN"/>
        </w:rPr>
      </w:pPr>
    </w:p>
    <w:p w14:paraId="2E2D031D">
      <w:pPr>
        <w:bidi w:val="0"/>
        <w:rPr>
          <w:rFonts w:hint="default"/>
          <w:lang w:val="en-US" w:eastAsia="zh-CN"/>
        </w:rPr>
      </w:pPr>
    </w:p>
    <w:p w14:paraId="4C97B18E">
      <w:pPr>
        <w:bidi w:val="0"/>
        <w:rPr>
          <w:rFonts w:hint="default"/>
          <w:lang w:val="en-US" w:eastAsia="zh-CN"/>
        </w:rPr>
      </w:pPr>
    </w:p>
    <w:p w14:paraId="1E39E86A">
      <w:pPr>
        <w:bidi w:val="0"/>
        <w:rPr>
          <w:rFonts w:hint="default"/>
          <w:lang w:val="en-US" w:eastAsia="zh-CN"/>
        </w:rPr>
      </w:pPr>
    </w:p>
    <w:p w14:paraId="134879BD">
      <w:pPr>
        <w:bidi w:val="0"/>
        <w:rPr>
          <w:rFonts w:hint="default"/>
          <w:lang w:val="en-US" w:eastAsia="zh-CN"/>
        </w:rPr>
      </w:pPr>
    </w:p>
    <w:p w14:paraId="1CFCBCA9">
      <w:pPr>
        <w:bidi w:val="0"/>
        <w:rPr>
          <w:rFonts w:hint="default"/>
          <w:lang w:val="en-US" w:eastAsia="zh-CN"/>
        </w:rPr>
      </w:pPr>
    </w:p>
    <w:p w14:paraId="10120130">
      <w:pPr>
        <w:bidi w:val="0"/>
        <w:rPr>
          <w:rFonts w:hint="default"/>
          <w:lang w:val="en-US" w:eastAsia="zh-CN"/>
        </w:rPr>
      </w:pPr>
    </w:p>
    <w:p w14:paraId="3127D768">
      <w:pPr>
        <w:bidi w:val="0"/>
        <w:rPr>
          <w:rFonts w:hint="default"/>
          <w:lang w:val="en-US" w:eastAsia="zh-CN"/>
        </w:rPr>
      </w:pPr>
    </w:p>
    <w:p w14:paraId="2D5E8ABC">
      <w:pPr>
        <w:bidi w:val="0"/>
        <w:rPr>
          <w:rFonts w:hint="default"/>
          <w:lang w:val="en-US" w:eastAsia="zh-CN"/>
        </w:rPr>
      </w:pPr>
    </w:p>
    <w:p w14:paraId="76CB22C7">
      <w:pPr>
        <w:bidi w:val="0"/>
        <w:rPr>
          <w:rFonts w:hint="default"/>
          <w:lang w:val="en-US" w:eastAsia="zh-CN"/>
        </w:rPr>
      </w:pPr>
    </w:p>
    <w:p w14:paraId="2EEBB2CF">
      <w:pPr>
        <w:bidi w:val="0"/>
        <w:rPr>
          <w:rFonts w:hint="default"/>
          <w:lang w:val="en-US" w:eastAsia="zh-CN"/>
        </w:rPr>
      </w:pPr>
    </w:p>
    <w:p w14:paraId="16B1A7A2">
      <w:pPr>
        <w:bidi w:val="0"/>
        <w:rPr>
          <w:rFonts w:hint="default"/>
          <w:lang w:val="en-US" w:eastAsia="zh-CN"/>
        </w:rPr>
      </w:pPr>
    </w:p>
    <w:p w14:paraId="30DDB57B">
      <w:pPr>
        <w:bidi w:val="0"/>
        <w:rPr>
          <w:rFonts w:hint="default"/>
          <w:lang w:val="en-US" w:eastAsia="zh-CN"/>
        </w:rPr>
      </w:pPr>
    </w:p>
    <w:p w14:paraId="0524BEC5">
      <w:pPr>
        <w:bidi w:val="0"/>
        <w:rPr>
          <w:rFonts w:hint="default"/>
          <w:lang w:val="en-US" w:eastAsia="zh-CN"/>
        </w:rPr>
      </w:pPr>
    </w:p>
    <w:p w14:paraId="7A83818E">
      <w:pPr>
        <w:bidi w:val="0"/>
        <w:rPr>
          <w:rFonts w:hint="default"/>
          <w:lang w:val="en-US" w:eastAsia="zh-CN"/>
        </w:rPr>
      </w:pPr>
    </w:p>
    <w:p w14:paraId="67AB3F4D">
      <w:pPr>
        <w:bidi w:val="0"/>
        <w:rPr>
          <w:rFonts w:hint="default"/>
          <w:lang w:val="en-US" w:eastAsia="zh-CN"/>
        </w:rPr>
      </w:pPr>
    </w:p>
    <w:p w14:paraId="5B3D8477">
      <w:pPr>
        <w:bidi w:val="0"/>
        <w:rPr>
          <w:rFonts w:hint="default"/>
          <w:lang w:val="en-US" w:eastAsia="zh-CN"/>
        </w:rPr>
      </w:pPr>
    </w:p>
    <w:p w14:paraId="0728116A">
      <w:pPr>
        <w:bidi w:val="0"/>
        <w:rPr>
          <w:rFonts w:hint="default"/>
          <w:lang w:val="en-US" w:eastAsia="zh-CN"/>
        </w:rPr>
      </w:pPr>
    </w:p>
    <w:p w14:paraId="1A70782E">
      <w:pPr>
        <w:bidi w:val="0"/>
        <w:rPr>
          <w:rFonts w:hint="default"/>
          <w:lang w:val="en-US" w:eastAsia="zh-CN"/>
        </w:rPr>
      </w:pPr>
    </w:p>
    <w:p w14:paraId="4D0B476D">
      <w:pPr>
        <w:bidi w:val="0"/>
        <w:rPr>
          <w:rFonts w:hint="default"/>
          <w:lang w:val="en-US" w:eastAsia="zh-CN"/>
        </w:rPr>
      </w:pPr>
    </w:p>
    <w:p w14:paraId="6A910BAD">
      <w:pPr>
        <w:bidi w:val="0"/>
        <w:rPr>
          <w:rFonts w:hint="default"/>
          <w:lang w:val="en-US" w:eastAsia="zh-CN"/>
        </w:rPr>
      </w:pPr>
    </w:p>
    <w:p w14:paraId="68B01487">
      <w:pPr>
        <w:bidi w:val="0"/>
        <w:rPr>
          <w:rFonts w:hint="default"/>
          <w:lang w:val="en-US" w:eastAsia="zh-CN"/>
        </w:rPr>
      </w:pPr>
    </w:p>
    <w:p w14:paraId="602D5CBA">
      <w:pPr>
        <w:bidi w:val="0"/>
        <w:rPr>
          <w:rFonts w:hint="default"/>
          <w:lang w:val="en-US" w:eastAsia="zh-CN"/>
        </w:rPr>
      </w:pPr>
    </w:p>
    <w:p w14:paraId="2C0FE1F2">
      <w:pPr>
        <w:bidi w:val="0"/>
        <w:rPr>
          <w:rFonts w:hint="default"/>
          <w:lang w:val="en-US" w:eastAsia="zh-CN"/>
        </w:rPr>
      </w:pPr>
    </w:p>
    <w:p w14:paraId="4CC1F9B0">
      <w:pPr>
        <w:bidi w:val="0"/>
        <w:rPr>
          <w:rFonts w:hint="default"/>
          <w:lang w:val="en-US" w:eastAsia="zh-CN"/>
        </w:rPr>
      </w:pPr>
    </w:p>
    <w:p w14:paraId="65B69797">
      <w:pPr>
        <w:bidi w:val="0"/>
        <w:rPr>
          <w:rFonts w:hint="default"/>
          <w:lang w:val="en-US" w:eastAsia="zh-CN"/>
        </w:rPr>
      </w:pPr>
    </w:p>
    <w:p w14:paraId="4A56C08D">
      <w:pPr>
        <w:bidi w:val="0"/>
        <w:rPr>
          <w:rFonts w:hint="default"/>
          <w:lang w:val="en-US" w:eastAsia="zh-CN"/>
        </w:rPr>
      </w:pPr>
    </w:p>
    <w:p w14:paraId="736D3BE5">
      <w:pPr>
        <w:tabs>
          <w:tab w:val="left" w:pos="1701"/>
        </w:tabs>
        <w:bidi w:val="0"/>
        <w:jc w:val="left"/>
        <w:rPr>
          <w:rFonts w:hint="eastAsia"/>
          <w:lang w:val="en-US" w:eastAsia="zh-CN"/>
        </w:rPr>
      </w:pPr>
      <w:r>
        <w:rPr>
          <w:rFonts w:hint="eastAsia"/>
          <w:lang w:val="en-US" w:eastAsia="zh-CN"/>
        </w:rPr>
        <w:tab/>
      </w:r>
    </w:p>
    <w:p w14:paraId="0F85A20C">
      <w:pPr>
        <w:tabs>
          <w:tab w:val="left" w:pos="1701"/>
        </w:tabs>
        <w:bidi w:val="0"/>
        <w:jc w:val="left"/>
        <w:rPr>
          <w:rFonts w:hint="eastAsia"/>
          <w:lang w:val="en-US" w:eastAsia="zh-CN"/>
        </w:rPr>
      </w:pPr>
      <w:bookmarkStart w:id="0" w:name="_GoBack"/>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11BC89FB">
      <w:pPr>
        <w:tabs>
          <w:tab w:val="left" w:pos="1701"/>
        </w:tabs>
        <w:bidi w:val="0"/>
        <w:jc w:val="left"/>
        <w:rPr>
          <w:rFonts w:hint="eastAsia"/>
          <w:lang w:val="en-US" w:eastAsia="zh-CN"/>
        </w:rPr>
      </w:pPr>
    </w:p>
    <w:p w14:paraId="3D035406">
      <w:pPr>
        <w:tabs>
          <w:tab w:val="left" w:pos="1701"/>
        </w:tabs>
        <w:bidi w:val="0"/>
        <w:jc w:val="left"/>
        <w:rPr>
          <w:rFonts w:hint="default" w:eastAsiaTheme="minorEastAsia"/>
          <w:lang w:val="en-US" w:eastAsia="zh-CN"/>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w:t>
      </w:r>
      <w:r>
        <w:rPr>
          <w:rFonts w:hint="eastAsia"/>
          <w:lang w:val="en-US" w:eastAsia="zh-CN"/>
        </w:rPr>
        <w:t>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p>
    <w:bookmarkEnd w:id="0"/>
    <w:p w14:paraId="6AC21559">
      <w:pPr>
        <w:tabs>
          <w:tab w:val="left" w:pos="1701"/>
        </w:tabs>
        <w:bidi w:val="0"/>
        <w:jc w:val="left"/>
        <w:rPr>
          <w:rFonts w:hint="default"/>
          <w:sz w:val="21"/>
          <w:szCs w:val="21"/>
          <w:lang w:val="en-US" w:eastAsia="zh-CN"/>
        </w:rPr>
      </w:pPr>
      <w:r>
        <w:rPr>
          <w:rFonts w:ascii="Segoe UI" w:hAnsi="Segoe UI" w:eastAsia="Segoe UI" w:cs="Segoe UI"/>
          <w:i w:val="0"/>
          <w:iCs w:val="0"/>
          <w:caps w:val="0"/>
          <w:color w:val="404040"/>
          <w:spacing w:val="0"/>
          <w:sz w:val="21"/>
          <w:szCs w:val="21"/>
          <w:shd w:val="clear" w:fill="FFFFFF"/>
        </w:rPr>
        <w:t>此外，美国大麻产业不仅在增长，更是在彻底改写经济发展规则。最新数据显示就业市场呈现前所未有的繁荣景象，创造了超过62万个工作岗位——比汽车制造业多53%，比航空航天业多141%（Jiang等，2023）。这些岗位提供平均52,000美元的年薪，显著高于传统服务业的薪酬水平（Jiang等，2023）。财政影响同样具有变革性：伊利诺伊州2023年大麻税收超过3.438亿美元，这些资金被战略性地分配给教育（40%）、社区振兴（25%）和心理健康服务（20%）（伊利诺伊州税务局，2023）。产业发展指标令经济学家惊叹，大麻企业的扩张速度是传统小型企业的3.7倍（Leafly，2023）。这种爆发式增长推动了整个供应链的创新——从可持续种植技术到先进产品安全检测——同时带动研发投资激增215%（Jiang等，2023）。密歇根州的实践展现了切实的社区效益：完全通过大麻税收资助新建了63个医疗中心，修复了1200多英里道路，并为25,000名低收入学生提供大学奖学金（密歇根州财政部，2023）。布鲁金斯学会（2023）证实了强大的乘数效应，每1美元大麻税收可产生2.30美元的更广泛经济效益。</w:t>
      </w:r>
    </w:p>
    <w:sectPr>
      <w:footerReference r:id="rId3" w:type="default"/>
      <w:pgSz w:w="11906" w:h="16838"/>
      <w:pgMar w:top="426" w:right="1080" w:bottom="993"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4171985"/>
      <w:docPartObj>
        <w:docPartGallery w:val="autotext"/>
      </w:docPartObj>
    </w:sdtPr>
    <w:sdtContent>
      <w:p w14:paraId="5A670F9D">
        <w:pPr>
          <w:pStyle w:val="4"/>
          <w:jc w:val="right"/>
        </w:pPr>
        <w:r>
          <w:fldChar w:fldCharType="begin"/>
        </w:r>
        <w:r>
          <w:instrText xml:space="preserve"> PAGE   \* MERGEFORMAT </w:instrText>
        </w:r>
        <w:r>
          <w:fldChar w:fldCharType="separate"/>
        </w:r>
        <w:r>
          <w:t>2</w:t>
        </w:r>
        <w:r>
          <w:fldChar w:fldCharType="end"/>
        </w:r>
      </w:p>
    </w:sdtContent>
  </w:sdt>
  <w:p w14:paraId="3B983310">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CC1"/>
    <w:rsid w:val="00042095"/>
    <w:rsid w:val="0005443B"/>
    <w:rsid w:val="000C6CFC"/>
    <w:rsid w:val="00122C69"/>
    <w:rsid w:val="0012506C"/>
    <w:rsid w:val="001F5C2B"/>
    <w:rsid w:val="002875B6"/>
    <w:rsid w:val="002D6FE5"/>
    <w:rsid w:val="002F51B3"/>
    <w:rsid w:val="00365450"/>
    <w:rsid w:val="00484237"/>
    <w:rsid w:val="0048510B"/>
    <w:rsid w:val="00601E3F"/>
    <w:rsid w:val="00673589"/>
    <w:rsid w:val="006F5B04"/>
    <w:rsid w:val="007137CE"/>
    <w:rsid w:val="007F6700"/>
    <w:rsid w:val="008652DA"/>
    <w:rsid w:val="008C53B4"/>
    <w:rsid w:val="00904D9D"/>
    <w:rsid w:val="00910389"/>
    <w:rsid w:val="00A35629"/>
    <w:rsid w:val="00AA1B8A"/>
    <w:rsid w:val="00AE4822"/>
    <w:rsid w:val="00B07563"/>
    <w:rsid w:val="00B5657B"/>
    <w:rsid w:val="00BA2CA7"/>
    <w:rsid w:val="00BB09D8"/>
    <w:rsid w:val="00C07282"/>
    <w:rsid w:val="00C35E48"/>
    <w:rsid w:val="00C61F41"/>
    <w:rsid w:val="00C75836"/>
    <w:rsid w:val="00D07BC5"/>
    <w:rsid w:val="00DD2D23"/>
    <w:rsid w:val="00DF3045"/>
    <w:rsid w:val="00EE2C4E"/>
    <w:rsid w:val="00EF7963"/>
    <w:rsid w:val="00F03900"/>
    <w:rsid w:val="00F368E0"/>
    <w:rsid w:val="00FB2393"/>
    <w:rsid w:val="00FD2CC1"/>
    <w:rsid w:val="00FE5D9E"/>
    <w:rsid w:val="0C844D0C"/>
    <w:rsid w:val="1C3D4019"/>
    <w:rsid w:val="5EAE1260"/>
    <w:rsid w:val="613F6FCA"/>
    <w:rsid w:val="69142BD9"/>
    <w:rsid w:val="6E604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2"/>
    <w:semiHidden/>
    <w:unhideWhenUsed/>
    <w:qFormat/>
    <w:uiPriority w:val="99"/>
    <w:rPr>
      <w:rFonts w:ascii="Tahoma" w:hAnsi="Tahoma" w:cs="Tahoma"/>
      <w:sz w:val="16"/>
      <w:szCs w:val="16"/>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rFonts w:ascii="Tahoma" w:hAnsi="Tahoma" w:cs="Tahoma"/>
      <w:sz w:val="16"/>
      <w:szCs w:val="16"/>
    </w:rPr>
  </w:style>
  <w:style w:type="character" w:customStyle="1" w:styleId="13">
    <w:name w:val="标题 1 Char"/>
    <w:link w:val="2"/>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989BC-CEC5-4A7B-9C72-724C398C8048}">
  <ds:schemaRefs/>
</ds:datastoreItem>
</file>

<file path=docProps/app.xml><?xml version="1.0" encoding="utf-8"?>
<Properties xmlns="http://schemas.openxmlformats.org/officeDocument/2006/extended-properties" xmlns:vt="http://schemas.openxmlformats.org/officeDocument/2006/docPropsVTypes">
  <Template>Normal</Template>
  <Pages>4</Pages>
  <Words>86</Words>
  <Characters>512</Characters>
  <Lines>32</Lines>
  <Paragraphs>9</Paragraphs>
  <TotalTime>99</TotalTime>
  <ScaleCrop>false</ScaleCrop>
  <LinksUpToDate>false</LinksUpToDate>
  <CharactersWithSpaces>582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2023-05-18T07:03:00Z</dcterms:created>
  <dc:creator>zxt</dc:creator>
  <cp:lastModifiedBy>Chopin</cp:lastModifiedBy>
  <cp:lastPrinted>2023-05-18T07:01:00Z</cp:lastPrinted>
  <dcterms:modified xsi:type="dcterms:W3CDTF">2025-05-01T06:58:06Z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A2A1B22F24B04FF4AC6209409DB46825_13</vt:lpwstr>
  </property>
  <property fmtid="{D5CDD505-2E9C-101B-9397-08002B2CF9AE}" pid="4" name="KSOTemplateDocerSaveRecord">
    <vt:lpwstr>eyJoZGlkIjoiOWI4NGMxMzdlYzRjNWQ5MTk0N2UxYzczMzE2NmZiNjEiLCJ1c2VySWQiOiI0NzE4NTkwMDAifQ==</vt:lpwstr>
  </property>
</Properties>
</file>