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B462DF">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72B0D3FA">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10CE17A6">
      <w:pPr>
        <w:keepNext w:val="0"/>
        <w:keepLines w:val="0"/>
        <w:pageBreakBefore w:val="0"/>
        <w:kinsoku/>
        <w:wordWrap/>
        <w:overflowPunct/>
        <w:topLinePunct w:val="0"/>
        <w:autoSpaceDE/>
        <w:autoSpaceDN/>
        <w:bidi w:val="0"/>
        <w:adjustRightInd/>
        <w:snapToGrid/>
        <w:spacing w:beforeAutospacing="0" w:afterAutospacing="0" w:line="480" w:lineRule="auto"/>
        <w:ind w:left="0" w:leftChars="0" w:firstLine="0" w:firstLineChars="0"/>
        <w:jc w:val="both"/>
        <w:textAlignment w:val="auto"/>
        <w:rPr>
          <w:rFonts w:hint="default" w:ascii="Times New Roman" w:hAnsi="Times New Roman" w:cs="Times New Roman"/>
          <w:b/>
          <w:bCs/>
          <w:sz w:val="24"/>
          <w:szCs w:val="24"/>
        </w:rPr>
      </w:pPr>
    </w:p>
    <w:p w14:paraId="3DF41BD1">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ascii="Times New Roman" w:hAnsi="Times New Roman" w:cs="Times New Roman"/>
          <w:b/>
          <w:bCs/>
          <w:sz w:val="24"/>
          <w:szCs w:val="24"/>
        </w:rPr>
      </w:pPr>
    </w:p>
    <w:p w14:paraId="2D14CEF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Theme="minorEastAsia"/>
          <w:b/>
          <w:bCs/>
          <w:lang w:val="en-US" w:eastAsia="zh-CN"/>
        </w:rPr>
      </w:pPr>
      <w:r>
        <w:rPr>
          <w:b/>
          <w:bCs/>
        </w:rPr>
        <w:t xml:space="preserve">Legalizing </w:t>
      </w:r>
      <w:r>
        <w:rPr>
          <w:rFonts w:hint="eastAsia"/>
          <w:b/>
          <w:bCs/>
          <w:lang w:val="en-US" w:eastAsia="zh-CN"/>
        </w:rPr>
        <w:t>R</w:t>
      </w:r>
      <w:r>
        <w:rPr>
          <w:b/>
          <w:bCs/>
        </w:rPr>
        <w:t xml:space="preserve">ecreational </w:t>
      </w:r>
      <w:r>
        <w:rPr>
          <w:rFonts w:hint="eastAsia"/>
          <w:b/>
          <w:bCs/>
          <w:lang w:val="en-US" w:eastAsia="zh-CN"/>
        </w:rPr>
        <w:t>C</w:t>
      </w:r>
      <w:r>
        <w:rPr>
          <w:b/>
          <w:bCs/>
        </w:rPr>
        <w:t>annabis</w:t>
      </w:r>
      <w:r>
        <w:rPr>
          <w:rFonts w:hint="eastAsia"/>
          <w:b/>
          <w:bCs/>
          <w:lang w:val="en-US" w:eastAsia="zh-CN"/>
        </w:rPr>
        <w:t xml:space="preserve"> Significantly Benefits Modern Society</w:t>
      </w:r>
    </w:p>
    <w:p w14:paraId="50921543">
      <w:pPr>
        <w:bidi w:val="0"/>
        <w:jc w:val="center"/>
        <w:rPr>
          <w:rFonts w:hint="default"/>
          <w:b/>
          <w:bCs/>
        </w:rPr>
      </w:pPr>
    </w:p>
    <w:p w14:paraId="3D6697E4">
      <w:pPr>
        <w:keepNext w:val="0"/>
        <w:keepLines w:val="0"/>
        <w:pageBreakBefore w:val="0"/>
        <w:widowControl w:val="0"/>
        <w:kinsoku/>
        <w:wordWrap/>
        <w:overflowPunct/>
        <w:topLinePunct w:val="0"/>
        <w:autoSpaceDE/>
        <w:autoSpaceDN/>
        <w:bidi w:val="0"/>
        <w:adjustRightInd/>
        <w:snapToGrid/>
        <w:spacing w:beforeAutospacing="0" w:afterAutospacing="0" w:line="480" w:lineRule="auto"/>
        <w:ind w:left="0" w:firstLine="0" w:firstLineChars="0"/>
        <w:jc w:val="center"/>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b w:val="0"/>
          <w:bCs w:val="0"/>
          <w:sz w:val="24"/>
          <w:szCs w:val="24"/>
          <w:lang w:val="en-US"/>
        </w:rPr>
        <w:t>C</w:t>
      </w:r>
      <w:r>
        <w:rPr>
          <w:rFonts w:hint="eastAsia" w:cs="Times New Roman"/>
          <w:b w:val="0"/>
          <w:bCs w:val="0"/>
          <w:sz w:val="24"/>
          <w:szCs w:val="24"/>
          <w:lang w:val="en-US" w:eastAsia="zh-CN"/>
        </w:rPr>
        <w:t>hopin (HE Yanning)</w:t>
      </w:r>
    </w:p>
    <w:p w14:paraId="71238F11">
      <w:pPr>
        <w:keepNext w:val="0"/>
        <w:keepLines w:val="0"/>
        <w:pageBreakBefore w:val="0"/>
        <w:widowControl w:val="0"/>
        <w:kinsoku/>
        <w:wordWrap/>
        <w:overflowPunct/>
        <w:topLinePunct w:val="0"/>
        <w:autoSpaceDE/>
        <w:autoSpaceDN/>
        <w:bidi w:val="0"/>
        <w:adjustRightInd/>
        <w:snapToGrid/>
        <w:spacing w:beforeAutospacing="0" w:afterAutospacing="0" w:line="480" w:lineRule="auto"/>
        <w:ind w:left="0" w:firstLine="0" w:firstLineChars="0"/>
        <w:jc w:val="center"/>
        <w:textAlignment w:val="auto"/>
        <w:rPr>
          <w:rFonts w:hint="eastAsia" w:cs="Times New Roman"/>
          <w:b w:val="0"/>
          <w:bCs w:val="0"/>
          <w:sz w:val="24"/>
          <w:szCs w:val="24"/>
          <w:lang w:val="en-US" w:eastAsia="zh-CN"/>
        </w:rPr>
      </w:pPr>
      <w:r>
        <w:rPr>
          <w:rFonts w:hint="eastAsia" w:cs="Times New Roman"/>
          <w:b w:val="0"/>
          <w:bCs w:val="0"/>
          <w:sz w:val="24"/>
          <w:szCs w:val="24"/>
          <w:lang w:val="en-US" w:eastAsia="zh-CN"/>
        </w:rPr>
        <w:t>12311512</w:t>
      </w:r>
    </w:p>
    <w:p w14:paraId="2C20E4D7">
      <w:pPr>
        <w:keepNext w:val="0"/>
        <w:keepLines w:val="0"/>
        <w:pageBreakBefore w:val="0"/>
        <w:kinsoku/>
        <w:wordWrap/>
        <w:overflowPunct/>
        <w:topLinePunct w:val="0"/>
        <w:autoSpaceDE/>
        <w:autoSpaceDN/>
        <w:bidi w:val="0"/>
        <w:adjustRightInd/>
        <w:snapToGrid/>
        <w:spacing w:beforeAutospacing="0" w:afterAutospacing="0" w:line="480" w:lineRule="auto"/>
        <w:ind w:left="1"/>
        <w:jc w:val="center"/>
        <w:textAlignment w:val="auto"/>
        <w:rPr>
          <w:rFonts w:hint="default" w:cs="Times New Roman"/>
          <w:b w:val="0"/>
          <w:bCs w:val="0"/>
          <w:sz w:val="24"/>
          <w:szCs w:val="24"/>
          <w:lang w:val="en-US" w:eastAsia="zh-CN"/>
        </w:rPr>
      </w:pPr>
      <w:r>
        <w:rPr>
          <w:rFonts w:hint="default" w:ascii="Times New Roman" w:hAnsi="Times New Roman" w:cs="Times New Roman"/>
          <w:b w:val="0"/>
          <w:bCs w:val="0"/>
          <w:sz w:val="24"/>
          <w:szCs w:val="24"/>
          <w:lang w:val="en-US"/>
        </w:rPr>
        <w:t>Center for Language Education</w:t>
      </w:r>
    </w:p>
    <w:p w14:paraId="120AC991">
      <w:pPr>
        <w:keepNext w:val="0"/>
        <w:keepLines w:val="0"/>
        <w:pageBreakBefore w:val="0"/>
        <w:widowControl w:val="0"/>
        <w:kinsoku/>
        <w:wordWrap/>
        <w:overflowPunct/>
        <w:topLinePunct w:val="0"/>
        <w:autoSpaceDE/>
        <w:autoSpaceDN/>
        <w:bidi w:val="0"/>
        <w:adjustRightInd/>
        <w:snapToGrid/>
        <w:spacing w:beforeAutospacing="0" w:afterAutospacing="0" w:line="480" w:lineRule="auto"/>
        <w:ind w:left="0" w:firstLine="0" w:firstLineChars="0"/>
        <w:jc w:val="center"/>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b w:val="0"/>
          <w:bCs w:val="0"/>
          <w:sz w:val="24"/>
          <w:szCs w:val="24"/>
          <w:lang w:val="en-US"/>
        </w:rPr>
        <w:t xml:space="preserve">EAP </w:t>
      </w:r>
      <w:r>
        <w:rPr>
          <w:rFonts w:hint="eastAsia" w:cs="Times New Roman"/>
          <w:b w:val="0"/>
          <w:bCs w:val="0"/>
          <w:sz w:val="24"/>
          <w:szCs w:val="24"/>
          <w:lang w:val="en-US" w:eastAsia="zh-CN"/>
        </w:rPr>
        <w:t>27</w:t>
      </w:r>
    </w:p>
    <w:p w14:paraId="5B212503">
      <w:pPr>
        <w:keepNext w:val="0"/>
        <w:keepLines w:val="0"/>
        <w:pageBreakBefore w:val="0"/>
        <w:widowControl w:val="0"/>
        <w:kinsoku/>
        <w:wordWrap/>
        <w:overflowPunct/>
        <w:topLinePunct w:val="0"/>
        <w:autoSpaceDE/>
        <w:autoSpaceDN/>
        <w:bidi w:val="0"/>
        <w:adjustRightInd/>
        <w:snapToGrid/>
        <w:spacing w:beforeAutospacing="0" w:afterAutospacing="0" w:line="480" w:lineRule="auto"/>
        <w:ind w:left="0" w:firstLine="0" w:firstLineChars="0"/>
        <w:jc w:val="center"/>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Dr. Conrad Herrera</w:t>
      </w:r>
    </w:p>
    <w:p w14:paraId="5253539C">
      <w:pPr>
        <w:keepNext w:val="0"/>
        <w:keepLines w:val="0"/>
        <w:pageBreakBefore w:val="0"/>
        <w:widowControl w:val="0"/>
        <w:kinsoku/>
        <w:wordWrap/>
        <w:overflowPunct/>
        <w:topLinePunct w:val="0"/>
        <w:autoSpaceDE/>
        <w:autoSpaceDN/>
        <w:bidi w:val="0"/>
        <w:adjustRightInd/>
        <w:snapToGrid/>
        <w:spacing w:beforeAutospacing="0" w:afterAutospacing="0" w:line="480" w:lineRule="auto"/>
        <w:ind w:left="0" w:firstLine="0" w:firstLineChars="0"/>
        <w:jc w:val="center"/>
        <w:textAlignment w:val="auto"/>
        <w:rPr>
          <w:rFonts w:hint="eastAsia" w:ascii="Times New Roman" w:hAnsi="Times New Roman" w:cs="Times New Roman" w:eastAsiaTheme="minorEastAsia"/>
          <w:b w:val="0"/>
          <w:bCs w:val="0"/>
          <w:sz w:val="24"/>
          <w:szCs w:val="24"/>
          <w:lang w:val="en-US" w:eastAsia="zh-CN"/>
        </w:rPr>
      </w:pPr>
      <w:r>
        <w:rPr>
          <w:rFonts w:hint="eastAsia" w:cs="Times New Roman"/>
          <w:b w:val="0"/>
          <w:bCs w:val="0"/>
          <w:sz w:val="24"/>
          <w:szCs w:val="24"/>
          <w:lang w:val="en-US" w:eastAsia="zh-CN"/>
        </w:rPr>
        <w:t>June 3</w:t>
      </w:r>
      <w:r>
        <w:rPr>
          <w:rFonts w:hint="default" w:ascii="Times New Roman" w:hAnsi="Times New Roman" w:cs="Times New Roman"/>
          <w:b w:val="0"/>
          <w:bCs w:val="0"/>
          <w:sz w:val="24"/>
          <w:szCs w:val="24"/>
          <w:lang w:val="en-US"/>
        </w:rPr>
        <w:t>, 202</w:t>
      </w:r>
      <w:r>
        <w:rPr>
          <w:rFonts w:hint="eastAsia" w:cs="Times New Roman"/>
          <w:b w:val="0"/>
          <w:bCs w:val="0"/>
          <w:sz w:val="24"/>
          <w:szCs w:val="24"/>
          <w:lang w:val="en-US" w:eastAsia="zh-CN"/>
        </w:rPr>
        <w:t>5</w:t>
      </w:r>
    </w:p>
    <w:p w14:paraId="585AFF00">
      <w:pPr>
        <w:rPr>
          <w:rFonts w:hint="default"/>
          <w:lang w:val="en-US" w:eastAsia="zh-CN"/>
        </w:rPr>
      </w:pPr>
    </w:p>
    <w:p w14:paraId="1FDCE93C">
      <w:pPr>
        <w:rPr>
          <w:rFonts w:hint="default"/>
          <w:lang w:val="en-US" w:eastAsia="zh-CN"/>
        </w:rPr>
      </w:pPr>
    </w:p>
    <w:p w14:paraId="1A873FDB">
      <w:pPr>
        <w:rPr>
          <w:rFonts w:hint="default"/>
          <w:lang w:val="en-US" w:eastAsia="zh-CN"/>
        </w:rPr>
      </w:pPr>
    </w:p>
    <w:p w14:paraId="1F749519">
      <w:pPr>
        <w:rPr>
          <w:rFonts w:hint="default"/>
          <w:lang w:val="en-US" w:eastAsia="zh-CN"/>
        </w:rPr>
      </w:pPr>
    </w:p>
    <w:p w14:paraId="0055DA28">
      <w:pPr>
        <w:rPr>
          <w:rFonts w:hint="default"/>
          <w:lang w:val="en-US" w:eastAsia="zh-CN"/>
        </w:rPr>
      </w:pPr>
    </w:p>
    <w:p w14:paraId="60457C2B">
      <w:pPr>
        <w:rPr>
          <w:rFonts w:hint="default"/>
          <w:lang w:val="en-US" w:eastAsia="zh-CN"/>
        </w:rPr>
      </w:pPr>
    </w:p>
    <w:p w14:paraId="3007A696">
      <w:pPr>
        <w:rPr>
          <w:rFonts w:hint="default"/>
          <w:lang w:val="en-US" w:eastAsia="zh-CN"/>
        </w:rPr>
      </w:pPr>
    </w:p>
    <w:p w14:paraId="2904BE1A">
      <w:pPr>
        <w:rPr>
          <w:rFonts w:hint="default"/>
          <w:lang w:val="en-US" w:eastAsia="zh-CN"/>
        </w:rPr>
      </w:pPr>
    </w:p>
    <w:p w14:paraId="354CA7F4">
      <w:pPr>
        <w:rPr>
          <w:rFonts w:hint="default"/>
          <w:lang w:val="en-US" w:eastAsia="zh-CN"/>
        </w:rPr>
      </w:pPr>
    </w:p>
    <w:p w14:paraId="5D97F0D3">
      <w:pPr>
        <w:rPr>
          <w:rFonts w:hint="default"/>
          <w:lang w:val="en-US" w:eastAsia="zh-CN"/>
        </w:rPr>
      </w:pPr>
    </w:p>
    <w:p w14:paraId="570E8C2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eastAsiaTheme="minorEastAsia"/>
          <w:b/>
          <w:bCs/>
          <w:lang w:val="en-US" w:eastAsia="zh-CN"/>
        </w:rPr>
      </w:pPr>
      <w:r>
        <w:rPr>
          <w:rFonts w:hint="default" w:ascii="Times New Roman" w:hAnsi="Times New Roman" w:cs="Times New Roman"/>
          <w:b/>
          <w:bCs/>
        </w:rPr>
        <w:t xml:space="preserve">Legalizing </w:t>
      </w:r>
      <w:r>
        <w:rPr>
          <w:rFonts w:hint="default" w:ascii="Times New Roman" w:hAnsi="Times New Roman" w:cs="Times New Roman"/>
          <w:b/>
          <w:bCs/>
          <w:lang w:val="en-US" w:eastAsia="zh-CN"/>
        </w:rPr>
        <w:t>R</w:t>
      </w:r>
      <w:r>
        <w:rPr>
          <w:rFonts w:hint="default" w:ascii="Times New Roman" w:hAnsi="Times New Roman" w:cs="Times New Roman"/>
          <w:b/>
          <w:bCs/>
        </w:rPr>
        <w:t xml:space="preserve">ecreational </w:t>
      </w:r>
      <w:r>
        <w:rPr>
          <w:rFonts w:hint="default" w:ascii="Times New Roman" w:hAnsi="Times New Roman" w:cs="Times New Roman"/>
          <w:b/>
          <w:bCs/>
          <w:lang w:val="en-US" w:eastAsia="zh-CN"/>
        </w:rPr>
        <w:t>C</w:t>
      </w:r>
      <w:r>
        <w:rPr>
          <w:rFonts w:hint="default" w:ascii="Times New Roman" w:hAnsi="Times New Roman" w:cs="Times New Roman"/>
          <w:b/>
          <w:bCs/>
        </w:rPr>
        <w:t xml:space="preserve">annabis </w:t>
      </w:r>
      <w:r>
        <w:rPr>
          <w:rStyle w:val="7"/>
          <w:rFonts w:hint="default" w:ascii="Times New Roman" w:hAnsi="Times New Roman" w:eastAsia="Segoe UI" w:cs="Times New Roman"/>
          <w:b/>
          <w:bCs/>
          <w:i w:val="0"/>
          <w:iCs w:val="0"/>
          <w:caps w:val="0"/>
          <w:color w:val="404040"/>
          <w:spacing w:val="0"/>
          <w:sz w:val="24"/>
          <w:szCs w:val="24"/>
          <w:shd w:val="clear" w:fill="FFFFFF"/>
        </w:rPr>
        <w:t>Significantly Benefits Modern Society</w:t>
      </w:r>
    </w:p>
    <w:p w14:paraId="781A7635">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In 2023, the cannabis industry in America has employed over 428,000 full-time workers, more than the number of aerospace manufacturing by 127%. Despite the substantial economic success of the cannabis market, federal red tape still forces most legal shops to operate like cash-only backroom deals, trying to make a huge financial barriers (Federal Reserve Bank of Kansas City, 2019). Moreover, research which was</w:t>
      </w:r>
      <w:r>
        <w:rPr>
          <w:rFonts w:hint="eastAsia"/>
          <w:lang w:val="en-US" w:eastAsia="zh-CN"/>
        </w:rPr>
        <w:t xml:space="preserve"> </w:t>
      </w:r>
      <w:r>
        <w:rPr>
          <w:rFonts w:hint="default"/>
          <w:lang w:val="en-US" w:eastAsia="zh-CN"/>
        </w:rPr>
        <w:t>published in Addiction found that traffic accidents decreased by 10-15% in states where recreational cannabis has been legalized, showing the</w:t>
      </w:r>
      <w:r>
        <w:rPr>
          <w:rFonts w:hint="eastAsia"/>
          <w:lang w:val="en-US" w:eastAsia="zh-CN"/>
        </w:rPr>
        <w:t xml:space="preserve"> </w:t>
      </w:r>
      <w:r>
        <w:rPr>
          <w:rFonts w:hint="default"/>
          <w:lang w:val="en-US" w:eastAsia="zh-CN"/>
        </w:rPr>
        <w:t>improvements in public health and traffic safety</w:t>
      </w:r>
      <w:r>
        <w:rPr>
          <w:rFonts w:hint="eastAsia"/>
          <w:lang w:val="en-US" w:eastAsia="zh-CN"/>
        </w:rPr>
        <w:t xml:space="preserve"> </w:t>
      </w:r>
      <w:r>
        <w:rPr>
          <w:rFonts w:hint="default"/>
          <w:lang w:val="en-US" w:eastAsia="zh-CN"/>
        </w:rPr>
        <w:t>(Timko</w:t>
      </w:r>
      <w:r>
        <w:rPr>
          <w:rFonts w:hint="eastAsia"/>
          <w:lang w:val="en-US" w:eastAsia="zh-CN"/>
        </w:rPr>
        <w:t xml:space="preserve"> </w:t>
      </w:r>
      <w:r>
        <w:rPr>
          <w:rFonts w:hint="default"/>
          <w:lang w:val="en-US" w:eastAsia="zh-CN"/>
        </w:rPr>
        <w:t>et al.</w:t>
      </w:r>
      <w:r>
        <w:rPr>
          <w:rFonts w:hint="eastAsia"/>
          <w:lang w:val="en-US" w:eastAsia="zh-CN"/>
        </w:rPr>
        <w:t xml:space="preserve">, </w:t>
      </w:r>
      <w:r>
        <w:rPr>
          <w:rFonts w:hint="default"/>
          <w:lang w:val="en-US" w:eastAsia="zh-CN"/>
        </w:rPr>
        <w:t>2021). And the United Nations Office on Drugs and Crime</w:t>
      </w:r>
      <w:r>
        <w:rPr>
          <w:rFonts w:hint="eastAsia"/>
          <w:lang w:val="en-US" w:eastAsia="zh-CN"/>
        </w:rPr>
        <w:t xml:space="preserve"> (2024)</w:t>
      </w:r>
      <w:r>
        <w:rPr>
          <w:rFonts w:hint="default"/>
          <w:lang w:val="en-US" w:eastAsia="zh-CN"/>
        </w:rPr>
        <w:t xml:space="preserve"> reported that the benefits for Mexican drug cartels from cannabis sales had declined by 33% following the legalization in U.S.A.</w:t>
      </w:r>
      <w:r>
        <w:rPr>
          <w:rFonts w:hint="eastAsia"/>
          <w:lang w:val="en-US" w:eastAsia="zh-CN"/>
        </w:rPr>
        <w:t xml:space="preserve"> </w:t>
      </w:r>
      <w:r>
        <w:rPr>
          <w:rFonts w:hint="default"/>
          <w:lang w:val="en-US" w:eastAsia="zh-CN"/>
        </w:rPr>
        <w:t xml:space="preserve">Therefore, federal legalization of recreational cannabis </w:t>
      </w:r>
      <w:r>
        <w:rPr>
          <w:rFonts w:hint="eastAsia"/>
          <w:lang w:val="en-US" w:eastAsia="zh-CN"/>
        </w:rPr>
        <w:t xml:space="preserve">significantly benefits modern society and </w:t>
      </w:r>
      <w:r>
        <w:rPr>
          <w:rFonts w:hint="default"/>
          <w:lang w:val="en-US" w:eastAsia="zh-CN"/>
        </w:rPr>
        <w:t>would obviously reduce crime rate, enhance economic growth</w:t>
      </w:r>
      <w:r>
        <w:rPr>
          <w:rFonts w:hint="eastAsia"/>
          <w:lang w:val="en-US" w:eastAsia="zh-CN"/>
        </w:rPr>
        <w:t xml:space="preserve"> </w:t>
      </w:r>
      <w:r>
        <w:rPr>
          <w:rFonts w:hint="default"/>
          <w:lang w:val="en-US" w:eastAsia="zh-CN"/>
        </w:rPr>
        <w:t>and improve public health nationwide.</w:t>
      </w:r>
    </w:p>
    <w:p w14:paraId="11BC89FB">
      <w:pPr>
        <w:keepNext w:val="0"/>
        <w:keepLines w:val="0"/>
        <w:pageBreakBefore w:val="0"/>
        <w:widowControl w:val="0"/>
        <w:tabs>
          <w:tab w:val="left" w:pos="1701"/>
        </w:tabs>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Firstly, the legalization of recreational cannabis has obviously contributed to decreasing the drug-related crime rates and improving the social justice. In the past, the illegal cannabis business was the majority of revenue for organized huge crime groups, often with violence, transport, and corruption. These underground markets were just outside the law, making the regulation and control hardly possible. However, the introduction of legalization of recreational cannabis policies successfully made cannabis distribution into regulated, transparent systems controlled by the governments. This change not only weakened the economic power of criminal organizations but also improved public safety. According to Fisher, Robinson and Albrecht (2024), cannabis-related cases dropped obviously in the states after the legalization, allowing police resources to focus on the more serious crimes. Moreover, the United Nations Office on Drugs and Crime (2024) reported that a 33% decreasing in cannabis-related profits for Mexican drug groups following the U.S.legalization initiatives. This shows that the legalization of recreational cannabis undermines the financial reasons driving the transportation of drug. In addition to reducing the crime, legalization helps deal with the long-standing social injustices. For over 50 years, cannabis laws were enforced against minority communities, contributing to the cycle of inequality. The legalization helps to make the low-level cannabis cases out of the justice system and creates chances for social equity programs. Because of these, the legalization could significantly reduce the crime rate.</w:t>
      </w:r>
    </w:p>
    <w:p w14:paraId="62EE582C">
      <w:pPr>
        <w:keepNext w:val="0"/>
        <w:keepLines w:val="0"/>
        <w:pageBreakBefore w:val="0"/>
        <w:widowControl w:val="0"/>
        <w:tabs>
          <w:tab w:val="left" w:pos="1701"/>
        </w:tabs>
        <w:kinsoku/>
        <w:wordWrap/>
        <w:overflowPunct/>
        <w:topLinePunct w:val="0"/>
        <w:autoSpaceDE/>
        <w:autoSpaceDN/>
        <w:bidi w:val="0"/>
        <w:adjustRightInd/>
        <w:snapToGrid/>
        <w:jc w:val="left"/>
        <w:textAlignment w:val="auto"/>
        <w:rPr>
          <w:rFonts w:hint="eastAsia"/>
          <w:lang w:val="en-US" w:eastAsia="zh-CN"/>
        </w:rPr>
      </w:pPr>
      <w:r>
        <w:rPr>
          <w:rFonts w:hint="eastAsia"/>
          <w:lang w:val="en-US" w:eastAsia="zh-CN"/>
        </w:rPr>
        <w:t xml:space="preserve">Furthermore, the U.S.cannabis business is not only just increasing, but also completely rewrite the rules of economic development. The nearest data shows that there is a jobs boom, with over 620,000 positions created which is fifty three percent more than the car manufacturing and 141% beyond the aerospace employment (Jiang et al., 2023). these careers pay a huge wage, which is averaging 52,000 dollars annually, obviously higher than the traditional service industry. The fiscal impact has the same influences. Illinois generated over $343.8 million in cannabis tax revenue during 2023, which </w:t>
      </w:r>
      <w:r>
        <w:t xml:space="preserve">distribute these funds to education (40%), community revitalization (25%), and mental health services (20%) (Illinois Department of Revenue, 2023). </w:t>
      </w:r>
      <w:r>
        <w:rPr>
          <w:rFonts w:hint="eastAsia"/>
        </w:rPr>
        <w:t>The industry growth shocked economists</w:t>
      </w:r>
      <w:r>
        <w:t xml:space="preserve">, with cannabis enterprises expanding at 3.7 times </w:t>
      </w:r>
      <w:r>
        <w:rPr>
          <w:rFonts w:hint="eastAsia"/>
          <w:lang w:val="en-US" w:eastAsia="zh-CN"/>
        </w:rPr>
        <w:t xml:space="preserve">than </w:t>
      </w:r>
      <w:r>
        <w:t xml:space="preserve">the rate of conventional small businesses (Leafly, 2023). This explosive growth </w:t>
      </w:r>
      <w:r>
        <w:rPr>
          <w:rFonts w:hint="eastAsia"/>
          <w:lang w:val="en-US" w:eastAsia="zh-CN"/>
        </w:rPr>
        <w:t xml:space="preserve">made the </w:t>
      </w:r>
      <w:r>
        <w:t>innovation across the supply chai</w:t>
      </w:r>
      <w:r>
        <w:rPr>
          <w:rFonts w:hint="eastAsia"/>
          <w:lang w:val="en-US" w:eastAsia="zh-CN"/>
        </w:rPr>
        <w:t xml:space="preserve">n, </w:t>
      </w:r>
      <w:r>
        <w:t>from sustainable cultivation technologies to advanced product safety testing</w:t>
      </w:r>
      <w:r>
        <w:rPr>
          <w:rFonts w:hint="eastAsia"/>
          <w:lang w:val="en-US" w:eastAsia="zh-CN"/>
        </w:rPr>
        <w:t>,</w:t>
      </w:r>
      <w:r>
        <w:t xml:space="preserve">while driving a 215% surge in R&amp;D investment (Jiang et al., 2023). Michigan's experience </w:t>
      </w:r>
      <w:r>
        <w:rPr>
          <w:rFonts w:hint="eastAsia"/>
          <w:lang w:val="en-US" w:eastAsia="zh-CN"/>
        </w:rPr>
        <w:t>shows</w:t>
      </w:r>
      <w:r>
        <w:t xml:space="preserve"> the community benefits: 63 new health centers, 1,200</w:t>
      </w:r>
      <w:r>
        <w:rPr>
          <w:rFonts w:hint="eastAsia"/>
          <w:lang w:val="en-US" w:eastAsia="zh-CN"/>
        </w:rPr>
        <w:t xml:space="preserve"> more</w:t>
      </w:r>
      <w:r>
        <w:t xml:space="preserve"> miles of road repairs, and college scholarships for 25,000 low-income students funded entirely through cannabis tax (Michigan Treasury, 2023). The Brookings Institution (2023) confirms a powerful multiplier effect, with each cannabis tax dollar generating $2.30 in broader economic activity.</w:t>
      </w:r>
      <w:r>
        <w:rPr>
          <w:rFonts w:hint="eastAsia"/>
          <w:lang w:val="en-US" w:eastAsia="zh-CN"/>
        </w:rPr>
        <w:t xml:space="preserve"> It really enhances the economic growth.</w:t>
      </w:r>
    </w:p>
    <w:p w14:paraId="20F7D494">
      <w:pPr>
        <w:keepNext w:val="0"/>
        <w:keepLines w:val="0"/>
        <w:pageBreakBefore w:val="0"/>
        <w:widowControl w:val="0"/>
        <w:kinsoku/>
        <w:wordWrap/>
        <w:overflowPunct/>
        <w:topLinePunct w:val="0"/>
        <w:autoSpaceDE/>
        <w:autoSpaceDN/>
        <w:bidi w:val="0"/>
        <w:adjustRightInd/>
        <w:snapToGrid/>
        <w:textAlignment w:val="auto"/>
        <w:rPr>
          <w:rFonts w:hint="default" w:eastAsiaTheme="minorEastAsia"/>
          <w:lang w:val="en-US" w:eastAsia="zh-CN"/>
        </w:rPr>
      </w:pPr>
      <w:r>
        <w:rPr>
          <w:rFonts w:hint="eastAsia"/>
        </w:rPr>
        <w:t>The improvement in public health following marijuana legalization is well documented in many studies. Legalization has dramatically improved road safety. In legalized states, traffic deaths have been reduced by 10-15% due to better product regulation and public education (</w:t>
      </w:r>
      <w:r>
        <w:rPr>
          <w:rFonts w:hint="eastAsia"/>
          <w:lang w:val="en-US" w:eastAsia="zh-CN"/>
        </w:rPr>
        <w:t>T</w:t>
      </w:r>
      <w:r>
        <w:rPr>
          <w:rFonts w:hint="eastAsia"/>
        </w:rPr>
        <w:t>imko et al., 2021; CDC, 2023). Regulated markets also eliminate the danger of contaminated products that are common in the illegal market, where pesticides and synthetic additives frequently appear</w:t>
      </w:r>
      <w:r>
        <w:rPr>
          <w:rFonts w:hint="eastAsia"/>
          <w:lang w:val="en-US" w:eastAsia="zh-CN"/>
        </w:rPr>
        <w:t xml:space="preserve"> </w:t>
      </w:r>
      <w:r>
        <w:rPr>
          <w:rFonts w:hint="eastAsia"/>
        </w:rPr>
        <w:t>(CDC, 2023). Perhaps most importantly, legalization has become an effective tool to combat the opioid crisis. States where marijuana is legal have reported a 23% reduction in opiate related deaths, as many patients use cannabis instead of prescription painkillers (</w:t>
      </w:r>
      <w:r>
        <w:rPr>
          <w:rFonts w:hint="eastAsia"/>
          <w:lang w:val="en-US" w:eastAsia="zh-CN"/>
        </w:rPr>
        <w:t>M</w:t>
      </w:r>
      <w:r>
        <w:rPr>
          <w:rFonts w:hint="eastAsia"/>
        </w:rPr>
        <w:t>atheson et al., 2024</w:t>
      </w:r>
      <w:r>
        <w:rPr>
          <w:rFonts w:hint="eastAsia"/>
          <w:lang w:val="en-US" w:eastAsia="zh-CN"/>
        </w:rPr>
        <w:t xml:space="preserve">; </w:t>
      </w:r>
      <w:r>
        <w:rPr>
          <w:rFonts w:hint="eastAsia"/>
        </w:rPr>
        <w:t>N</w:t>
      </w:r>
      <w:r>
        <w:rPr>
          <w:rFonts w:hint="eastAsia"/>
          <w:lang w:val="en-US" w:eastAsia="zh-CN"/>
        </w:rPr>
        <w:t>IH</w:t>
      </w:r>
      <w:r>
        <w:rPr>
          <w:rFonts w:hint="eastAsia"/>
        </w:rPr>
        <w:t>, 2023). Revenue from legal sales supports more public health initiatives: New Jersey funds dependency treatment programs, reduces 17%</w:t>
      </w:r>
      <w:r>
        <w:rPr>
          <w:rFonts w:hint="eastAsia"/>
          <w:lang w:val="en-US" w:eastAsia="zh-CN"/>
        </w:rPr>
        <w:t xml:space="preserve"> opioid overdoses (</w:t>
      </w:r>
      <w:r>
        <w:t>New Jersey Cannabis Regulatory Commission, 2023</w:t>
      </w:r>
      <w:r>
        <w:rPr>
          <w:rFonts w:hint="eastAsia"/>
        </w:rPr>
        <w:t>), while Michigan's marijuana tax pays 63 new health clinics (Michigan Treasury 2023). Contrary to initial concerns, the rate of addiction in legal states (1.5%) remains lower than in prohibition states (3.8%), as regulated markets discourage addiction-related products with a high THC content (</w:t>
      </w:r>
      <w:r>
        <w:rPr>
          <w:rFonts w:hint="eastAsia"/>
          <w:lang w:val="en-US" w:eastAsia="zh-CN"/>
        </w:rPr>
        <w:t>M</w:t>
      </w:r>
      <w:r>
        <w:rPr>
          <w:rFonts w:hint="eastAsia"/>
        </w:rPr>
        <w:t>atheson et al., 2024). Taken together, these benefits suggest that legalization, if properly implemented, has a net positive effect on public health.</w:t>
      </w:r>
    </w:p>
    <w:p w14:paraId="56FAA00D">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Although the legalization of the cannabis brings several societal advantages to the society, many critics argue that the black market activity remains persistent even more active after the regulation. According to Kilmer and MacCoun (2017), due to the high products taxes, restrictive licensing, and lower prices which are offered by the unregulated solders</w:t>
      </w:r>
      <w:r>
        <w:rPr>
          <w:rFonts w:hint="eastAsia"/>
          <w:lang w:val="en-US" w:eastAsia="zh-CN"/>
        </w:rPr>
        <w:t xml:space="preserve">, it is difficult for legal cannabis markets to eliminate illegal sales </w:t>
      </w:r>
      <w:r>
        <w:rPr>
          <w:rFonts w:hint="default"/>
          <w:lang w:val="en-US" w:eastAsia="zh-CN"/>
        </w:rPr>
        <w:t>and even in states where the recreational cannabis has been legalized, illegal solders continue to operate by undercutting legal prices and make the customers seeking anonymity or high-THC products unavailable in licensed shops satisfied. This continuing underground trade destroys one of the main goals of legalization: reducing illegal activity and redirecting law enforcement resources. Furthermore, critics suggest that the persistence of illegal sales diminishes tax revenue and public health oversight. However, a growing body of evidence suggests that with proper policy adjustments, legalization can hugely reduce the influence caused by the black market. For example, the Colorado Department of Revenue (2023) reports a huge decline in illegal cannabis seizures and arrests, showing that accessible legal alternatives can change the consumer behavior when pricing and availability are optimized. Therefore, while illegal trade may not disappear immediately, thoughtful regulation and enforcement strategies can minimize its impact and gradually displace black market.</w:t>
      </w:r>
    </w:p>
    <w:p w14:paraId="13697A79">
      <w:pPr>
        <w:keepNext w:val="0"/>
        <w:keepLines w:val="0"/>
        <w:pageBreakBefore w:val="0"/>
        <w:widowControl w:val="0"/>
        <w:kinsoku/>
        <w:wordWrap/>
        <w:overflowPunct/>
        <w:topLinePunct w:val="0"/>
        <w:autoSpaceDE/>
        <w:autoSpaceDN/>
        <w:bidi w:val="0"/>
        <w:adjustRightInd/>
        <w:snapToGrid/>
        <w:textAlignment w:val="auto"/>
      </w:pPr>
      <w:r>
        <w:rPr>
          <w:rFonts w:hint="eastAsia"/>
          <w:lang w:val="en-US" w:eastAsia="zh-CN"/>
        </w:rPr>
        <w:t xml:space="preserve">In summary, there is no doubt that the legalization of recreational cannabis offers obvious benefits which are from crime reduction, economic growth and public health. By reducing the illegal market, it has weakened crime which is organized and corrected the historical injustice in the fight against drugs. Economically, it creates more job opportunities and funds for basic public services to make the society better. Improving public safety and reducing cannabis dependence show the benefits of public health. Although problems like the persistent black market still exist, the policies can solve them over time. </w:t>
      </w:r>
      <w:r>
        <w:t xml:space="preserve">Given the overwhelming evidence, </w:t>
      </w:r>
      <w:r>
        <w:rPr>
          <w:rFonts w:hint="eastAsia"/>
          <w:lang w:val="en-US" w:eastAsia="zh-CN"/>
        </w:rPr>
        <w:t xml:space="preserve">the </w:t>
      </w:r>
      <w:r>
        <w:t>legalization</w:t>
      </w:r>
      <w:r>
        <w:rPr>
          <w:rFonts w:hint="eastAsia"/>
          <w:lang w:val="en-US" w:eastAsia="zh-CN"/>
        </w:rPr>
        <w:t xml:space="preserve"> of recreational cannabis </w:t>
      </w:r>
      <w:r>
        <w:t>represents a</w:t>
      </w:r>
      <w:r>
        <w:rPr>
          <w:rFonts w:hint="eastAsia"/>
          <w:lang w:val="en-US" w:eastAsia="zh-CN"/>
        </w:rPr>
        <w:t>n</w:t>
      </w:r>
      <w:r>
        <w:t xml:space="preserve"> </w:t>
      </w:r>
      <w:r>
        <w:rPr>
          <w:rFonts w:hint="eastAsia"/>
          <w:lang w:val="en-US" w:eastAsia="zh-CN"/>
        </w:rPr>
        <w:t>important</w:t>
      </w:r>
      <w:r>
        <w:t xml:space="preserve"> step toward a safer</w:t>
      </w:r>
      <w:r>
        <w:rPr>
          <w:rFonts w:hint="eastAsia"/>
          <w:lang w:val="en-US" w:eastAsia="zh-CN"/>
        </w:rPr>
        <w:t xml:space="preserve"> </w:t>
      </w:r>
      <w:r>
        <w:t>society.</w:t>
      </w:r>
    </w:p>
    <w:p w14:paraId="69B3EDB4">
      <w:pPr>
        <w:bidi w:val="0"/>
        <w:rPr>
          <w:rFonts w:hint="default"/>
          <w:lang w:val="en-US" w:eastAsia="zh-CN"/>
        </w:rPr>
      </w:pPr>
    </w:p>
    <w:p w14:paraId="7764C77B">
      <w:pPr>
        <w:bidi w:val="0"/>
        <w:rPr>
          <w:rFonts w:hint="default"/>
          <w:lang w:val="en-US" w:eastAsia="zh-CN"/>
        </w:rPr>
      </w:pPr>
    </w:p>
    <w:p w14:paraId="3D8981D1">
      <w:pPr>
        <w:bidi w:val="0"/>
        <w:rPr>
          <w:rFonts w:hint="default"/>
          <w:lang w:val="en-US" w:eastAsia="zh-CN"/>
        </w:rPr>
      </w:pPr>
    </w:p>
    <w:p w14:paraId="60E70BE7">
      <w:pPr>
        <w:bidi w:val="0"/>
        <w:rPr>
          <w:rFonts w:hint="default"/>
          <w:lang w:val="en-US" w:eastAsia="zh-CN"/>
        </w:rPr>
      </w:pPr>
    </w:p>
    <w:p w14:paraId="50DBE682">
      <w:pPr>
        <w:bidi w:val="0"/>
        <w:rPr>
          <w:rFonts w:hint="default"/>
          <w:lang w:val="en-US" w:eastAsia="zh-CN"/>
        </w:rPr>
      </w:pPr>
    </w:p>
    <w:p w14:paraId="53A0264F">
      <w:pPr>
        <w:bidi w:val="0"/>
        <w:rPr>
          <w:rFonts w:hint="default"/>
          <w:lang w:val="en-US" w:eastAsia="zh-CN"/>
        </w:rPr>
      </w:pPr>
    </w:p>
    <w:p w14:paraId="1EED8A18">
      <w:pPr>
        <w:bidi w:val="0"/>
        <w:rPr>
          <w:rFonts w:hint="default"/>
          <w:lang w:val="en-US" w:eastAsia="zh-CN"/>
        </w:rPr>
      </w:pPr>
    </w:p>
    <w:p w14:paraId="44E0D16F">
      <w:pPr>
        <w:bidi w:val="0"/>
        <w:rPr>
          <w:rFonts w:hint="default"/>
          <w:lang w:val="en-US" w:eastAsia="zh-CN"/>
        </w:rPr>
      </w:pPr>
    </w:p>
    <w:p w14:paraId="18A68582">
      <w:pPr>
        <w:bidi w:val="0"/>
        <w:jc w:val="center"/>
        <w:rPr>
          <w:rFonts w:hint="eastAsia"/>
          <w:b/>
          <w:bCs/>
          <w:lang w:val="en-US" w:eastAsia="zh-CN"/>
        </w:rPr>
      </w:pPr>
    </w:p>
    <w:p w14:paraId="1CFEF981">
      <w:pPr>
        <w:bidi w:val="0"/>
        <w:jc w:val="center"/>
        <w:rPr>
          <w:rFonts w:hint="eastAsia"/>
          <w:b/>
          <w:bCs/>
          <w:lang w:val="en-US" w:eastAsia="zh-CN"/>
        </w:rPr>
      </w:pPr>
    </w:p>
    <w:p w14:paraId="371722AD">
      <w:pPr>
        <w:bidi w:val="0"/>
        <w:jc w:val="center"/>
        <w:rPr>
          <w:rFonts w:hint="eastAsia"/>
          <w:b/>
          <w:bCs/>
          <w:lang w:val="en-US" w:eastAsia="zh-CN"/>
        </w:rPr>
      </w:pPr>
    </w:p>
    <w:p w14:paraId="6B35160F">
      <w:pPr>
        <w:bidi w:val="0"/>
        <w:ind w:left="0" w:leftChars="0" w:firstLine="0" w:firstLineChars="0"/>
        <w:jc w:val="both"/>
        <w:rPr>
          <w:rFonts w:hint="eastAsia"/>
          <w:b/>
          <w:bCs/>
          <w:lang w:val="en-US" w:eastAsia="zh-CN"/>
        </w:rPr>
      </w:pPr>
    </w:p>
    <w:p w14:paraId="1826F3C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b/>
          <w:bCs/>
          <w:sz w:val="24"/>
          <w:szCs w:val="24"/>
          <w:lang w:val="en-US" w:eastAsia="zh-CN"/>
        </w:rPr>
      </w:pPr>
      <w:r>
        <w:rPr>
          <w:rFonts w:hint="eastAsia"/>
          <w:b/>
          <w:bCs/>
          <w:sz w:val="24"/>
          <w:szCs w:val="24"/>
          <w:lang w:val="en-US" w:eastAsia="zh-CN"/>
        </w:rPr>
        <w:t>References</w:t>
      </w:r>
    </w:p>
    <w:p w14:paraId="4137836D">
      <w:pPr>
        <w:keepNext w:val="0"/>
        <w:keepLines w:val="0"/>
        <w:pageBreakBefore w:val="0"/>
        <w:widowControl w:val="0"/>
        <w:kinsoku/>
        <w:wordWrap/>
        <w:overflowPunct/>
        <w:topLinePunct w:val="0"/>
        <w:autoSpaceDE/>
        <w:autoSpaceDN/>
        <w:bidi w:val="0"/>
        <w:adjustRightInd/>
        <w:snapToGrid/>
        <w:ind w:left="0" w:hanging="480" w:hangingChars="200"/>
        <w:textAlignment w:val="auto"/>
      </w:pPr>
      <w:r>
        <w:t xml:space="preserve">Brookings Institution. (2023). </w:t>
      </w:r>
      <w:r>
        <w:rPr>
          <w:i/>
          <w:iCs/>
        </w:rPr>
        <w:t>Economic impact of cannabis legalization on broader economic activity</w:t>
      </w:r>
      <w:r>
        <w:t xml:space="preserve">. </w:t>
      </w:r>
      <w:r>
        <w:fldChar w:fldCharType="begin"/>
      </w:r>
      <w:r>
        <w:instrText xml:space="preserve"> HYPERLINK "https://www.brookings.edu" \t "_new" </w:instrText>
      </w:r>
      <w:r>
        <w:fldChar w:fldCharType="separate"/>
      </w:r>
      <w:r>
        <w:rPr>
          <w:rStyle w:val="9"/>
        </w:rPr>
        <w:t>https://www.brookings.edu</w:t>
      </w:r>
      <w:r>
        <w:fldChar w:fldCharType="end"/>
      </w:r>
    </w:p>
    <w:p w14:paraId="3F0087C7">
      <w:pPr>
        <w:keepNext w:val="0"/>
        <w:keepLines w:val="0"/>
        <w:pageBreakBefore w:val="0"/>
        <w:widowControl w:val="0"/>
        <w:kinsoku/>
        <w:wordWrap/>
        <w:overflowPunct/>
        <w:topLinePunct w:val="0"/>
        <w:autoSpaceDE/>
        <w:autoSpaceDN/>
        <w:bidi w:val="0"/>
        <w:adjustRightInd/>
        <w:snapToGrid/>
        <w:ind w:left="0" w:hanging="480" w:hangingChars="200"/>
        <w:textAlignment w:val="auto"/>
      </w:pPr>
      <w:r>
        <w:t xml:space="preserve">Centers for Disease Control and Prevention. (2023). </w:t>
      </w:r>
      <w:r>
        <w:rPr>
          <w:i/>
          <w:iCs/>
        </w:rPr>
        <w:t>Cannabis-related emergency room visits and their decline in legalized states</w:t>
      </w:r>
      <w:r>
        <w:rPr>
          <w:rFonts w:hint="eastAsia"/>
          <w:i/>
          <w:iCs/>
          <w:lang w:val="en-US" w:eastAsia="zh-CN"/>
        </w:rPr>
        <w:t xml:space="preserve">. </w:t>
      </w:r>
      <w:r>
        <w:fldChar w:fldCharType="begin"/>
      </w:r>
      <w:r>
        <w:instrText xml:space="preserve"> HYPERLINK "https://www.cdc.gov" \t "_new" </w:instrText>
      </w:r>
      <w:r>
        <w:fldChar w:fldCharType="separate"/>
      </w:r>
      <w:r>
        <w:rPr>
          <w:rStyle w:val="9"/>
        </w:rPr>
        <w:t>https://www.cdc.gov</w:t>
      </w:r>
      <w:r>
        <w:fldChar w:fldCharType="end"/>
      </w:r>
    </w:p>
    <w:p w14:paraId="0D4FC27B">
      <w:pPr>
        <w:keepNext w:val="0"/>
        <w:keepLines w:val="0"/>
        <w:pageBreakBefore w:val="0"/>
        <w:widowControl w:val="0"/>
        <w:kinsoku/>
        <w:wordWrap/>
        <w:overflowPunct/>
        <w:topLinePunct w:val="0"/>
        <w:autoSpaceDE/>
        <w:autoSpaceDN/>
        <w:bidi w:val="0"/>
        <w:adjustRightInd/>
        <w:snapToGrid/>
        <w:ind w:left="0" w:hanging="480" w:hangingChars="200"/>
        <w:textAlignment w:val="auto"/>
        <w:rPr>
          <w:rFonts w:hint="default"/>
        </w:rPr>
      </w:pPr>
      <w:r>
        <w:rPr>
          <w:rFonts w:hint="default"/>
        </w:rPr>
        <w:t>C</w:t>
      </w:r>
      <w:r>
        <w:rPr>
          <w:rFonts w:hint="eastAsia"/>
          <w:lang w:val="en-US" w:eastAsia="zh-CN"/>
        </w:rPr>
        <w:t xml:space="preserve">olorado </w:t>
      </w:r>
      <w:r>
        <w:rPr>
          <w:rFonts w:hint="default"/>
        </w:rPr>
        <w:t>Department of Revenue. (</w:t>
      </w:r>
      <w:r>
        <w:rPr>
          <w:rFonts w:hint="eastAsia"/>
          <w:lang w:val="en-US" w:eastAsia="zh-CN"/>
        </w:rPr>
        <w:t>2024</w:t>
      </w:r>
      <w:r>
        <w:rPr>
          <w:rFonts w:hint="default"/>
        </w:rPr>
        <w:t xml:space="preserve">). </w:t>
      </w:r>
      <w:r>
        <w:rPr>
          <w:rFonts w:hint="eastAsia"/>
          <w:i/>
          <w:iCs/>
          <w:lang w:val="en-US" w:eastAsia="zh-CN"/>
        </w:rPr>
        <w:t>CDOR annual reports</w:t>
      </w:r>
      <w:r>
        <w:rPr>
          <w:rFonts w:hint="eastAsia"/>
          <w:lang w:val="en-US" w:eastAsia="zh-CN"/>
        </w:rPr>
        <w:t xml:space="preserve">. </w:t>
      </w:r>
      <w:r>
        <w:rPr>
          <w:rFonts w:hint="default"/>
        </w:rPr>
        <w:fldChar w:fldCharType="begin"/>
      </w:r>
      <w:r>
        <w:rPr>
          <w:rFonts w:hint="default"/>
        </w:rPr>
        <w:instrText xml:space="preserve"> HYPERLINK "https://cdor.colorado.gov/data-and-reports/cdor-annual-reports" </w:instrText>
      </w:r>
      <w:r>
        <w:rPr>
          <w:rFonts w:hint="default"/>
        </w:rPr>
        <w:fldChar w:fldCharType="separate"/>
      </w:r>
      <w:r>
        <w:rPr>
          <w:rStyle w:val="9"/>
          <w:rFonts w:hint="default"/>
        </w:rPr>
        <w:t>https://cdor.colorado.gov/data-and-reports/cdor-annual-reports</w:t>
      </w:r>
      <w:r>
        <w:rPr>
          <w:rFonts w:hint="default"/>
        </w:rPr>
        <w:fldChar w:fldCharType="end"/>
      </w:r>
    </w:p>
    <w:p w14:paraId="2F69D13C">
      <w:pPr>
        <w:keepNext w:val="0"/>
        <w:keepLines w:val="0"/>
        <w:pageBreakBefore w:val="0"/>
        <w:widowControl w:val="0"/>
        <w:kinsoku/>
        <w:wordWrap/>
        <w:overflowPunct/>
        <w:topLinePunct w:val="0"/>
        <w:autoSpaceDE/>
        <w:autoSpaceDN/>
        <w:bidi w:val="0"/>
        <w:adjustRightInd/>
        <w:snapToGrid/>
        <w:ind w:left="0" w:hanging="480" w:hangingChars="200"/>
        <w:textAlignment w:val="auto"/>
      </w:pPr>
      <w:r>
        <w:t xml:space="preserve">Federal Reserve Bank of Kansas City. (2019). </w:t>
      </w:r>
      <w:r>
        <w:rPr>
          <w:i/>
          <w:iCs/>
        </w:rPr>
        <w:t>The budding marijuana industry: A financial perspective</w:t>
      </w:r>
      <w:r>
        <w:t xml:space="preserve">. </w:t>
      </w:r>
      <w:r>
        <w:rPr>
          <w:rStyle w:val="9"/>
        </w:rPr>
        <w:fldChar w:fldCharType="begin"/>
      </w:r>
      <w:r>
        <w:rPr>
          <w:rStyle w:val="9"/>
        </w:rPr>
        <w:instrText xml:space="preserve"> HYPERLINK "https://www.kansascityfed.org" \t "_new" </w:instrText>
      </w:r>
      <w:r>
        <w:rPr>
          <w:rStyle w:val="9"/>
        </w:rPr>
        <w:fldChar w:fldCharType="separate"/>
      </w:r>
      <w:r>
        <w:rPr>
          <w:rStyle w:val="9"/>
        </w:rPr>
        <w:t>https://www.kansascityfed.org</w:t>
      </w:r>
      <w:r>
        <w:rPr>
          <w:rStyle w:val="9"/>
        </w:rPr>
        <w:fldChar w:fldCharType="end"/>
      </w:r>
    </w:p>
    <w:p w14:paraId="175B0AEC">
      <w:pPr>
        <w:keepNext w:val="0"/>
        <w:keepLines w:val="0"/>
        <w:pageBreakBefore w:val="0"/>
        <w:widowControl w:val="0"/>
        <w:kinsoku/>
        <w:wordWrap/>
        <w:overflowPunct/>
        <w:topLinePunct w:val="0"/>
        <w:autoSpaceDE/>
        <w:autoSpaceDN/>
        <w:bidi w:val="0"/>
        <w:adjustRightInd/>
        <w:snapToGrid/>
        <w:ind w:left="0" w:hanging="480" w:hangingChars="200"/>
        <w:textAlignment w:val="auto"/>
      </w:pPr>
      <w:r>
        <w:t xml:space="preserve">Fischer, B., Robinson, S., &amp; Albrecht, C. (2024). The impact of cannabis legalization on arrests and crime rates in U.S. states. </w:t>
      </w:r>
      <w:r>
        <w:rPr>
          <w:i/>
          <w:iCs/>
        </w:rPr>
        <w:t>Journal of Criminal Justice</w:t>
      </w:r>
      <w:r>
        <w:t xml:space="preserve">, </w:t>
      </w:r>
      <w:r>
        <w:rPr>
          <w:i/>
          <w:iCs/>
        </w:rPr>
        <w:t>49</w:t>
      </w:r>
      <w:r>
        <w:t xml:space="preserve">(2), 122-135. </w:t>
      </w:r>
      <w:r>
        <w:fldChar w:fldCharType="begin"/>
      </w:r>
      <w:r>
        <w:instrText xml:space="preserve"> HYPERLINK "https://doi.org/10.1016/j.jcrimjus.2024.02.003" </w:instrText>
      </w:r>
      <w:r>
        <w:fldChar w:fldCharType="separate"/>
      </w:r>
      <w:r>
        <w:rPr>
          <w:rStyle w:val="9"/>
        </w:rPr>
        <w:t>https://doi.org/10.1016/j.jcrimjus.2024.02.003</w:t>
      </w:r>
      <w:r>
        <w:fldChar w:fldCharType="end"/>
      </w:r>
    </w:p>
    <w:p w14:paraId="3CA644B9">
      <w:pPr>
        <w:keepNext w:val="0"/>
        <w:keepLines w:val="0"/>
        <w:pageBreakBefore w:val="0"/>
        <w:widowControl w:val="0"/>
        <w:kinsoku/>
        <w:wordWrap/>
        <w:overflowPunct/>
        <w:topLinePunct w:val="0"/>
        <w:autoSpaceDE/>
        <w:autoSpaceDN/>
        <w:bidi w:val="0"/>
        <w:adjustRightInd/>
        <w:snapToGrid/>
        <w:ind w:left="0" w:hanging="480" w:hangingChars="200"/>
        <w:textAlignment w:val="auto"/>
      </w:pPr>
      <w:r>
        <w:t xml:space="preserve">Illinois Department of Revenue. (2023). </w:t>
      </w:r>
      <w:r>
        <w:rPr>
          <w:i/>
          <w:iCs/>
        </w:rPr>
        <w:t>Illinois cannabis tax revenue and its allocation for public initiatives</w:t>
      </w:r>
      <w:r>
        <w:t xml:space="preserve">. </w:t>
      </w:r>
      <w:r>
        <w:fldChar w:fldCharType="begin"/>
      </w:r>
      <w:r>
        <w:instrText xml:space="preserve"> HYPERLINK "https://www.idor.illinois.gov" </w:instrText>
      </w:r>
      <w:r>
        <w:fldChar w:fldCharType="separate"/>
      </w:r>
      <w:r>
        <w:rPr>
          <w:rStyle w:val="9"/>
        </w:rPr>
        <w:t>https://www.idor.illinois.gov</w:t>
      </w:r>
      <w:r>
        <w:fldChar w:fldCharType="end"/>
      </w:r>
    </w:p>
    <w:p w14:paraId="1123D989">
      <w:pPr>
        <w:keepNext w:val="0"/>
        <w:keepLines w:val="0"/>
        <w:pageBreakBefore w:val="0"/>
        <w:widowControl w:val="0"/>
        <w:kinsoku/>
        <w:wordWrap/>
        <w:overflowPunct/>
        <w:topLinePunct w:val="0"/>
        <w:autoSpaceDE/>
        <w:autoSpaceDN/>
        <w:bidi w:val="0"/>
        <w:adjustRightInd/>
        <w:snapToGrid/>
        <w:ind w:left="0" w:hanging="480" w:hangingChars="200"/>
        <w:textAlignment w:val="auto"/>
      </w:pPr>
      <w:r>
        <w:t xml:space="preserve">Jiang, X., Wang, H., &amp; Zhang, Z. (2023). The economic impact of cannabis legalization on U.S. employment and tax revenues. </w:t>
      </w:r>
      <w:r>
        <w:rPr>
          <w:i/>
          <w:iCs/>
        </w:rPr>
        <w:t>Journal of Economic Perspectives</w:t>
      </w:r>
      <w:r>
        <w:t xml:space="preserve">, </w:t>
      </w:r>
      <w:r>
        <w:rPr>
          <w:i/>
          <w:iCs/>
        </w:rPr>
        <w:t>47</w:t>
      </w:r>
      <w:r>
        <w:t xml:space="preserve">(1), 98-115. </w:t>
      </w:r>
      <w:bookmarkStart w:id="0" w:name="_GoBack"/>
      <w:bookmarkEnd w:id="0"/>
      <w:r>
        <w:fldChar w:fldCharType="begin"/>
      </w:r>
      <w:r>
        <w:instrText xml:space="preserve"> HYPERLINK "https://doi.org/10.1257/jep.47.1.98" </w:instrText>
      </w:r>
      <w:r>
        <w:fldChar w:fldCharType="separate"/>
      </w:r>
      <w:r>
        <w:rPr>
          <w:rStyle w:val="9"/>
        </w:rPr>
        <w:t>https://doi.org/10.1257/jep.47.1.98</w:t>
      </w:r>
      <w:r>
        <w:fldChar w:fldCharType="end"/>
      </w:r>
    </w:p>
    <w:p w14:paraId="1082CB50">
      <w:pPr>
        <w:keepNext w:val="0"/>
        <w:keepLines w:val="0"/>
        <w:pageBreakBefore w:val="0"/>
        <w:widowControl w:val="0"/>
        <w:kinsoku/>
        <w:wordWrap/>
        <w:overflowPunct/>
        <w:topLinePunct w:val="0"/>
        <w:autoSpaceDE/>
        <w:autoSpaceDN/>
        <w:bidi w:val="0"/>
        <w:adjustRightInd/>
        <w:snapToGrid/>
        <w:ind w:left="0" w:hanging="480" w:hangingChars="200"/>
        <w:textAlignment w:val="auto"/>
        <w:rPr>
          <w:rFonts w:hint="default"/>
        </w:rPr>
      </w:pPr>
      <w:r>
        <w:rPr>
          <w:rFonts w:hint="default"/>
        </w:rPr>
        <w:t>Kilmer, B., &amp; MacCoun, R. J. (2017). How Medical Marijuana Smoothed the Transition to Marijuana Legalization in the United States. </w:t>
      </w:r>
      <w:r>
        <w:rPr>
          <w:rFonts w:hint="default"/>
          <w:i/>
          <w:iCs/>
        </w:rPr>
        <w:t>Annual Review of Law and Social Science</w:t>
      </w:r>
      <w:r>
        <w:rPr>
          <w:rFonts w:hint="default"/>
        </w:rPr>
        <w:t>, </w:t>
      </w:r>
      <w:r>
        <w:rPr>
          <w:rFonts w:hint="default"/>
          <w:i/>
          <w:iCs/>
        </w:rPr>
        <w:t>13</w:t>
      </w:r>
      <w:r>
        <w:rPr>
          <w:rFonts w:hint="default"/>
        </w:rPr>
        <w:t xml:space="preserve">(1), 181–202. </w:t>
      </w:r>
      <w:r>
        <w:rPr>
          <w:rFonts w:hint="default"/>
        </w:rPr>
        <w:fldChar w:fldCharType="begin"/>
      </w:r>
      <w:r>
        <w:rPr>
          <w:rFonts w:hint="default"/>
        </w:rPr>
        <w:instrText xml:space="preserve"> HYPERLINK "https://doi.org/10.1146/annurev-lawsocsci-110615-084851" </w:instrText>
      </w:r>
      <w:r>
        <w:rPr>
          <w:rFonts w:hint="default"/>
        </w:rPr>
        <w:fldChar w:fldCharType="separate"/>
      </w:r>
      <w:r>
        <w:rPr>
          <w:rStyle w:val="9"/>
          <w:rFonts w:hint="default"/>
        </w:rPr>
        <w:t>https://doi.org/10.1146/annurev-lawsocsci-110615-084851</w:t>
      </w:r>
      <w:r>
        <w:rPr>
          <w:rFonts w:hint="default"/>
        </w:rPr>
        <w:fldChar w:fldCharType="end"/>
      </w:r>
    </w:p>
    <w:p w14:paraId="561A7DD5">
      <w:pPr>
        <w:keepNext w:val="0"/>
        <w:keepLines w:val="0"/>
        <w:pageBreakBefore w:val="0"/>
        <w:widowControl w:val="0"/>
        <w:kinsoku/>
        <w:wordWrap/>
        <w:overflowPunct/>
        <w:topLinePunct w:val="0"/>
        <w:autoSpaceDE/>
        <w:autoSpaceDN/>
        <w:bidi w:val="0"/>
        <w:adjustRightInd/>
        <w:snapToGrid/>
        <w:ind w:left="0" w:hanging="480" w:hangingChars="200"/>
        <w:textAlignment w:val="auto"/>
      </w:pPr>
      <w:r>
        <w:t xml:space="preserve">Leafly. (2023). </w:t>
      </w:r>
      <w:r>
        <w:rPr>
          <w:i/>
          <w:iCs/>
        </w:rPr>
        <w:t>Cannabis industry growth and its impact on small businesses</w:t>
      </w:r>
      <w:r>
        <w:t xml:space="preserve">. </w:t>
      </w:r>
      <w:r>
        <w:fldChar w:fldCharType="begin"/>
      </w:r>
      <w:r>
        <w:instrText xml:space="preserve"> HYPERLINK "https://www.leafly.com" \t "_new" </w:instrText>
      </w:r>
      <w:r>
        <w:fldChar w:fldCharType="separate"/>
      </w:r>
      <w:r>
        <w:rPr>
          <w:rStyle w:val="9"/>
        </w:rPr>
        <w:t>https://www.leafly.com</w:t>
      </w:r>
      <w:r>
        <w:fldChar w:fldCharType="end"/>
      </w:r>
    </w:p>
    <w:p w14:paraId="0EC98819">
      <w:pPr>
        <w:keepNext w:val="0"/>
        <w:keepLines w:val="0"/>
        <w:pageBreakBefore w:val="0"/>
        <w:widowControl w:val="0"/>
        <w:kinsoku/>
        <w:wordWrap/>
        <w:overflowPunct/>
        <w:topLinePunct w:val="0"/>
        <w:autoSpaceDE/>
        <w:autoSpaceDN/>
        <w:bidi w:val="0"/>
        <w:adjustRightInd/>
        <w:snapToGrid/>
        <w:ind w:left="0" w:hanging="480" w:hangingChars="200"/>
        <w:textAlignment w:val="auto"/>
      </w:pPr>
      <w:r>
        <w:t xml:space="preserve">Matheson, B., Taylor, S., &amp; Blackwell, J. (2024). Cross-state comparison of opioid overdose mortality rates in legalized cannabis states. </w:t>
      </w:r>
      <w:r>
        <w:rPr>
          <w:i/>
          <w:iCs/>
        </w:rPr>
        <w:t>American Journal of Public Health</w:t>
      </w:r>
      <w:r>
        <w:t xml:space="preserve">, </w:t>
      </w:r>
      <w:r>
        <w:rPr>
          <w:i/>
          <w:iCs/>
        </w:rPr>
        <w:t>114</w:t>
      </w:r>
      <w:r>
        <w:t xml:space="preserve">(4), 452-460. </w:t>
      </w:r>
      <w:r>
        <w:fldChar w:fldCharType="begin"/>
      </w:r>
      <w:r>
        <w:instrText xml:space="preserve"> HYPERLINK "https://doi.org/10.2105/AJPH.2024.306278" </w:instrText>
      </w:r>
      <w:r>
        <w:fldChar w:fldCharType="separate"/>
      </w:r>
      <w:r>
        <w:rPr>
          <w:rStyle w:val="9"/>
        </w:rPr>
        <w:t>https://doi.org/10.2105/AJPH.2024.306278</w:t>
      </w:r>
      <w:r>
        <w:fldChar w:fldCharType="end"/>
      </w:r>
    </w:p>
    <w:p w14:paraId="698090B3">
      <w:pPr>
        <w:keepNext w:val="0"/>
        <w:keepLines w:val="0"/>
        <w:pageBreakBefore w:val="0"/>
        <w:widowControl w:val="0"/>
        <w:kinsoku/>
        <w:wordWrap/>
        <w:overflowPunct/>
        <w:topLinePunct w:val="0"/>
        <w:autoSpaceDE/>
        <w:autoSpaceDN/>
        <w:bidi w:val="0"/>
        <w:adjustRightInd/>
        <w:snapToGrid/>
        <w:ind w:left="0" w:hanging="480" w:hangingChars="200"/>
        <w:textAlignment w:val="auto"/>
      </w:pPr>
      <w:r>
        <w:t xml:space="preserve">Michigan Treasury. (2023). </w:t>
      </w:r>
      <w:r>
        <w:rPr>
          <w:i/>
          <w:iCs/>
        </w:rPr>
        <w:t>Community improvements funded by cannabis tax revenue in Michigan</w:t>
      </w:r>
      <w:r>
        <w:t xml:space="preserve">. </w:t>
      </w:r>
      <w:r>
        <w:fldChar w:fldCharType="begin"/>
      </w:r>
      <w:r>
        <w:instrText xml:space="preserve"> HYPERLINK "https://www.michigan.gov" \t "_new" </w:instrText>
      </w:r>
      <w:r>
        <w:fldChar w:fldCharType="separate"/>
      </w:r>
      <w:r>
        <w:rPr>
          <w:rStyle w:val="9"/>
        </w:rPr>
        <w:t>https://www.michigan.gov</w:t>
      </w:r>
      <w:r>
        <w:fldChar w:fldCharType="end"/>
      </w:r>
    </w:p>
    <w:p w14:paraId="0B2F1A8A">
      <w:pPr>
        <w:keepNext w:val="0"/>
        <w:keepLines w:val="0"/>
        <w:pageBreakBefore w:val="0"/>
        <w:widowControl w:val="0"/>
        <w:kinsoku/>
        <w:wordWrap/>
        <w:overflowPunct/>
        <w:topLinePunct w:val="0"/>
        <w:autoSpaceDE/>
        <w:autoSpaceDN/>
        <w:bidi w:val="0"/>
        <w:adjustRightInd/>
        <w:snapToGrid/>
        <w:ind w:left="0" w:hanging="480" w:hangingChars="200"/>
        <w:textAlignment w:val="auto"/>
      </w:pPr>
      <w:r>
        <w:t xml:space="preserve">National Institutes of Health. (2023). </w:t>
      </w:r>
      <w:r>
        <w:rPr>
          <w:i/>
          <w:iCs/>
        </w:rPr>
        <w:t>The rise in medical cannabis usage and its impact on opioid dependence</w:t>
      </w:r>
      <w:r>
        <w:t>.</w:t>
      </w:r>
      <w:r>
        <w:rPr>
          <w:rFonts w:hint="eastAsia"/>
          <w:lang w:val="en-US" w:eastAsia="zh-CN"/>
        </w:rPr>
        <w:t xml:space="preserve"> </w:t>
      </w:r>
      <w:r>
        <w:fldChar w:fldCharType="begin"/>
      </w:r>
      <w:r>
        <w:instrText xml:space="preserve"> HYPERLINK "https://www.nih.gov" \t "_new" </w:instrText>
      </w:r>
      <w:r>
        <w:fldChar w:fldCharType="separate"/>
      </w:r>
      <w:r>
        <w:rPr>
          <w:rStyle w:val="9"/>
        </w:rPr>
        <w:t>https://www.nih.gov</w:t>
      </w:r>
      <w:r>
        <w:fldChar w:fldCharType="end"/>
      </w:r>
    </w:p>
    <w:p w14:paraId="7F530770">
      <w:pPr>
        <w:keepNext w:val="0"/>
        <w:keepLines w:val="0"/>
        <w:pageBreakBefore w:val="0"/>
        <w:widowControl w:val="0"/>
        <w:kinsoku/>
        <w:wordWrap/>
        <w:overflowPunct/>
        <w:topLinePunct w:val="0"/>
        <w:autoSpaceDE/>
        <w:autoSpaceDN/>
        <w:bidi w:val="0"/>
        <w:adjustRightInd/>
        <w:snapToGrid/>
        <w:ind w:left="0" w:hanging="480" w:hangingChars="200"/>
        <w:textAlignment w:val="auto"/>
        <w:rPr>
          <w:rFonts w:hint="default"/>
        </w:rPr>
      </w:pPr>
      <w:r>
        <w:t xml:space="preserve">New Jersey Cannabis Regulatory Commission. (2023). </w:t>
      </w:r>
      <w:r>
        <w:rPr>
          <w:i/>
          <w:iCs/>
        </w:rPr>
        <w:t>Health education initiatives funded by cannabis tax revenue in New Jersey</w:t>
      </w:r>
      <w:r>
        <w:t>.</w:t>
      </w:r>
      <w:r>
        <w:rPr>
          <w:rFonts w:hint="eastAsia"/>
          <w:lang w:val="en-US" w:eastAsia="zh-CN"/>
        </w:rPr>
        <w:t xml:space="preserve"> </w:t>
      </w:r>
      <w:r>
        <w:fldChar w:fldCharType="begin"/>
      </w:r>
      <w:r>
        <w:instrText xml:space="preserve"> HYPERLINK "https://www.nj.gov" \t "_new" </w:instrText>
      </w:r>
      <w:r>
        <w:fldChar w:fldCharType="separate"/>
      </w:r>
      <w:r>
        <w:rPr>
          <w:rStyle w:val="9"/>
        </w:rPr>
        <w:t>https://www.nj.gov</w:t>
      </w:r>
      <w:r>
        <w:fldChar w:fldCharType="end"/>
      </w:r>
    </w:p>
    <w:p w14:paraId="79A9042D">
      <w:pPr>
        <w:keepNext w:val="0"/>
        <w:keepLines w:val="0"/>
        <w:pageBreakBefore w:val="0"/>
        <w:widowControl w:val="0"/>
        <w:kinsoku/>
        <w:wordWrap/>
        <w:overflowPunct/>
        <w:topLinePunct w:val="0"/>
        <w:autoSpaceDE/>
        <w:autoSpaceDN/>
        <w:bidi w:val="0"/>
        <w:adjustRightInd/>
        <w:snapToGrid/>
        <w:ind w:left="0" w:hanging="480" w:hangingChars="200"/>
        <w:textAlignment w:val="auto"/>
        <w:rPr>
          <w:rFonts w:hint="default"/>
        </w:rPr>
      </w:pPr>
      <w:r>
        <w:rPr>
          <w:rFonts w:hint="default"/>
        </w:rPr>
        <w:t>Timko, C., Grant, K. M., Han, X., Young, L. B., &amp; Cucciare, M. A. (2021). Al‐Anon intensive referral to facilitate concerned others’ participation in Al‐Anon Family groups: A randomized controlled trial. </w:t>
      </w:r>
      <w:r>
        <w:rPr>
          <w:rFonts w:hint="default"/>
          <w:i/>
          <w:iCs/>
        </w:rPr>
        <w:t>Addiction</w:t>
      </w:r>
      <w:r>
        <w:rPr>
          <w:rFonts w:hint="default"/>
        </w:rPr>
        <w:t>,</w:t>
      </w:r>
      <w:r>
        <w:rPr>
          <w:rFonts w:hint="default"/>
          <w:i/>
          <w:iCs/>
        </w:rPr>
        <w:t> 117</w:t>
      </w:r>
      <w:r>
        <w:rPr>
          <w:rFonts w:hint="default"/>
        </w:rPr>
        <w:t xml:space="preserve">(3). </w:t>
      </w:r>
      <w:r>
        <w:rPr>
          <w:rFonts w:hint="default"/>
        </w:rPr>
        <w:fldChar w:fldCharType="begin"/>
      </w:r>
      <w:r>
        <w:rPr>
          <w:rFonts w:hint="default"/>
        </w:rPr>
        <w:instrText xml:space="preserve"> HYPERLINK "https://doi.org/10.1111/add.15670" </w:instrText>
      </w:r>
      <w:r>
        <w:rPr>
          <w:rFonts w:hint="default"/>
        </w:rPr>
        <w:fldChar w:fldCharType="separate"/>
      </w:r>
      <w:r>
        <w:rPr>
          <w:rStyle w:val="9"/>
          <w:rFonts w:hint="default"/>
        </w:rPr>
        <w:t>https://doi.org/10.1111/add.15670</w:t>
      </w:r>
      <w:r>
        <w:rPr>
          <w:rFonts w:hint="default"/>
        </w:rPr>
        <w:fldChar w:fldCharType="end"/>
      </w:r>
    </w:p>
    <w:p w14:paraId="79AC82B0">
      <w:pPr>
        <w:keepNext w:val="0"/>
        <w:keepLines w:val="0"/>
        <w:pageBreakBefore w:val="0"/>
        <w:widowControl w:val="0"/>
        <w:kinsoku/>
        <w:wordWrap/>
        <w:overflowPunct/>
        <w:topLinePunct w:val="0"/>
        <w:autoSpaceDE/>
        <w:autoSpaceDN/>
        <w:bidi w:val="0"/>
        <w:adjustRightInd/>
        <w:snapToGrid/>
        <w:ind w:left="0" w:hanging="480" w:hangingChars="200"/>
        <w:textAlignment w:val="auto"/>
        <w:rPr>
          <w:rFonts w:hint="default"/>
        </w:rPr>
      </w:pPr>
      <w:r>
        <w:t xml:space="preserve">United Nations Office on Drugs and Crime. (2024). </w:t>
      </w:r>
      <w:r>
        <w:rPr>
          <w:i/>
          <w:iCs/>
        </w:rPr>
        <w:t>World drug report 2024</w:t>
      </w:r>
      <w: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"https://www.unodc.org/unodc/en/data-and-analysis/world-drug-report-2024.html" \t "_new" </w:instrText>
      </w:r>
      <w:r>
        <w:rPr>
          <w:rFonts w:hint="default" w:ascii="Times New Roman" w:hAnsi="Times New Roman" w:cs="Times New Roman"/>
        </w:rPr>
        <w:fldChar w:fldCharType="separate"/>
      </w:r>
      <w:r>
        <w:rPr>
          <w:rStyle w:val="9"/>
          <w:rFonts w:hint="default" w:ascii="Times New Roman" w:hAnsi="Times New Roman" w:eastAsia="宋体" w:cs="Times New Roman"/>
          <w:szCs w:val="24"/>
        </w:rPr>
        <w:t>https://www.unodc.org/unodc/en/data-and-analysis/world-drug-report-2024.html</w:t>
      </w:r>
      <w:r>
        <w:rPr>
          <w:rFonts w:hint="default" w:ascii="Times New Roman" w:hAnsi="Times New Roman" w:cs="Times New Roman"/>
        </w:rPr>
        <w:fldChar w:fldCharType="end"/>
      </w:r>
    </w:p>
    <w:p w14:paraId="660B3927">
      <w:pPr>
        <w:pStyle w:val="4"/>
        <w:keepNext w:val="0"/>
        <w:keepLines w:val="0"/>
        <w:widowControl/>
        <w:suppressLineNumbers w:val="0"/>
        <w:ind w:left="0" w:firstLine="0"/>
        <w:rPr>
          <w:rFonts w:hint="default" w:ascii="Calibri" w:hAnsi="Calibri" w:cs="Calibri"/>
          <w:i w:val="0"/>
          <w:iCs w:val="0"/>
          <w:caps w:val="0"/>
          <w:color w:val="000000"/>
          <w:spacing w:val="0"/>
          <w:sz w:val="27"/>
          <w:szCs w:val="27"/>
          <w:lang w:val="en-US" w:eastAsia="zh-CN"/>
        </w:rPr>
      </w:pPr>
      <w:r>
        <w:rPr>
          <w:rFonts w:hint="default" w:ascii="Calibri" w:hAnsi="Calibri" w:cs="Calibri"/>
          <w:i w:val="0"/>
          <w:iCs w:val="0"/>
          <w:caps w:val="0"/>
          <w:color w:val="000000"/>
          <w:spacing w:val="0"/>
          <w:sz w:val="27"/>
          <w:szCs w:val="27"/>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ind w:firstLine="480"/>
      </w:pPr>
      <w:r>
        <w:separator/>
      </w:r>
    </w:p>
  </w:footnote>
  <w:footnote w:type="continuationSeparator" w:id="1">
    <w:p>
      <w:pPr>
        <w:spacing w:line="48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76409"/>
    <w:rsid w:val="18FB3B93"/>
    <w:rsid w:val="1A9106D0"/>
    <w:rsid w:val="22DE0610"/>
    <w:rsid w:val="32E35AF1"/>
    <w:rsid w:val="464405AB"/>
    <w:rsid w:val="48E93D40"/>
    <w:rsid w:val="4E162B85"/>
    <w:rsid w:val="53710117"/>
    <w:rsid w:val="61CF0E3F"/>
    <w:rsid w:val="63857F88"/>
    <w:rsid w:val="6A035724"/>
    <w:rsid w:val="6DBA2119"/>
    <w:rsid w:val="77440A9E"/>
    <w:rsid w:val="7744531C"/>
    <w:rsid w:val="77EC1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auto"/>
      <w:ind w:firstLine="482" w:firstLineChars="200"/>
      <w:jc w:val="left"/>
    </w:pPr>
    <w:rPr>
      <w:rFonts w:ascii="Times New Roman" w:hAnsi="Times New Roman" w:eastAsiaTheme="minorEastAsia" w:cstheme="minorBidi"/>
      <w:kern w:val="2"/>
      <w:sz w:val="24"/>
      <w:szCs w:val="24"/>
      <w:lang w:val="en-US" w:eastAsia="zh-CN" w:bidi="ar-SA"/>
    </w:rPr>
  </w:style>
  <w:style w:type="paragraph" w:styleId="2">
    <w:name w:val="heading 1"/>
    <w:basedOn w:val="1"/>
    <w:next w:val="1"/>
    <w:link w:val="10"/>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80" w:lineRule="auto"/>
      <w:ind w:firstLine="0" w:firstLineChars="0"/>
      <w:outlineLvl w:val="1"/>
    </w:pPr>
    <w:rPr>
      <w:rFonts w:eastAsia="黑体"/>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qFormat/>
    <w:uiPriority w:val="0"/>
    <w:rPr>
      <w:color w:val="0000FF"/>
      <w:u w:val="single"/>
    </w:rPr>
  </w:style>
  <w:style w:type="character" w:customStyle="1" w:styleId="10">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1440</Words>
  <Characters>9128</Characters>
  <Lines>0</Lines>
  <Paragraphs>0</Paragraphs>
  <TotalTime>21</TotalTime>
  <ScaleCrop>false</ScaleCrop>
  <LinksUpToDate>false</LinksUpToDate>
  <CharactersWithSpaces>10538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2025-04-27T02:29:00Z</dcterms:created>
  <dc:creator>he</dc:creator>
  <cp:lastModifiedBy>Chopin</cp:lastModifiedBy>
  <dcterms:modified xsi:type="dcterms:W3CDTF">2025-06-03T06:00:46Z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eyJoZGlkIjoiOWI4NGMxMzdlYzRjNWQ5MTk0N2UxYzczMzE2NmZiNjEiLCJ1c2VySWQiOiI0NzE4NTkwMDAifQ==</vt:lpwstr>
  </property>
  <property fmtid="{D5CDD505-2E9C-101B-9397-08002B2CF9AE}" pid="4" name="ICV">
    <vt:lpwstr>882DD31D690243DF9F47750DCFAC6EE9_12</vt:lpwstr>
  </property>
</Properties>
</file>