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31993">
      <w:pPr>
        <w:jc w:val="center"/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Reference</w:t>
      </w:r>
    </w:p>
    <w:p w14:paraId="2946A36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Group Topic:Social media should be banned for teenagers under 16.</w:t>
      </w:r>
    </w:p>
    <w:p w14:paraId="35B6F6E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speaker 1:Jack(Xie Yi)</w:t>
      </w:r>
    </w:p>
    <w:p w14:paraId="1DE10CF1">
      <w:pPr>
        <w:jc w:val="left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speaker 2:Ma Huiwen</w:t>
      </w:r>
    </w:p>
    <w:p w14:paraId="4FF5E967">
      <w:pPr>
        <w:jc w:val="left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speaker 3:Chopin(He Yanning)</w:t>
      </w:r>
    </w:p>
    <w:p w14:paraId="462B6ED0">
      <w:pPr>
        <w:jc w:val="left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speaker 4:Tony(Zhou Ziyu)</w:t>
      </w:r>
    </w:p>
    <w:p w14:paraId="5E4F369C">
      <w:pPr>
        <w:jc w:val="left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speaker 5:Yang(Lei Haoyang)</w:t>
      </w:r>
    </w:p>
    <w:p w14:paraId="7158296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</w:pPr>
    </w:p>
    <w:p w14:paraId="09DE5674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Schooler, C., &amp; Flora, J. A. (1996). Pervasive media violence. *Annual Review of Public Health*, 17, 275-298. </w:t>
      </w:r>
    </w:p>
    <w:p w14:paraId="6029AB7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https://doi.org/10.1177/035853904817719519</w:t>
      </w:r>
    </w:p>
    <w:p w14:paraId="046105E4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2AB3A61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CNN. (2024, January 29). What other countries do to control children's social media access?  https://www.smh.com/world/europe/what-other-countries-do-to-control-children-s-social-media-access-2024129-p5kuhy.html</w:t>
      </w:r>
    </w:p>
    <w:p w14:paraId="697D9691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CB1148E">
      <w:pPr>
        <w:numPr>
          <w:ilvl w:val="0"/>
          <w:numId w:val="2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Jamie Young. (2024, November 11). UK considers social media ban for under-16s as Minister orders new research. *BM Magazine*. </w:t>
      </w:r>
    </w:p>
    <w:p w14:paraId="647CF43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https://bmmagazine.co.uk/tech/uk-considers-social-media-ban-for-under-16s-as-minister-orders-new-research/</w:t>
      </w:r>
    </w:p>
    <w:p w14:paraId="17E3D33E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C8C0969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Joint Select Committee on Social Media and Australian Society. (2024). Chapter 3 - Social media and online harms. *Parliamentary Business of the Parliament of Australia*. https://www.aph.gov.au/Parliamentary_Business/Committees/Joint/Social_Media/SocialMedia/Final_report/Chapter_3_-_Social_media_and_online_harms</w:t>
      </w:r>
    </w:p>
    <w:p w14:paraId="6875FB97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50932B0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CNN Business. (2024, March 25). Florida governor signs law restricting social media access for children. https://edition.cnn.com/2024/03/25/tech/florida-social-media-law-age/index.html</w:t>
      </w:r>
    </w:p>
    <w:p w14:paraId="3CC4C5D6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E7AFE56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Euronews. (2024, April 27). Macron in favour of Europe-wide social media age restriction for teens under 15.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"https://www.euronews.com/next/2024/04/27/macron-in-favour-of-europe-wide-social-media-age-restriction-for-teens-under-15"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https://www.euronews.com/next/2024/04/27/macron-in-favour-of-europe-wide-social-media-age-restriction-for-teens-under-15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70F9221">
      <w:pPr>
        <w:widowControl w:val="0"/>
        <w:numPr>
          <w:numId w:val="0"/>
        </w:num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68A38A0">
      <w:pPr>
        <w:widowControl w:val="0"/>
        <w:numPr>
          <w:numId w:val="0"/>
        </w:numPr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7.Psychology Today. (2024, December 12). Are social media bans for under 16-year-olds the best way forward? </w:t>
      </w:r>
      <w:bookmarkStart w:id="0" w:name="_GoBack"/>
      <w:bookmarkEnd w:id="0"/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https://www.psychologytoday.com/us/blog/a-global-lens/202412/social-media-to-ban-or-not-to-ban</w:t>
      </w:r>
    </w:p>
    <w:p w14:paraId="49A6970F">
      <w:pPr>
        <w:rPr>
          <w:rFonts w:hint="default" w:ascii="Times New Roman" w:hAnsi="Times New Roman" w:cs="Times New Roman"/>
        </w:rPr>
      </w:pPr>
    </w:p>
    <w:p w14:paraId="5F39738A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F18EE"/>
    <w:multiLevelType w:val="singleLevel"/>
    <w:tmpl w:val="808F18EE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D5A090A0"/>
    <w:multiLevelType w:val="singleLevel"/>
    <w:tmpl w:val="D5A090A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FE59E36"/>
    <w:multiLevelType w:val="singleLevel"/>
    <w:tmpl w:val="0FE59E36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8410A"/>
    <w:rsid w:val="32713D8E"/>
    <w:rsid w:val="38232DB7"/>
    <w:rsid w:val="7FE8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1397</Characters>
  <Lines>0</Lines>
  <Paragraphs>0</Paragraphs>
  <TotalTime>15</TotalTime>
  <ScaleCrop>false</ScaleCrop>
  <LinksUpToDate>false</LinksUpToDate>
  <CharactersWithSpaces>1528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2024-12-21T08:36:00Z</dcterms:created>
  <dc:creator>文敬</dc:creator>
  <cp:lastModifiedBy>文敬</cp:lastModifiedBy>
  <dcterms:modified xsi:type="dcterms:W3CDTF">2024-12-21T09:04:53Z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82A6ACF18EC140CFA4D9389F27052513_11</vt:lpwstr>
  </property>
</Properties>
</file>