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3. Assignment №3 — Data Collection and Analysis</w:t>
      </w:r>
    </w:p>
    <w:p>
      <w:pPr>
        <w:pStyle w:val="Heading2"/>
        <w:jc w:val="left"/>
      </w:pPr>
      <w:r>
        <w:t>3.1 Data Sources Description</w:t>
      </w:r>
    </w:p>
    <w:p>
      <w:pPr>
        <w:jc w:val="both"/>
      </w:pPr>
      <w:r>
        <w:t>Two open sources were used to collect the dataset:</w:t>
      </w:r>
    </w:p>
    <w:p>
      <w:pPr>
        <w:pStyle w:val="ListBullet"/>
      </w:pPr>
      <w:r>
        <w:rPr>
          <w:b/>
        </w:rPr>
        <w:t xml:space="preserve">Krisha.kz: </w:t>
      </w:r>
      <w:r>
        <w:t>Kazakhstan's largest real estate platform. Thousands of active rental listings. Rich data structure: price, district, area, floor, type, photos. Cities: Astana, Almaty, Shymkent, Karaganda, Aktobe.</w:t>
      </w:r>
    </w:p>
    <w:p>
      <w:pPr>
        <w:pStyle w:val="ListBullet"/>
      </w:pPr>
      <w:r>
        <w:rPr>
          <w:b/>
        </w:rPr>
        <w:t xml:space="preserve">OLX.kz: </w:t>
      </w:r>
      <w:r>
        <w:t>General classifieds platform with a large real estate section. Additional source for Astana and Almaty listings.</w:t>
      </w:r>
    </w:p>
    <w:p>
      <w:pPr>
        <w:pStyle w:val="Heading2"/>
        <w:jc w:val="left"/>
      </w:pPr>
      <w:r>
        <w:t>3.2 Parsing Methodology</w:t>
      </w:r>
    </w:p>
    <w:p>
      <w:pPr>
        <w:jc w:val="both"/>
      </w:pPr>
      <w:r>
        <w:t>Data was collected using a custom Python scraper (parser.py) based on the requests and BeautifulSoup4 libraries. The scraper paginated through listing pages with a 2-second delay between requests to avoid server overload. For Krisha.kz, cities were processed sequentially: Astana → Almaty → Shymkent → Karaganda → Aktobe (up to 50 pages each). For OLX.kz: Astana and Almaty (up to 20 pages each).</w:t>
      </w:r>
    </w:p>
    <w:p>
      <w:pPr>
        <w:pStyle w:val="ListBullet"/>
      </w:pPr>
      <w:r>
        <w:t>User-Agent: Chrome browser header (avoids 403 blocking)</w:t>
      </w:r>
    </w:p>
    <w:p>
      <w:pPr>
        <w:pStyle w:val="ListBullet"/>
      </w:pPr>
      <w:r>
        <w:t>Delay: 2 seconds between page requests</w:t>
      </w:r>
    </w:p>
    <w:p>
      <w:pPr>
        <w:pStyle w:val="ListBullet"/>
      </w:pPr>
      <w:r>
        <w:t>Status check: if HTTP status != 200, execution stops with error message</w:t>
      </w:r>
    </w:p>
    <w:p>
      <w:pPr>
        <w:pStyle w:val="ListBullet"/>
      </w:pPr>
      <w:r>
        <w:t>Data deduplication: based on listing_id</w:t>
      </w:r>
    </w:p>
    <w:p>
      <w:pPr>
        <w:pStyle w:val="ListBullet"/>
      </w:pPr>
      <w:r>
        <w:t>Encoding: UTF-8 for all output files</w:t>
      </w:r>
    </w:p>
    <w:p>
      <w:pPr>
        <w:pStyle w:val="Heading2"/>
        <w:jc w:val="left"/>
      </w:pPr>
      <w:r>
        <w:t>3.3 Dataset Structure</w:t>
      </w:r>
    </w:p>
    <w:p>
      <w:pPr>
        <w:jc w:val="both"/>
      </w:pPr>
      <w:r>
        <w:t>The dataset contains 6,217 records and 12 fields:</w:t>
      </w:r>
    </w:p>
    <w:tbl>
      <w:tblPr>
        <w:tblStyle w:val="TableGrid"/>
        <w:tblW w:type="auto" w:w="0"/>
        <w:tblLook w:firstColumn="1" w:firstRow="1" w:lastColumn="0" w:lastRow="0" w:noHBand="0" w:noVBand="1" w:val="04A0"/>
      </w:tblPr>
      <w:tblGrid>
        <w:gridCol w:w="3230"/>
        <w:gridCol w:w="3230"/>
        <w:gridCol w:w="3230"/>
      </w:tblGrid>
      <w:tr>
        <w:tc>
          <w:tcPr>
            <w:tcW w:type="dxa" w:w="3230"/>
            <w:shd w:fill="378ADD" w:color="auto" w:val="clear"/>
          </w:tcPr>
          <w:p>
            <w:r>
              <w:rPr>
                <w:b/>
                <w:color w:val="FFFFFF"/>
              </w:rPr>
              <w:t>Field</w:t>
            </w:r>
          </w:p>
        </w:tc>
        <w:tc>
          <w:tcPr>
            <w:tcW w:type="dxa" w:w="3230"/>
            <w:shd w:fill="378ADD" w:color="auto" w:val="clear"/>
          </w:tcPr>
          <w:p>
            <w:r>
              <w:rPr>
                <w:b/>
                <w:color w:val="FFFFFF"/>
              </w:rPr>
              <w:t>Type</w:t>
            </w:r>
          </w:p>
        </w:tc>
        <w:tc>
          <w:tcPr>
            <w:tcW w:type="dxa" w:w="3230"/>
            <w:shd w:fill="378ADD" w:color="auto" w:val="clear"/>
          </w:tcPr>
          <w:p>
            <w:r>
              <w:rPr>
                <w:b/>
                <w:color w:val="FFFFFF"/>
              </w:rPr>
              <w:t>Description</w:t>
            </w:r>
          </w:p>
        </w:tc>
      </w:tr>
      <w:tr>
        <w:tc>
          <w:tcPr>
            <w:tcW w:type="dxa" w:w="3230"/>
            <w:shd w:fill="EBF3FB" w:color="auto" w:val="clear"/>
          </w:tcPr>
          <w:p>
            <w:r>
              <w:rPr>
                <w:rFonts w:ascii="Courier New" w:hAnsi="Courier New"/>
              </w:rPr>
              <w:t>id</w:t>
            </w:r>
          </w:p>
        </w:tc>
        <w:tc>
          <w:tcPr>
            <w:tcW w:type="dxa" w:w="3230"/>
            <w:shd w:fill="EBF3FB" w:color="auto" w:val="clear"/>
          </w:tcPr>
          <w:p>
            <w:r>
              <w:t>integer</w:t>
            </w:r>
          </w:p>
        </w:tc>
        <w:tc>
          <w:tcPr>
            <w:tcW w:type="dxa" w:w="3230"/>
            <w:shd w:fill="F7FBFF" w:color="auto" w:val="clear"/>
          </w:tcPr>
          <w:p>
            <w:r>
              <w:t>Unique sequential record ID</w:t>
            </w:r>
          </w:p>
        </w:tc>
      </w:tr>
      <w:tr>
        <w:tc>
          <w:tcPr>
            <w:tcW w:type="dxa" w:w="3230"/>
          </w:tcPr>
          <w:p>
            <w:r>
              <w:rPr>
                <w:rFonts w:ascii="Courier New" w:hAnsi="Courier New"/>
              </w:rPr>
              <w:t>source</w:t>
            </w:r>
          </w:p>
        </w:tc>
        <w:tc>
          <w:tcPr>
            <w:tcW w:type="dxa" w:w="3230"/>
          </w:tcPr>
          <w:p>
            <w:r>
              <w:t>string</w:t>
            </w:r>
          </w:p>
        </w:tc>
        <w:tc>
          <w:tcPr>
            <w:tcW w:type="dxa" w:w="3230"/>
          </w:tcPr>
          <w:p>
            <w:r>
              <w:t>Data source: 'krisha' or 'olx'</w:t>
            </w:r>
          </w:p>
        </w:tc>
      </w:tr>
      <w:tr>
        <w:tc>
          <w:tcPr>
            <w:tcW w:type="dxa" w:w="3230"/>
            <w:shd w:fill="EBF3FB" w:color="auto" w:val="clear"/>
          </w:tcPr>
          <w:p>
            <w:r>
              <w:rPr>
                <w:rFonts w:ascii="Courier New" w:hAnsi="Courier New"/>
              </w:rPr>
              <w:t>city</w:t>
            </w:r>
          </w:p>
        </w:tc>
        <w:tc>
          <w:tcPr>
            <w:tcW w:type="dxa" w:w="3230"/>
            <w:shd w:fill="EBF3FB" w:color="auto" w:val="clear"/>
          </w:tcPr>
          <w:p>
            <w:r>
              <w:t>string</w:t>
            </w:r>
          </w:p>
        </w:tc>
        <w:tc>
          <w:tcPr>
            <w:tcW w:type="dxa" w:w="3230"/>
            <w:shd w:fill="F7FBFF" w:color="auto" w:val="clear"/>
          </w:tcPr>
          <w:p>
            <w:r>
              <w:t>City: Астана, Алматы, Шымкент, Карагандa, Актобе</w:t>
            </w:r>
          </w:p>
        </w:tc>
      </w:tr>
      <w:tr>
        <w:tc>
          <w:tcPr>
            <w:tcW w:type="dxa" w:w="3230"/>
          </w:tcPr>
          <w:p>
            <w:r>
              <w:rPr>
                <w:rFonts w:ascii="Courier New" w:hAnsi="Courier New"/>
              </w:rPr>
              <w:t>district</w:t>
            </w:r>
          </w:p>
        </w:tc>
        <w:tc>
          <w:tcPr>
            <w:tcW w:type="dxa" w:w="3230"/>
          </w:tcPr>
          <w:p>
            <w:r>
              <w:t>string</w:t>
            </w:r>
          </w:p>
        </w:tc>
        <w:tc>
          <w:tcPr>
            <w:tcW w:type="dxa" w:w="3230"/>
          </w:tcPr>
          <w:p>
            <w:r>
              <w:t>City district (neighbourhood)</w:t>
            </w:r>
          </w:p>
        </w:tc>
      </w:tr>
      <w:tr>
        <w:tc>
          <w:tcPr>
            <w:tcW w:type="dxa" w:w="3230"/>
            <w:shd w:fill="EBF3FB" w:color="auto" w:val="clear"/>
          </w:tcPr>
          <w:p>
            <w:r>
              <w:rPr>
                <w:rFonts w:ascii="Courier New" w:hAnsi="Courier New"/>
              </w:rPr>
              <w:t>rooms</w:t>
            </w:r>
          </w:p>
        </w:tc>
        <w:tc>
          <w:tcPr>
            <w:tcW w:type="dxa" w:w="3230"/>
            <w:shd w:fill="EBF3FB" w:color="auto" w:val="clear"/>
          </w:tcPr>
          <w:p>
            <w:r>
              <w:t>integer</w:t>
            </w:r>
          </w:p>
        </w:tc>
        <w:tc>
          <w:tcPr>
            <w:tcW w:type="dxa" w:w="3230"/>
            <w:shd w:fill="F7FBFF" w:color="auto" w:val="clear"/>
          </w:tcPr>
          <w:p>
            <w:r>
              <w:t>Number of rooms (0=studio, 1, 2, 3, 4+)</w:t>
            </w:r>
          </w:p>
        </w:tc>
      </w:tr>
      <w:tr>
        <w:tc>
          <w:tcPr>
            <w:tcW w:type="dxa" w:w="3230"/>
          </w:tcPr>
          <w:p>
            <w:r>
              <w:rPr>
                <w:rFonts w:ascii="Courier New" w:hAnsi="Courier New"/>
              </w:rPr>
              <w:t>area_m2</w:t>
            </w:r>
          </w:p>
        </w:tc>
        <w:tc>
          <w:tcPr>
            <w:tcW w:type="dxa" w:w="3230"/>
          </w:tcPr>
          <w:p>
            <w:r>
              <w:t>float</w:t>
            </w:r>
          </w:p>
        </w:tc>
        <w:tc>
          <w:tcPr>
            <w:tcW w:type="dxa" w:w="3230"/>
          </w:tcPr>
          <w:p>
            <w:r>
              <w:t>Apartment area in square meters</w:t>
            </w:r>
          </w:p>
        </w:tc>
      </w:tr>
      <w:tr>
        <w:tc>
          <w:tcPr>
            <w:tcW w:type="dxa" w:w="3230"/>
            <w:shd w:fill="EBF3FB" w:color="auto" w:val="clear"/>
          </w:tcPr>
          <w:p>
            <w:r>
              <w:rPr>
                <w:rFonts w:ascii="Courier New" w:hAnsi="Courier New"/>
              </w:rPr>
              <w:t>floor</w:t>
            </w:r>
          </w:p>
        </w:tc>
        <w:tc>
          <w:tcPr>
            <w:tcW w:type="dxa" w:w="3230"/>
            <w:shd w:fill="EBF3FB" w:color="auto" w:val="clear"/>
          </w:tcPr>
          <w:p>
            <w:r>
              <w:t>integer</w:t>
            </w:r>
          </w:p>
        </w:tc>
        <w:tc>
          <w:tcPr>
            <w:tcW w:type="dxa" w:w="3230"/>
            <w:shd w:fill="F7FBFF" w:color="auto" w:val="clear"/>
          </w:tcPr>
          <w:p>
            <w:r>
              <w:t>Floor number in the building</w:t>
            </w:r>
          </w:p>
        </w:tc>
      </w:tr>
      <w:tr>
        <w:tc>
          <w:tcPr>
            <w:tcW w:type="dxa" w:w="3230"/>
          </w:tcPr>
          <w:p>
            <w:r>
              <w:rPr>
                <w:rFonts w:ascii="Courier New" w:hAnsi="Courier New"/>
              </w:rPr>
              <w:t>total_floors</w:t>
            </w:r>
          </w:p>
        </w:tc>
        <w:tc>
          <w:tcPr>
            <w:tcW w:type="dxa" w:w="3230"/>
          </w:tcPr>
          <w:p>
            <w:r>
              <w:t>integer</w:t>
            </w:r>
          </w:p>
        </w:tc>
        <w:tc>
          <w:tcPr>
            <w:tcW w:type="dxa" w:w="3230"/>
          </w:tcPr>
          <w:p>
            <w:r>
              <w:t>Total number of floors in the building</w:t>
            </w:r>
          </w:p>
        </w:tc>
      </w:tr>
      <w:tr>
        <w:tc>
          <w:tcPr>
            <w:tcW w:type="dxa" w:w="3230"/>
            <w:shd w:fill="EBF3FB" w:color="auto" w:val="clear"/>
          </w:tcPr>
          <w:p>
            <w:r>
              <w:rPr>
                <w:rFonts w:ascii="Courier New" w:hAnsi="Courier New"/>
              </w:rPr>
              <w:t>price_tenge</w:t>
            </w:r>
          </w:p>
        </w:tc>
        <w:tc>
          <w:tcPr>
            <w:tcW w:type="dxa" w:w="3230"/>
            <w:shd w:fill="EBF3FB" w:color="auto" w:val="clear"/>
          </w:tcPr>
          <w:p>
            <w:r>
              <w:t>integer</w:t>
            </w:r>
          </w:p>
        </w:tc>
        <w:tc>
          <w:tcPr>
            <w:tcW w:type="dxa" w:w="3230"/>
            <w:shd w:fill="F7FBFF" w:color="auto" w:val="clear"/>
          </w:tcPr>
          <w:p>
            <w:r>
              <w:t>Monthly rental price in Kazakhstani tenge</w:t>
            </w:r>
          </w:p>
        </w:tc>
      </w:tr>
      <w:tr>
        <w:tc>
          <w:tcPr>
            <w:tcW w:type="dxa" w:w="3230"/>
          </w:tcPr>
          <w:p>
            <w:r>
              <w:rPr>
                <w:rFonts w:ascii="Courier New" w:hAnsi="Courier New"/>
              </w:rPr>
              <w:t>price_per_m2</w:t>
            </w:r>
          </w:p>
        </w:tc>
        <w:tc>
          <w:tcPr>
            <w:tcW w:type="dxa" w:w="3230"/>
          </w:tcPr>
          <w:p>
            <w:r>
              <w:t>float</w:t>
            </w:r>
          </w:p>
        </w:tc>
        <w:tc>
          <w:tcPr>
            <w:tcW w:type="dxa" w:w="3230"/>
          </w:tcPr>
          <w:p>
            <w:r>
              <w:t>Calculated: price_tenge / area_m2 (tenge per m²)</w:t>
            </w:r>
          </w:p>
        </w:tc>
      </w:tr>
      <w:tr>
        <w:tc>
          <w:tcPr>
            <w:tcW w:type="dxa" w:w="3230"/>
            <w:shd w:fill="EBF3FB" w:color="auto" w:val="clear"/>
          </w:tcPr>
          <w:p>
            <w:r>
              <w:rPr>
                <w:rFonts w:ascii="Courier New" w:hAnsi="Courier New"/>
              </w:rPr>
              <w:t>seller_type</w:t>
            </w:r>
          </w:p>
        </w:tc>
        <w:tc>
          <w:tcPr>
            <w:tcW w:type="dxa" w:w="3230"/>
            <w:shd w:fill="EBF3FB" w:color="auto" w:val="clear"/>
          </w:tcPr>
          <w:p>
            <w:r>
              <w:t>string</w:t>
            </w:r>
          </w:p>
        </w:tc>
        <w:tc>
          <w:tcPr>
            <w:tcW w:type="dxa" w:w="3230"/>
            <w:shd w:fill="F7FBFF" w:color="auto" w:val="clear"/>
          </w:tcPr>
          <w:p>
            <w:r>
              <w:t>Seller type: owner / agency / unknown</w:t>
            </w:r>
          </w:p>
        </w:tc>
      </w:tr>
      <w:tr>
        <w:tc>
          <w:tcPr>
            <w:tcW w:type="dxa" w:w="3230"/>
          </w:tcPr>
          <w:p>
            <w:r>
              <w:rPr>
                <w:rFonts w:ascii="Courier New" w:hAnsi="Courier New"/>
              </w:rPr>
              <w:t>listing_date</w:t>
            </w:r>
          </w:p>
        </w:tc>
        <w:tc>
          <w:tcPr>
            <w:tcW w:type="dxa" w:w="3230"/>
          </w:tcPr>
          <w:p>
            <w:r>
              <w:t>string</w:t>
            </w:r>
          </w:p>
        </w:tc>
        <w:tc>
          <w:tcPr>
            <w:tcW w:type="dxa" w:w="3230"/>
          </w:tcPr>
          <w:p>
            <w:r>
              <w:t>Publication date (YYYY-MM-DD format)</w:t>
            </w:r>
          </w:p>
        </w:tc>
      </w:tr>
    </w:tbl>
    <w:p/>
    <w:p>
      <w:pPr>
        <w:pStyle w:val="Heading2"/>
        <w:jc w:val="left"/>
      </w:pPr>
      <w:r>
        <w:t>3.4 Parser Code (parser.py)</w:t>
      </w:r>
    </w:p>
    <w:p>
      <w:pPr>
        <w:jc w:val="both"/>
      </w:pPr>
      <w:r>
        <w:t>The parser implements two main functions: parse_krisha() for Krisha.kz and parse_olx() for OLX.kz. Key technical details:</w:t>
      </w:r>
    </w:p>
    <w:p>
      <w:pPr>
        <w:pStyle w:val="ListBullet"/>
      </w:pPr>
      <w:r>
        <w:t>parse_krisha(city_slug, max_pages=50) — parses rental listings for a given city. Uses CSS selector 'div.a-card' to find listing cards.</w:t>
      </w:r>
    </w:p>
    <w:p>
      <w:pPr>
        <w:pStyle w:val="ListBullet"/>
      </w:pPr>
      <w:r>
        <w:t>Title format on Krisha: '2-комнатная квартира · 54 м² · 7/16 этаж' — rooms, area, and floor are extracted with regular expressions.</w:t>
      </w:r>
    </w:p>
    <w:p>
      <w:pPr>
        <w:pStyle w:val="ListBullet"/>
      </w:pPr>
      <w:r>
        <w:t>Price is extracted from '.a-card__price' element using regex to remove non-digit characters.</w:t>
      </w:r>
    </w:p>
    <w:p>
      <w:pPr>
        <w:pStyle w:val="ListBullet"/>
      </w:pPr>
      <w:r>
        <w:t>District is extracted from '.a-card__subtitle' (first part before comma).</w:t>
      </w:r>
    </w:p>
    <w:p>
      <w:pPr>
        <w:pStyle w:val="ListBullet"/>
      </w:pPr>
      <w:r>
        <w:t>If HTTP status != 200 — sys.exit() is called with an error message.</w:t>
      </w:r>
    </w:p>
    <w:p>
      <w:pPr>
        <w:pStyle w:val="ListBullet"/>
      </w:pPr>
      <w:r>
        <w:t>price_per_m2 is calculated programmatically: round(price_tenge / area_m2, 1)</w:t>
      </w:r>
    </w:p>
    <w:p>
      <w:pPr>
        <w:pStyle w:val="Heading2"/>
        <w:jc w:val="left"/>
      </w:pPr>
      <w:r>
        <w:t>3.5 Collection Results</w:t>
      </w:r>
    </w:p>
    <w:tbl>
      <w:tblPr>
        <w:tblStyle w:val="TableGrid"/>
        <w:tblW w:type="auto" w:w="0"/>
        <w:tblLook w:firstColumn="1" w:firstRow="1" w:lastColumn="0" w:lastRow="0" w:noHBand="0" w:noVBand="1" w:val="04A0"/>
      </w:tblPr>
      <w:tblGrid>
        <w:gridCol w:w="3230"/>
        <w:gridCol w:w="3230"/>
        <w:gridCol w:w="3230"/>
      </w:tblGrid>
      <w:tr>
        <w:tc>
          <w:tcPr>
            <w:tcW w:type="dxa" w:w="3230"/>
            <w:shd w:fill="378ADD" w:color="auto" w:val="clear"/>
          </w:tcPr>
          <w:p>
            <w:r>
              <w:rPr>
                <w:b/>
                <w:color w:val="FFFFFF"/>
              </w:rPr>
              <w:t>City</w:t>
            </w:r>
          </w:p>
        </w:tc>
        <w:tc>
          <w:tcPr>
            <w:tcW w:type="dxa" w:w="3230"/>
            <w:shd w:fill="378ADD" w:color="auto" w:val="clear"/>
          </w:tcPr>
          <w:p>
            <w:r>
              <w:rPr>
                <w:b/>
                <w:color w:val="FFFFFF"/>
              </w:rPr>
              <w:t>Source</w:t>
            </w:r>
          </w:p>
        </w:tc>
        <w:tc>
          <w:tcPr>
            <w:tcW w:type="dxa" w:w="3230"/>
            <w:shd w:fill="378ADD" w:color="auto" w:val="clear"/>
          </w:tcPr>
          <w:p>
            <w:r>
              <w:rPr>
                <w:b/>
                <w:color w:val="FFFFFF"/>
              </w:rPr>
              <w:t>Records</w:t>
            </w:r>
          </w:p>
        </w:tc>
      </w:tr>
      <w:tr>
        <w:tc>
          <w:tcPr>
            <w:tcW w:type="dxa" w:w="3230"/>
            <w:shd w:fill="EBF3FB" w:color="auto" w:val="clear"/>
          </w:tcPr>
          <w:p>
            <w:r>
              <w:t>Алматы</w:t>
            </w:r>
          </w:p>
        </w:tc>
        <w:tc>
          <w:tcPr>
            <w:tcW w:type="dxa" w:w="3230"/>
            <w:shd w:fill="EBF3FB" w:color="auto" w:val="clear"/>
          </w:tcPr>
          <w:p>
            <w:r>
              <w:t>krisha / olx</w:t>
            </w:r>
          </w:p>
        </w:tc>
        <w:tc>
          <w:tcPr>
            <w:tcW w:type="dxa" w:w="3230"/>
            <w:shd w:fill="EBF3FB" w:color="auto" w:val="clear"/>
          </w:tcPr>
          <w:p>
            <w:r>
              <w:t>1,575</w:t>
            </w:r>
          </w:p>
        </w:tc>
      </w:tr>
      <w:tr>
        <w:tc>
          <w:tcPr>
            <w:tcW w:type="dxa" w:w="3230"/>
          </w:tcPr>
          <w:p>
            <w:r>
              <w:t>Астана</w:t>
            </w:r>
          </w:p>
        </w:tc>
        <w:tc>
          <w:tcPr>
            <w:tcW w:type="dxa" w:w="3230"/>
          </w:tcPr>
          <w:p>
            <w:r>
              <w:t>krisha / olx</w:t>
            </w:r>
          </w:p>
        </w:tc>
        <w:tc>
          <w:tcPr>
            <w:tcW w:type="dxa" w:w="3230"/>
          </w:tcPr>
          <w:p>
            <w:r>
              <w:t>1,542</w:t>
            </w:r>
          </w:p>
        </w:tc>
      </w:tr>
      <w:tr>
        <w:tc>
          <w:tcPr>
            <w:tcW w:type="dxa" w:w="3230"/>
            <w:shd w:fill="EBF3FB" w:color="auto" w:val="clear"/>
          </w:tcPr>
          <w:p>
            <w:r>
              <w:t>Шымкент</w:t>
            </w:r>
          </w:p>
        </w:tc>
        <w:tc>
          <w:tcPr>
            <w:tcW w:type="dxa" w:w="3230"/>
            <w:shd w:fill="EBF3FB" w:color="auto" w:val="clear"/>
          </w:tcPr>
          <w:p>
            <w:r>
              <w:t>krisha / olx</w:t>
            </w:r>
          </w:p>
        </w:tc>
        <w:tc>
          <w:tcPr>
            <w:tcW w:type="dxa" w:w="3230"/>
            <w:shd w:fill="EBF3FB" w:color="auto" w:val="clear"/>
          </w:tcPr>
          <w:p>
            <w:r>
              <w:t>1,095</w:t>
            </w:r>
          </w:p>
        </w:tc>
      </w:tr>
      <w:tr>
        <w:tc>
          <w:tcPr>
            <w:tcW w:type="dxa" w:w="3230"/>
          </w:tcPr>
          <w:p>
            <w:r>
              <w:t>Актобе</w:t>
            </w:r>
          </w:p>
        </w:tc>
        <w:tc>
          <w:tcPr>
            <w:tcW w:type="dxa" w:w="3230"/>
          </w:tcPr>
          <w:p>
            <w:r>
              <w:t>krisha / olx</w:t>
            </w:r>
          </w:p>
        </w:tc>
        <w:tc>
          <w:tcPr>
            <w:tcW w:type="dxa" w:w="3230"/>
          </w:tcPr>
          <w:p>
            <w:r>
              <w:t>1,003</w:t>
            </w:r>
          </w:p>
        </w:tc>
      </w:tr>
      <w:tr>
        <w:tc>
          <w:tcPr>
            <w:tcW w:type="dxa" w:w="3230"/>
            <w:shd w:fill="EBF3FB" w:color="auto" w:val="clear"/>
          </w:tcPr>
          <w:p>
            <w:r>
              <w:t>Карагандa</w:t>
            </w:r>
          </w:p>
        </w:tc>
        <w:tc>
          <w:tcPr>
            <w:tcW w:type="dxa" w:w="3230"/>
            <w:shd w:fill="EBF3FB" w:color="auto" w:val="clear"/>
          </w:tcPr>
          <w:p>
            <w:r>
              <w:t>krisha / olx</w:t>
            </w:r>
          </w:p>
        </w:tc>
        <w:tc>
          <w:tcPr>
            <w:tcW w:type="dxa" w:w="3230"/>
            <w:shd w:fill="EBF3FB" w:color="auto" w:val="clear"/>
          </w:tcPr>
          <w:p>
            <w:r>
              <w:t>1,002</w:t>
            </w:r>
          </w:p>
        </w:tc>
      </w:tr>
      <w:tr>
        <w:tc>
          <w:tcPr>
            <w:tcW w:type="dxa" w:w="3230"/>
            <w:shd w:fill="D6EAF8" w:color="auto" w:val="clear"/>
          </w:tcPr>
          <w:p>
            <w:r>
              <w:rPr>
                <w:b/>
              </w:rPr>
              <w:t>TOTAL</w:t>
            </w:r>
          </w:p>
        </w:tc>
        <w:tc>
          <w:tcPr>
            <w:tcW w:type="dxa" w:w="3230"/>
            <w:shd w:fill="D6EAF8" w:color="auto" w:val="clear"/>
          </w:tcPr>
          <w:p>
            <w:r>
              <w:rPr>
                <w:b/>
              </w:rPr>
            </w:r>
          </w:p>
        </w:tc>
        <w:tc>
          <w:tcPr>
            <w:tcW w:type="dxa" w:w="3230"/>
            <w:shd w:fill="D6EAF8" w:color="auto" w:val="clear"/>
          </w:tcPr>
          <w:p>
            <w:r>
              <w:rPr>
                <w:b/>
              </w:rPr>
              <w:t>6,217</w:t>
            </w:r>
          </w:p>
        </w:tc>
      </w:tr>
    </w:tbl>
    <w:p/>
    <w:p>
      <w:pPr>
        <w:pStyle w:val="Heading2"/>
        <w:jc w:val="left"/>
      </w:pPr>
      <w:r>
        <w:t>3.6 Data Analysis</w:t>
      </w:r>
    </w:p>
    <w:p>
      <w:pPr>
        <w:pStyle w:val="Heading3"/>
        <w:jc w:val="left"/>
      </w:pPr>
      <w:r>
        <w:t>3.6.1 Average Rental Price by City</w:t>
      </w:r>
    </w:p>
    <w:tbl>
      <w:tblPr>
        <w:tblStyle w:val="TableGrid"/>
        <w:tblW w:type="auto" w:w="0"/>
        <w:tblLook w:firstColumn="1" w:firstRow="1" w:lastColumn="0" w:lastRow="0" w:noHBand="0" w:noVBand="1" w:val="04A0"/>
      </w:tblPr>
      <w:tblGrid>
        <w:gridCol w:w="3230"/>
        <w:gridCol w:w="3230"/>
        <w:gridCol w:w="3230"/>
      </w:tblGrid>
      <w:tr>
        <w:tc>
          <w:tcPr>
            <w:tcW w:type="dxa" w:w="3230"/>
            <w:shd w:fill="378ADD" w:color="auto" w:val="clear"/>
          </w:tcPr>
          <w:p>
            <w:r>
              <w:rPr>
                <w:b/>
                <w:color w:val="FFFFFF"/>
              </w:rPr>
              <w:t>City</w:t>
            </w:r>
          </w:p>
        </w:tc>
        <w:tc>
          <w:tcPr>
            <w:tcW w:type="dxa" w:w="3230"/>
            <w:shd w:fill="378ADD" w:color="auto" w:val="clear"/>
          </w:tcPr>
          <w:p>
            <w:r>
              <w:rPr>
                <w:b/>
                <w:color w:val="FFFFFF"/>
              </w:rPr>
              <w:t>Avg price (tenge/month)</w:t>
            </w:r>
          </w:p>
        </w:tc>
        <w:tc>
          <w:tcPr>
            <w:tcW w:type="dxa" w:w="3230"/>
            <w:shd w:fill="378ADD" w:color="auto" w:val="clear"/>
          </w:tcPr>
          <w:p>
            <w:r>
              <w:rPr>
                <w:b/>
                <w:color w:val="FFFFFF"/>
              </w:rPr>
              <w:t>Avg price (tenge/m²)</w:t>
            </w:r>
          </w:p>
        </w:tc>
      </w:tr>
      <w:tr>
        <w:tc>
          <w:tcPr>
            <w:tcW w:type="dxa" w:w="3230"/>
            <w:shd w:fill="F7FBFF" w:color="auto" w:val="clear"/>
          </w:tcPr>
          <w:p>
            <w:r>
              <w:t>Актобе</w:t>
            </w:r>
          </w:p>
        </w:tc>
        <w:tc>
          <w:tcPr>
            <w:tcW w:type="dxa" w:w="3230"/>
            <w:shd w:fill="F7FBFF" w:color="auto" w:val="clear"/>
          </w:tcPr>
          <w:p>
            <w:r>
              <w:t>168,068 tg</w:t>
            </w:r>
          </w:p>
        </w:tc>
        <w:tc>
          <w:tcPr>
            <w:tcW w:type="dxa" w:w="3230"/>
            <w:shd w:fill="F7FBFF" w:color="auto" w:val="clear"/>
          </w:tcPr>
          <w:p>
            <w:r>
              <w:t>2,990 tg/m²</w:t>
            </w:r>
          </w:p>
        </w:tc>
      </w:tr>
      <w:tr>
        <w:tc>
          <w:tcPr>
            <w:tcW w:type="dxa" w:w="3230"/>
          </w:tcPr>
          <w:p>
            <w:r>
              <w:t>Алматы</w:t>
            </w:r>
          </w:p>
        </w:tc>
        <w:tc>
          <w:tcPr>
            <w:tcW w:type="dxa" w:w="3230"/>
          </w:tcPr>
          <w:p>
            <w:r>
              <w:t>392,447 tg</w:t>
            </w:r>
          </w:p>
        </w:tc>
        <w:tc>
          <w:tcPr>
            <w:tcW w:type="dxa" w:w="3230"/>
          </w:tcPr>
          <w:p>
            <w:r>
              <w:t>6,398 tg/m²</w:t>
            </w:r>
          </w:p>
        </w:tc>
      </w:tr>
      <w:tr>
        <w:tc>
          <w:tcPr>
            <w:tcW w:type="dxa" w:w="3230"/>
            <w:shd w:fill="F7FBFF" w:color="auto" w:val="clear"/>
          </w:tcPr>
          <w:p>
            <w:r>
              <w:t>Астана</w:t>
            </w:r>
          </w:p>
        </w:tc>
        <w:tc>
          <w:tcPr>
            <w:tcW w:type="dxa" w:w="3230"/>
            <w:shd w:fill="F7FBFF" w:color="auto" w:val="clear"/>
          </w:tcPr>
          <w:p>
            <w:r>
              <w:t>308,196 tg</w:t>
            </w:r>
          </w:p>
        </w:tc>
        <w:tc>
          <w:tcPr>
            <w:tcW w:type="dxa" w:w="3230"/>
            <w:shd w:fill="F7FBFF" w:color="auto" w:val="clear"/>
          </w:tcPr>
          <w:p>
            <w:r>
              <w:t>5,253 tg/m²</w:t>
            </w:r>
          </w:p>
        </w:tc>
      </w:tr>
      <w:tr>
        <w:tc>
          <w:tcPr>
            <w:tcW w:type="dxa" w:w="3230"/>
          </w:tcPr>
          <w:p>
            <w:r>
              <w:t>Карагандa</w:t>
            </w:r>
          </w:p>
        </w:tc>
        <w:tc>
          <w:tcPr>
            <w:tcW w:type="dxa" w:w="3230"/>
          </w:tcPr>
          <w:p>
            <w:r>
              <w:t>194,961 tg</w:t>
            </w:r>
          </w:p>
        </w:tc>
        <w:tc>
          <w:tcPr>
            <w:tcW w:type="dxa" w:w="3230"/>
          </w:tcPr>
          <w:p>
            <w:r>
              <w:t>3,913 tg/m²</w:t>
            </w:r>
          </w:p>
        </w:tc>
      </w:tr>
      <w:tr>
        <w:tc>
          <w:tcPr>
            <w:tcW w:type="dxa" w:w="3230"/>
            <w:shd w:fill="F7FBFF" w:color="auto" w:val="clear"/>
          </w:tcPr>
          <w:p>
            <w:r>
              <w:t>Шымкент</w:t>
            </w:r>
          </w:p>
        </w:tc>
        <w:tc>
          <w:tcPr>
            <w:tcW w:type="dxa" w:w="3230"/>
            <w:shd w:fill="F7FBFF" w:color="auto" w:val="clear"/>
          </w:tcPr>
          <w:p>
            <w:r>
              <w:t>197,708 tg</w:t>
            </w:r>
          </w:p>
        </w:tc>
        <w:tc>
          <w:tcPr>
            <w:tcW w:type="dxa" w:w="3230"/>
            <w:shd w:fill="F7FBFF" w:color="auto" w:val="clear"/>
          </w:tcPr>
          <w:p>
            <w:r>
              <w:t>3,491 tg/m²</w:t>
            </w:r>
          </w:p>
        </w:tc>
      </w:tr>
    </w:tbl>
    <w:p/>
    <w:p>
      <w:pPr>
        <w:pStyle w:val="Heading3"/>
        <w:jc w:val="left"/>
      </w:pPr>
      <w:r>
        <w:t>3.6.2 Distribution by Number of Rooms</w:t>
      </w:r>
    </w:p>
    <w:tbl>
      <w:tblPr>
        <w:tblStyle w:val="TableGrid"/>
        <w:tblW w:type="auto" w:w="0"/>
        <w:tblLook w:firstColumn="1" w:firstRow="1" w:lastColumn="0" w:lastRow="0" w:noHBand="0" w:noVBand="1" w:val="04A0"/>
      </w:tblPr>
      <w:tblGrid>
        <w:gridCol w:w="3230"/>
        <w:gridCol w:w="3230"/>
        <w:gridCol w:w="3230"/>
      </w:tblGrid>
      <w:tr>
        <w:tc>
          <w:tcPr>
            <w:tcW w:type="dxa" w:w="3230"/>
            <w:shd w:fill="378ADD" w:color="auto" w:val="clear"/>
          </w:tcPr>
          <w:p>
            <w:r>
              <w:rPr>
                <w:b/>
                <w:color w:val="FFFFFF"/>
              </w:rPr>
              <w:t>Apartment Type</w:t>
            </w:r>
          </w:p>
        </w:tc>
        <w:tc>
          <w:tcPr>
            <w:tcW w:type="dxa" w:w="3230"/>
            <w:shd w:fill="378ADD" w:color="auto" w:val="clear"/>
          </w:tcPr>
          <w:p>
            <w:r>
              <w:rPr>
                <w:b/>
                <w:color w:val="FFFFFF"/>
              </w:rPr>
              <w:t>Count</w:t>
            </w:r>
          </w:p>
        </w:tc>
        <w:tc>
          <w:tcPr>
            <w:tcW w:type="dxa" w:w="3230"/>
            <w:shd w:fill="378ADD" w:color="auto" w:val="clear"/>
          </w:tcPr>
          <w:p>
            <w:r>
              <w:rPr>
                <w:b/>
                <w:color w:val="FFFFFF"/>
              </w:rPr>
              <w:t>Share</w:t>
            </w:r>
          </w:p>
        </w:tc>
      </w:tr>
      <w:tr>
        <w:tc>
          <w:tcPr>
            <w:tcW w:type="dxa" w:w="3230"/>
            <w:shd w:fill="F7FBFF" w:color="auto" w:val="clear"/>
          </w:tcPr>
          <w:p>
            <w:r>
              <w:t>1-комн</w:t>
            </w:r>
          </w:p>
        </w:tc>
        <w:tc>
          <w:tcPr>
            <w:tcW w:type="dxa" w:w="3230"/>
            <w:shd w:fill="F7FBFF" w:color="auto" w:val="clear"/>
          </w:tcPr>
          <w:p>
            <w:r>
              <w:t>2,319</w:t>
            </w:r>
          </w:p>
        </w:tc>
        <w:tc>
          <w:tcPr>
            <w:tcW w:type="dxa" w:w="3230"/>
            <w:shd w:fill="F7FBFF" w:color="auto" w:val="clear"/>
          </w:tcPr>
          <w:p>
            <w:r>
              <w:t>37.3%</w:t>
            </w:r>
          </w:p>
        </w:tc>
      </w:tr>
      <w:tr>
        <w:tc>
          <w:tcPr>
            <w:tcW w:type="dxa" w:w="3230"/>
          </w:tcPr>
          <w:p>
            <w:r>
              <w:t>2-комн</w:t>
            </w:r>
          </w:p>
        </w:tc>
        <w:tc>
          <w:tcPr>
            <w:tcW w:type="dxa" w:w="3230"/>
          </w:tcPr>
          <w:p>
            <w:r>
              <w:t>2,766</w:t>
            </w:r>
          </w:p>
        </w:tc>
        <w:tc>
          <w:tcPr>
            <w:tcW w:type="dxa" w:w="3230"/>
          </w:tcPr>
          <w:p>
            <w:r>
              <w:t>44.5%</w:t>
            </w:r>
          </w:p>
        </w:tc>
      </w:tr>
      <w:tr>
        <w:tc>
          <w:tcPr>
            <w:tcW w:type="dxa" w:w="3230"/>
            <w:shd w:fill="F7FBFF" w:color="auto" w:val="clear"/>
          </w:tcPr>
          <w:p>
            <w:r>
              <w:t>3-комн</w:t>
            </w:r>
          </w:p>
        </w:tc>
        <w:tc>
          <w:tcPr>
            <w:tcW w:type="dxa" w:w="3230"/>
            <w:shd w:fill="F7FBFF" w:color="auto" w:val="clear"/>
          </w:tcPr>
          <w:p>
            <w:r>
              <w:t>950</w:t>
            </w:r>
          </w:p>
        </w:tc>
        <w:tc>
          <w:tcPr>
            <w:tcW w:type="dxa" w:w="3230"/>
            <w:shd w:fill="F7FBFF" w:color="auto" w:val="clear"/>
          </w:tcPr>
          <w:p>
            <w:r>
              <w:t>15.3%</w:t>
            </w:r>
          </w:p>
        </w:tc>
      </w:tr>
      <w:tr>
        <w:tc>
          <w:tcPr>
            <w:tcW w:type="dxa" w:w="3230"/>
          </w:tcPr>
          <w:p>
            <w:r>
              <w:t>4-комн и более</w:t>
            </w:r>
          </w:p>
        </w:tc>
        <w:tc>
          <w:tcPr>
            <w:tcW w:type="dxa" w:w="3230"/>
          </w:tcPr>
          <w:p>
            <w:r>
              <w:t>140</w:t>
            </w:r>
          </w:p>
        </w:tc>
        <w:tc>
          <w:tcPr>
            <w:tcW w:type="dxa" w:w="3230"/>
          </w:tcPr>
          <w:p>
            <w:r>
              <w:t>2.3%</w:t>
            </w:r>
          </w:p>
        </w:tc>
      </w:tr>
      <w:tr>
        <w:tc>
          <w:tcPr>
            <w:tcW w:type="dxa" w:w="3230"/>
            <w:shd w:fill="F7FBFF" w:color="auto" w:val="clear"/>
          </w:tcPr>
          <w:p>
            <w:r>
              <w:t>5-комн</w:t>
            </w:r>
          </w:p>
        </w:tc>
        <w:tc>
          <w:tcPr>
            <w:tcW w:type="dxa" w:w="3230"/>
            <w:shd w:fill="F7FBFF" w:color="auto" w:val="clear"/>
          </w:tcPr>
          <w:p>
            <w:r>
              <w:t>28</w:t>
            </w:r>
          </w:p>
        </w:tc>
        <w:tc>
          <w:tcPr>
            <w:tcW w:type="dxa" w:w="3230"/>
            <w:shd w:fill="F7FBFF" w:color="auto" w:val="clear"/>
          </w:tcPr>
          <w:p>
            <w:r>
              <w:t>0.5%</w:t>
            </w:r>
          </w:p>
        </w:tc>
      </w:tr>
      <w:tr>
        <w:tc>
          <w:tcPr>
            <w:tcW w:type="dxa" w:w="3230"/>
          </w:tcPr>
          <w:p>
            <w:r>
              <w:t>6-комн</w:t>
            </w:r>
          </w:p>
        </w:tc>
        <w:tc>
          <w:tcPr>
            <w:tcW w:type="dxa" w:w="3230"/>
          </w:tcPr>
          <w:p>
            <w:r>
              <w:t>9</w:t>
            </w:r>
          </w:p>
        </w:tc>
        <w:tc>
          <w:tcPr>
            <w:tcW w:type="dxa" w:w="3230"/>
          </w:tcPr>
          <w:p>
            <w:r>
              <w:t>0.1%</w:t>
            </w:r>
          </w:p>
        </w:tc>
      </w:tr>
      <w:tr>
        <w:tc>
          <w:tcPr>
            <w:tcW w:type="dxa" w:w="3230"/>
            <w:shd w:fill="F7FBFF" w:color="auto" w:val="clear"/>
          </w:tcPr>
          <w:p>
            <w:r>
              <w:t>7-комн</w:t>
            </w:r>
          </w:p>
        </w:tc>
        <w:tc>
          <w:tcPr>
            <w:tcW w:type="dxa" w:w="3230"/>
            <w:shd w:fill="F7FBFF" w:color="auto" w:val="clear"/>
          </w:tcPr>
          <w:p>
            <w:r>
              <w:t>1</w:t>
            </w:r>
          </w:p>
        </w:tc>
        <w:tc>
          <w:tcPr>
            <w:tcW w:type="dxa" w:w="3230"/>
            <w:shd w:fill="F7FBFF" w:color="auto" w:val="clear"/>
          </w:tcPr>
          <w:p>
            <w:r>
              <w:t>0.0%</w:t>
            </w:r>
          </w:p>
        </w:tc>
      </w:tr>
      <w:tr>
        <w:tc>
          <w:tcPr>
            <w:tcW w:type="dxa" w:w="3230"/>
          </w:tcPr>
          <w:p>
            <w:r>
              <w:t>8-комн</w:t>
            </w:r>
          </w:p>
        </w:tc>
        <w:tc>
          <w:tcPr>
            <w:tcW w:type="dxa" w:w="3230"/>
          </w:tcPr>
          <w:p>
            <w:r>
              <w:t>4</w:t>
            </w:r>
          </w:p>
        </w:tc>
        <w:tc>
          <w:tcPr>
            <w:tcW w:type="dxa" w:w="3230"/>
          </w:tcPr>
          <w:p>
            <w:r>
              <w:t>0.1%</w:t>
            </w:r>
          </w:p>
        </w:tc>
      </w:tr>
    </w:tbl>
    <w:p/>
    <w:p>
      <w:pPr>
        <w:pStyle w:val="Heading3"/>
        <w:jc w:val="left"/>
      </w:pPr>
      <w:r>
        <w:t>3.6.3 Top-5 Most Expensive Districts in Astana</w:t>
      </w:r>
    </w:p>
    <w:tbl>
      <w:tblPr>
        <w:tblStyle w:val="TableGrid"/>
        <w:tblW w:type="auto" w:w="0"/>
        <w:tblLook w:firstColumn="1" w:firstRow="1" w:lastColumn="0" w:lastRow="0" w:noHBand="0" w:noVBand="1" w:val="04A0"/>
      </w:tblPr>
      <w:tblGrid>
        <w:gridCol w:w="4844"/>
        <w:gridCol w:w="4844"/>
      </w:tblGrid>
      <w:tr>
        <w:tc>
          <w:tcPr>
            <w:tcW w:type="dxa" w:w="4844"/>
            <w:shd w:fill="378ADD" w:color="auto" w:val="clear"/>
          </w:tcPr>
          <w:p>
            <w:r>
              <w:rPr>
                <w:b/>
                <w:color w:val="FFFFFF"/>
              </w:rPr>
              <w:t>District</w:t>
            </w:r>
          </w:p>
        </w:tc>
        <w:tc>
          <w:tcPr>
            <w:tcW w:type="dxa" w:w="4844"/>
            <w:shd w:fill="378ADD" w:color="auto" w:val="clear"/>
          </w:tcPr>
          <w:p>
            <w:r>
              <w:rPr>
                <w:b/>
                <w:color w:val="FFFFFF"/>
              </w:rPr>
              <w:t>Avg price (tenge/month)</w:t>
            </w:r>
          </w:p>
        </w:tc>
      </w:tr>
      <w:tr>
        <w:tc>
          <w:tcPr>
            <w:tcW w:type="dxa" w:w="4844"/>
            <w:shd w:fill="F7FBFF" w:color="auto" w:val="clear"/>
          </w:tcPr>
          <w:p>
            <w:r>
              <w:t>Байтурсынова 9 — Блок-F . INVICTUS</w:t>
            </w:r>
          </w:p>
        </w:tc>
        <w:tc>
          <w:tcPr>
            <w:tcW w:type="dxa" w:w="4844"/>
            <w:shd w:fill="F7FBFF" w:color="auto" w:val="clear"/>
          </w:tcPr>
          <w:p>
            <w:r>
              <w:t>1,500,000 tg</w:t>
            </w:r>
          </w:p>
        </w:tc>
      </w:tr>
      <w:tr>
        <w:tc>
          <w:tcPr>
            <w:tcW w:type="dxa" w:w="4844"/>
          </w:tcPr>
          <w:p>
            <w:r>
              <w:t>Тауелсиздик 56/2</w:t>
            </w:r>
          </w:p>
        </w:tc>
        <w:tc>
          <w:tcPr>
            <w:tcW w:type="dxa" w:w="4844"/>
          </w:tcPr>
          <w:p>
            <w:r>
              <w:t>1,500,000 tg</w:t>
            </w:r>
          </w:p>
        </w:tc>
      </w:tr>
      <w:tr>
        <w:tc>
          <w:tcPr>
            <w:tcW w:type="dxa" w:w="4844"/>
            <w:shd w:fill="F7FBFF" w:color="auto" w:val="clear"/>
          </w:tcPr>
          <w:p>
            <w:r>
              <w:t>Тауелсиздик 21-25</w:t>
            </w:r>
          </w:p>
        </w:tc>
        <w:tc>
          <w:tcPr>
            <w:tcW w:type="dxa" w:w="4844"/>
            <w:shd w:fill="F7FBFF" w:color="auto" w:val="clear"/>
          </w:tcPr>
          <w:p>
            <w:r>
              <w:t>800,000 tg</w:t>
            </w:r>
          </w:p>
        </w:tc>
      </w:tr>
      <w:tr>
        <w:tc>
          <w:tcPr>
            <w:tcW w:type="dxa" w:w="4844"/>
          </w:tcPr>
          <w:p>
            <w:r>
              <w:t>Сыганак 18/2 — Туркестан</w:t>
            </w:r>
          </w:p>
        </w:tc>
        <w:tc>
          <w:tcPr>
            <w:tcW w:type="dxa" w:w="4844"/>
          </w:tcPr>
          <w:p>
            <w:r>
              <w:t>750,000 tg</w:t>
            </w:r>
          </w:p>
        </w:tc>
      </w:tr>
      <w:tr>
        <w:tc>
          <w:tcPr>
            <w:tcW w:type="dxa" w:w="4844"/>
            <w:shd w:fill="F7FBFF" w:color="auto" w:val="clear"/>
          </w:tcPr>
          <w:p>
            <w:r>
              <w:t>Бокейхана 16/1 — Триумфальная арка</w:t>
            </w:r>
          </w:p>
        </w:tc>
        <w:tc>
          <w:tcPr>
            <w:tcW w:type="dxa" w:w="4844"/>
            <w:shd w:fill="F7FBFF" w:color="auto" w:val="clear"/>
          </w:tcPr>
          <w:p>
            <w:r>
              <w:t>500,000 tg</w:t>
            </w:r>
          </w:p>
        </w:tc>
      </w:tr>
    </w:tbl>
    <w:p/>
    <w:p>
      <w:pPr>
        <w:pStyle w:val="Heading3"/>
        <w:jc w:val="left"/>
      </w:pPr>
      <w:r>
        <w:t>3.6.4 Top-5 Most Expensive Districts in Almaty</w:t>
      </w:r>
    </w:p>
    <w:tbl>
      <w:tblPr>
        <w:tblStyle w:val="TableGrid"/>
        <w:tblW w:type="auto" w:w="0"/>
        <w:tblLook w:firstColumn="1" w:firstRow="1" w:lastColumn="0" w:lastRow="0" w:noHBand="0" w:noVBand="1" w:val="04A0"/>
      </w:tblPr>
      <w:tblGrid>
        <w:gridCol w:w="4844"/>
        <w:gridCol w:w="4844"/>
      </w:tblGrid>
      <w:tr>
        <w:tc>
          <w:tcPr>
            <w:tcW w:type="dxa" w:w="4844"/>
            <w:shd w:fill="378ADD" w:color="auto" w:val="clear"/>
          </w:tcPr>
          <w:p>
            <w:r>
              <w:rPr>
                <w:b/>
                <w:color w:val="FFFFFF"/>
              </w:rPr>
              <w:t>District</w:t>
            </w:r>
          </w:p>
        </w:tc>
        <w:tc>
          <w:tcPr>
            <w:tcW w:type="dxa" w:w="4844"/>
            <w:shd w:fill="378ADD" w:color="auto" w:val="clear"/>
          </w:tcPr>
          <w:p>
            <w:r>
              <w:rPr>
                <w:b/>
                <w:color w:val="FFFFFF"/>
              </w:rPr>
              <w:t>Avg price (tenge/month)</w:t>
            </w:r>
          </w:p>
        </w:tc>
      </w:tr>
      <w:tr>
        <w:tc>
          <w:tcPr>
            <w:tcW w:type="dxa" w:w="4844"/>
            <w:shd w:fill="F7FBFF" w:color="auto" w:val="clear"/>
          </w:tcPr>
          <w:p>
            <w:r>
              <w:t>Кабанбай батыра 87 — Абылай хана</w:t>
            </w:r>
          </w:p>
        </w:tc>
        <w:tc>
          <w:tcPr>
            <w:tcW w:type="dxa" w:w="4844"/>
            <w:shd w:fill="F7FBFF" w:color="auto" w:val="clear"/>
          </w:tcPr>
          <w:p>
            <w:r>
              <w:t>3,999,999 tg</w:t>
            </w:r>
          </w:p>
        </w:tc>
      </w:tr>
      <w:tr>
        <w:tc>
          <w:tcPr>
            <w:tcW w:type="dxa" w:w="4844"/>
          </w:tcPr>
          <w:p>
            <w:r>
              <w:t>Аль-Фараби 77/3 — Весновка</w:t>
            </w:r>
          </w:p>
        </w:tc>
        <w:tc>
          <w:tcPr>
            <w:tcW w:type="dxa" w:w="4844"/>
          </w:tcPr>
          <w:p>
            <w:r>
              <w:t>2,300,000 tg</w:t>
            </w:r>
          </w:p>
        </w:tc>
      </w:tr>
      <w:tr>
        <w:tc>
          <w:tcPr>
            <w:tcW w:type="dxa" w:w="4844"/>
            <w:shd w:fill="F7FBFF" w:color="auto" w:val="clear"/>
          </w:tcPr>
          <w:p>
            <w:r>
              <w:t>Микрорайон Мирас 115</w:t>
            </w:r>
          </w:p>
        </w:tc>
        <w:tc>
          <w:tcPr>
            <w:tcW w:type="dxa" w:w="4844"/>
            <w:shd w:fill="F7FBFF" w:color="auto" w:val="clear"/>
          </w:tcPr>
          <w:p>
            <w:r>
              <w:t>2,300,000 tg</w:t>
            </w:r>
          </w:p>
        </w:tc>
      </w:tr>
      <w:tr>
        <w:tc>
          <w:tcPr>
            <w:tcW w:type="dxa" w:w="4844"/>
          </w:tcPr>
          <w:p>
            <w:r>
              <w:t>Тажибаевой — Розыбакиева Ескараева</w:t>
            </w:r>
          </w:p>
        </w:tc>
        <w:tc>
          <w:tcPr>
            <w:tcW w:type="dxa" w:w="4844"/>
          </w:tcPr>
          <w:p>
            <w:r>
              <w:t>650,000 tg</w:t>
            </w:r>
          </w:p>
        </w:tc>
      </w:tr>
      <w:tr>
        <w:tc>
          <w:tcPr>
            <w:tcW w:type="dxa" w:w="4844"/>
            <w:shd w:fill="F7FBFF" w:color="auto" w:val="clear"/>
          </w:tcPr>
          <w:p>
            <w:r>
              <w:t>Бостандыкский р-н</w:t>
            </w:r>
          </w:p>
        </w:tc>
        <w:tc>
          <w:tcPr>
            <w:tcW w:type="dxa" w:w="4844"/>
            <w:shd w:fill="F7FBFF" w:color="auto" w:val="clear"/>
          </w:tcPr>
          <w:p>
            <w:r>
              <w:t>536,355 tg</w:t>
            </w:r>
          </w:p>
        </w:tc>
      </w:tr>
    </w:tbl>
    <w:p/>
    <w:p>
      <w:pPr>
        <w:pStyle w:val="Heading3"/>
        <w:jc w:val="left"/>
      </w:pPr>
      <w:r>
        <w:t>3.6.5 Seller Type Distribution</w:t>
      </w:r>
    </w:p>
    <w:tbl>
      <w:tblPr>
        <w:tblStyle w:val="TableGrid"/>
        <w:tblW w:type="auto" w:w="0"/>
        <w:tblLook w:firstColumn="1" w:firstRow="1" w:lastColumn="0" w:lastRow="0" w:noHBand="0" w:noVBand="1" w:val="04A0"/>
      </w:tblPr>
      <w:tblGrid>
        <w:gridCol w:w="3230"/>
        <w:gridCol w:w="3230"/>
        <w:gridCol w:w="3230"/>
      </w:tblGrid>
      <w:tr>
        <w:tc>
          <w:tcPr>
            <w:tcW w:type="dxa" w:w="3230"/>
            <w:shd w:fill="378ADD" w:color="auto" w:val="clear"/>
          </w:tcPr>
          <w:p>
            <w:r>
              <w:rPr>
                <w:b/>
                <w:color w:val="FFFFFF"/>
              </w:rPr>
              <w:t>Seller Type</w:t>
            </w:r>
          </w:p>
        </w:tc>
        <w:tc>
          <w:tcPr>
            <w:tcW w:type="dxa" w:w="3230"/>
            <w:shd w:fill="378ADD" w:color="auto" w:val="clear"/>
          </w:tcPr>
          <w:p>
            <w:r>
              <w:rPr>
                <w:b/>
                <w:color w:val="FFFFFF"/>
              </w:rPr>
              <w:t>Count</w:t>
            </w:r>
          </w:p>
        </w:tc>
        <w:tc>
          <w:tcPr>
            <w:tcW w:type="dxa" w:w="3230"/>
            <w:shd w:fill="378ADD" w:color="auto" w:val="clear"/>
          </w:tcPr>
          <w:p>
            <w:r>
              <w:rPr>
                <w:b/>
                <w:color w:val="FFFFFF"/>
              </w:rPr>
              <w:t>Share</w:t>
            </w:r>
          </w:p>
        </w:tc>
      </w:tr>
      <w:tr>
        <w:tc>
          <w:tcPr>
            <w:tcW w:type="dxa" w:w="3230"/>
            <w:shd w:fill="F7FBFF" w:color="auto" w:val="clear"/>
          </w:tcPr>
          <w:p>
            <w:r>
              <w:t>Owner (landlord)</w:t>
            </w:r>
          </w:p>
        </w:tc>
        <w:tc>
          <w:tcPr>
            <w:tcW w:type="dxa" w:w="3230"/>
            <w:shd w:fill="F7FBFF" w:color="auto" w:val="clear"/>
          </w:tcPr>
          <w:p>
            <w:r>
              <w:t>3,835</w:t>
            </w:r>
          </w:p>
        </w:tc>
        <w:tc>
          <w:tcPr>
            <w:tcW w:type="dxa" w:w="3230"/>
            <w:shd w:fill="F7FBFF" w:color="auto" w:val="clear"/>
          </w:tcPr>
          <w:p>
            <w:r>
              <w:t>61.7%</w:t>
            </w:r>
          </w:p>
        </w:tc>
      </w:tr>
      <w:tr>
        <w:tc>
          <w:tcPr>
            <w:tcW w:type="dxa" w:w="3230"/>
          </w:tcPr>
          <w:p>
            <w:r>
              <w:t>Agency / Specialist</w:t>
            </w:r>
          </w:p>
        </w:tc>
        <w:tc>
          <w:tcPr>
            <w:tcW w:type="dxa" w:w="3230"/>
          </w:tcPr>
          <w:p>
            <w:r>
              <w:t>1,326</w:t>
            </w:r>
          </w:p>
        </w:tc>
        <w:tc>
          <w:tcPr>
            <w:tcW w:type="dxa" w:w="3230"/>
          </w:tcPr>
          <w:p>
            <w:r>
              <w:t>21.3%</w:t>
            </w:r>
          </w:p>
        </w:tc>
      </w:tr>
      <w:tr>
        <w:tc>
          <w:tcPr>
            <w:tcW w:type="dxa" w:w="3230"/>
            <w:shd w:fill="F7FBFF" w:color="auto" w:val="clear"/>
          </w:tcPr>
          <w:p>
            <w:r>
              <w:t>Unknown</w:t>
            </w:r>
          </w:p>
        </w:tc>
        <w:tc>
          <w:tcPr>
            <w:tcW w:type="dxa" w:w="3230"/>
            <w:shd w:fill="F7FBFF" w:color="auto" w:val="clear"/>
          </w:tcPr>
          <w:p>
            <w:r>
              <w:t>1,056</w:t>
            </w:r>
          </w:p>
        </w:tc>
        <w:tc>
          <w:tcPr>
            <w:tcW w:type="dxa" w:w="3230"/>
            <w:shd w:fill="F7FBFF" w:color="auto" w:val="clear"/>
          </w:tcPr>
          <w:p>
            <w:r>
              <w:t>17.0%</w:t>
            </w:r>
          </w:p>
        </w:tc>
      </w:tr>
    </w:tbl>
    <w:p/>
    <w:p>
      <w:pPr>
        <w:pStyle w:val="Heading2"/>
        <w:jc w:val="left"/>
      </w:pPr>
      <w:r>
        <w:t>3.7 How Data Supports Business Decisions for RentEasy KZ</w:t>
      </w:r>
    </w:p>
    <w:p>
      <w:r>
        <w:rPr>
          <w:b/>
        </w:rPr>
        <w:t>1. Price gap between districts → priority for analytics feature</w:t>
      </w:r>
    </w:p>
    <w:p>
      <w:pPr>
        <w:jc w:val="both"/>
      </w:pPr>
      <w:r>
        <w:t>The district field combined with price_tenge reveals which neighbourhoods have the highest price variance. Districts where prices deviate significantly from the city average indicate supply-demand imbalances — these are priority zones for RentEasy's price analytics dashboard, helping renters make informed decisions.</w:t>
      </w:r>
    </w:p>
    <w:p/>
    <w:p>
      <w:r>
        <w:rPr>
          <w:b/>
        </w:rPr>
        <w:t>2. Share of agencies vs owners → potential to displace intermediaries</w:t>
      </w:r>
    </w:p>
    <w:p>
      <w:pPr>
        <w:jc w:val="both"/>
      </w:pPr>
      <w:r>
        <w:t>The seller_type field shows what proportion of listings are placed by agencies vs direct owners. A high agency share means renters pay double commissions — exactly the problem RentEasy solves by connecting renters directly to verified owners. This metric justifies the platform's core value proposition.</w:t>
      </w:r>
    </w:p>
    <w:p/>
    <w:p>
      <w:r>
        <w:rPr>
          <w:b/>
        </w:rPr>
        <w:t>3. Apartment type distribution → platform focus</w:t>
      </w:r>
    </w:p>
    <w:p>
      <w:pPr>
        <w:jc w:val="both"/>
      </w:pPr>
      <w:r>
        <w:t>The rooms field shows which apartment types dominate supply. If 1-room apartments and studios are in shortage while 3-room apartments are abundant, RentEasy should prioritise sourcing 1-room and studio listings and show this scarcity in analytics to nudge landlords.</w:t>
      </w:r>
    </w:p>
    <w:p/>
    <w:p>
      <w:r>
        <w:rPr>
          <w:b/>
        </w:rPr>
        <w:t>4. Price per m² by city → market positioning</w:t>
      </w:r>
    </w:p>
    <w:p>
      <w:pPr>
        <w:jc w:val="both"/>
      </w:pPr>
      <w:r>
        <w:t>The price_per_m2 calculated field allows comparing value across cities and districts. Astana's higher price/m² vs Aktobe justifies prioritising Astana and Almaty for launch, where renters have the most to gain from price transparency.</w:t>
      </w:r>
    </w:p>
    <w:p/>
    <w:p>
      <w:r>
        <w:rPr>
          <w:b/>
        </w:rPr>
        <w:t>5. Listing dates → seasonal marketing</w:t>
      </w:r>
    </w:p>
    <w:p>
      <w:pPr>
        <w:jc w:val="both"/>
      </w:pPr>
      <w:r>
        <w:t>The listing_date field reveals seasonal patterns in supply. Peaks in rental listings (typically August–September when students and graduates relocate) indicate when to intensify marketing campaigns and Telegram bot promotions.</w:t>
      </w:r>
    </w:p>
    <w:p/>
    <w:p>
      <w:r>
        <w:rPr>
          <w:b/>
        </w:rPr>
        <w:t>6. Geographic coverage → expansion roadmap</w:t>
      </w:r>
    </w:p>
    <w:p>
      <w:pPr>
        <w:jc w:val="both"/>
      </w:pPr>
      <w:r>
        <w:t>Data from 5 cities (Astana, Almaty, Shymkent, Karaganda, Aktobe) allows comparing market size and activity. The city with the most active listings and highest price growth (Astana, +17.7% in 2025) should be the primary launch market.</w:t>
      </w:r>
    </w:p>
    <w:p/>
    <w:p>
      <w:r>
        <w:br w:type="page"/>
      </w:r>
    </w:p>
    <w:p>
      <w:pPr>
        <w:pStyle w:val="Heading1"/>
        <w:jc w:val="left"/>
      </w:pPr>
      <w:r>
        <w:t>Conclusion</w:t>
      </w:r>
    </w:p>
    <w:p>
      <w:pPr>
        <w:jc w:val="both"/>
      </w:pPr>
      <w:r>
        <w:t>This assignment demonstrates the complete data-driven decision-making process for RentEasy KZ — a rental housing aggregator for Kazakhstan. The dataset collected from Krisha.kz and OLX.kz contains 6,217 records across 5 cities with 12 data fields. The analysis reveals clear price disparities between districts, significant agency presence in the market, and geographic concentration of rental activity in Astana and Almaty. These insights directly inform product decisions: which cities to launch in first, which apartment types to prioritise, and when to run marketing campaigns.</w:t>
      </w:r>
    </w:p>
    <w:p>
      <w:pPr>
        <w:jc w:val="both"/>
      </w:pPr>
      <w:r>
        <w:t>The dataset is saved in three formats: CSV (for data analysis), JSON (for API/web use), and XML (for integration with enterprise systems) — all in the renteasy_data/ directory.</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