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  <w:lang w:val="en-US"/>
        </w:rPr>
        <w:tab/>
        <w:tab/>
        <w:tab/>
        <w:tab/>
        <w:tab/>
        <w:t>4-Year Plan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Arial" w:cs="Arial" w:hAnsi="Arial" w:eastAsia="Arial"/>
          <w:color w:val="696762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696762"/>
          <w:sz w:val="28"/>
          <w:szCs w:val="28"/>
          <w:shd w:val="clear" w:color="auto" w:fill="ffffff"/>
          <w:rtl w:val="0"/>
          <w:lang w:val="en-US"/>
        </w:rPr>
        <w:t>A-G Requirements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Arial" w:cs="Arial" w:hAnsi="Arial" w:eastAsia="Arial"/>
          <w:color w:val="44a6d3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color w:val="44a6d3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Arial" w:hAnsi="Arial"/>
          <w:color w:val="44a6d3"/>
          <w:sz w:val="28"/>
          <w:szCs w:val="28"/>
          <w:shd w:val="clear" w:color="auto" w:fill="ffffff"/>
          <w:rtl w:val="0"/>
          <w:lang w:val="en-US"/>
        </w:rPr>
        <w:t xml:space="preserve">The intent of the </w:t>
      </w:r>
      <w:r>
        <w:rPr>
          <w:rFonts w:ascii="Arial" w:hAnsi="Arial" w:hint="default"/>
          <w:color w:val="44a6d3"/>
          <w:sz w:val="28"/>
          <w:szCs w:val="28"/>
          <w:shd w:val="clear" w:color="auto" w:fill="ffffff"/>
          <w:rtl w:val="0"/>
        </w:rPr>
        <w:t>“</w:t>
      </w:r>
      <w:r>
        <w:rPr>
          <w:rFonts w:ascii="Arial" w:hAnsi="Arial"/>
          <w:color w:val="44a6d3"/>
          <w:sz w:val="28"/>
          <w:szCs w:val="28"/>
          <w:shd w:val="clear" w:color="auto" w:fill="ffffff"/>
          <w:rtl w:val="0"/>
        </w:rPr>
        <w:t>a-g</w:t>
      </w:r>
      <w:r>
        <w:rPr>
          <w:rFonts w:ascii="Arial" w:hAnsi="Arial" w:hint="default"/>
          <w:color w:val="44a6d3"/>
          <w:sz w:val="28"/>
          <w:szCs w:val="28"/>
          <w:shd w:val="clear" w:color="auto" w:fill="ffffff"/>
          <w:rtl w:val="0"/>
        </w:rPr>
        <w:t xml:space="preserve">” </w:t>
      </w:r>
      <w:r>
        <w:rPr>
          <w:rFonts w:ascii="Arial" w:hAnsi="Arial"/>
          <w:color w:val="44a6d3"/>
          <w:sz w:val="28"/>
          <w:szCs w:val="28"/>
          <w:shd w:val="clear" w:color="auto" w:fill="ffffff"/>
          <w:rtl w:val="0"/>
          <w:lang w:val="en-US"/>
        </w:rPr>
        <w:t>subject requirements is to ensure that students have attained a body of general knowledge that will provide breadth and perspective to new, more advanced study.</w:t>
      </w:r>
      <w:r>
        <w:rPr>
          <w:rFonts w:ascii="Arial" w:hAnsi="Arial" w:hint="default"/>
          <w:color w:val="44a6d3"/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rFonts w:ascii="Arial" w:hAnsi="Arial"/>
          <w:color w:val="44a6d3"/>
          <w:sz w:val="28"/>
          <w:szCs w:val="28"/>
          <w:shd w:val="clear" w:color="auto" w:fill="ffffff"/>
          <w:rtl w:val="0"/>
          <w:lang w:val="en-US"/>
        </w:rPr>
        <w:t xml:space="preserve">- </w:t>
      </w:r>
      <w:r>
        <w:rPr>
          <w:rStyle w:val="Hyperlink.0"/>
          <w:rFonts w:ascii="Arial" w:cs="Arial" w:hAnsi="Arial" w:eastAsia="Arial"/>
          <w:color w:val="44a6d3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44a6d3"/>
          <w:sz w:val="28"/>
          <w:szCs w:val="28"/>
          <w:shd w:val="clear" w:color="auto" w:fill="ffffff"/>
          <w:rtl w:val="0"/>
        </w:rPr>
        <w:instrText xml:space="preserve"> HYPERLINK "http://ucop.edu"</w:instrText>
      </w:r>
      <w:r>
        <w:rPr>
          <w:rStyle w:val="Hyperlink.0"/>
          <w:rFonts w:ascii="Arial" w:cs="Arial" w:hAnsi="Arial" w:eastAsia="Arial"/>
          <w:color w:val="44a6d3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44a6d3"/>
          <w:sz w:val="28"/>
          <w:szCs w:val="28"/>
          <w:shd w:val="clear" w:color="auto" w:fill="ffffff"/>
          <w:rtl w:val="0"/>
          <w:lang w:val="en-US"/>
        </w:rPr>
        <w:t>ucop.edu</w:t>
      </w:r>
      <w:r>
        <w:rPr>
          <w:rFonts w:ascii="Arial" w:cs="Arial" w:hAnsi="Arial" w:eastAsia="Arial"/>
          <w:color w:val="44a6d3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44a6d3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History/social science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a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Two years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, including one year of world history, cultures and historical geography and one year of U.S. history, 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and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 one-half year of 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Economics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 and one-half year of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American government or civics.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English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b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Four years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of college preparatory English that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integrates reading of classic and modern literature, frequent and regular writing, and practice listening and speaking.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Mathematics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c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Three years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of college-preparatory math, including or integrating the topics covered in elementary and advanced algebra and two- and three-dimensional geometry.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00000"/>
          <w:sz w:val="26"/>
          <w:szCs w:val="26"/>
          <w:shd w:val="clear" w:color="auto" w:fill="ffffff"/>
          <w:rtl w:val="0"/>
          <w:lang w:val="en-US"/>
        </w:rPr>
        <w:t>Four years are recommended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Laboratory science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d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Two years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of laboratory science providing fundamental knowledge in at least two of the three disciplines of biology, chemistry and physics.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00000"/>
          <w:sz w:val="26"/>
          <w:szCs w:val="26"/>
          <w:shd w:val="clear" w:color="auto" w:fill="ffffff"/>
          <w:rtl w:val="0"/>
          <w:lang w:val="en-US"/>
        </w:rPr>
        <w:t>Four years are recommended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Language other than English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e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Two years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of the same language other than English or equivalent to the second level of high school instruction.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Visual and performing arts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f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One year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chosen from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dance, music, theater or the visual arts.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College-preparatory elective (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g</w:t>
      </w:r>
      <w:r>
        <w:rPr>
          <w:rFonts w:ascii="Arial" w:hAnsi="Arial" w:hint="default"/>
          <w:b w:val="1"/>
          <w:bCs w:val="1"/>
          <w:color w:val="696763"/>
          <w:sz w:val="26"/>
          <w:szCs w:val="26"/>
          <w:shd w:val="clear" w:color="auto" w:fill="ffffff"/>
          <w:rtl w:val="0"/>
        </w:rPr>
        <w:t>”</w:t>
      </w: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</w:rPr>
        <w:t>)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– </w:t>
      </w:r>
      <w:r>
        <w:rPr>
          <w:rFonts w:ascii="Arial" w:hAnsi="Arial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>One year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chosen from the 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>“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</w:rPr>
        <w:t>a-f</w:t>
      </w:r>
      <w:r>
        <w:rPr>
          <w:rFonts w:ascii="Arial" w:hAnsi="Arial" w:hint="default"/>
          <w:color w:val="696763"/>
          <w:sz w:val="26"/>
          <w:szCs w:val="26"/>
          <w:shd w:val="clear" w:color="auto" w:fill="ffffff"/>
          <w:rtl w:val="0"/>
        </w:rPr>
        <w:t xml:space="preserve">” 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>courses beyond those used to satisfy the requirements above, or courses that have been approved solely in the elective area.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96763"/>
          <w:sz w:val="26"/>
          <w:szCs w:val="26"/>
          <w:shd w:val="clear" w:color="auto" w:fill="ffffff"/>
          <w:rtl w:val="0"/>
          <w:lang w:val="en-US"/>
        </w:rPr>
        <w:t>Physical Education</w:t>
      </w:r>
      <w:r>
        <w:rPr>
          <w:rFonts w:ascii="Arial" w:hAnsi="Arial"/>
          <w:color w:val="696763"/>
          <w:sz w:val="26"/>
          <w:szCs w:val="26"/>
          <w:shd w:val="clear" w:color="auto" w:fill="ffffff"/>
          <w:rtl w:val="0"/>
          <w:lang w:val="en-US"/>
        </w:rPr>
        <w:t xml:space="preserve"> - </w:t>
      </w:r>
      <w:r>
        <w:rPr>
          <w:rFonts w:ascii="Arial" w:hAnsi="Arial"/>
          <w:b w:val="1"/>
          <w:bCs w:val="1"/>
          <w:i w:val="1"/>
          <w:iCs w:val="1"/>
          <w:color w:val="696763"/>
          <w:sz w:val="26"/>
          <w:szCs w:val="26"/>
          <w:shd w:val="clear" w:color="auto" w:fill="ffffff"/>
          <w:rtl w:val="0"/>
          <w:lang w:val="en-US"/>
        </w:rPr>
        <w:t xml:space="preserve">Two years required </w:t>
      </w:r>
    </w:p>
    <w:p>
      <w:pPr>
        <w:pStyle w:val="Default"/>
        <w:tabs>
          <w:tab w:val="left" w:pos="220"/>
          <w:tab w:val="left" w:pos="720"/>
        </w:tabs>
        <w:bidi w:val="0"/>
        <w:spacing w:line="300" w:lineRule="atLeast"/>
        <w:ind w:left="720" w:right="0" w:hanging="72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</w:p>
    <w:p>
      <w:pPr>
        <w:pStyle w:val="Subject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*please feel free to make changes to the four year plan that fits better with you and how your school is run*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11TH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12TH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0075b9"/>
                <w:rtl w:val="0"/>
              </w:rPr>
              <w:t>[iNSERT MATH]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0075b9"/>
                <w:rtl w:val="0"/>
              </w:rPr>
              <w:t>[iNSERT MATH]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0075b9"/>
                <w:rtl w:val="0"/>
              </w:rPr>
              <w:t>[iNSERT MATH]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0075b9"/>
                <w:rtl w:val="0"/>
              </w:rPr>
              <w:t>[MATH RECOMMENDED]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1cb000"/>
                <w:rtl w:val="0"/>
              </w:rPr>
              <w:t>[INSERT SCIENCE]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1cb000"/>
                <w:rtl w:val="0"/>
              </w:rPr>
              <w:t>[INSERT SCIENCE]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1cb000"/>
                <w:rtl w:val="0"/>
              </w:rPr>
              <w:t>[SCIENCE RECOMMENDED]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1cb000"/>
                <w:rtl w:val="0"/>
              </w:rPr>
              <w:t>[SCIENCE RECOMMENDED]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98185e"/>
                <w:rtl w:val="0"/>
              </w:rPr>
              <w:t>[INSERT ENGLISH]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b41700"/>
                <w:rtl w:val="0"/>
              </w:rPr>
              <w:t>[INSERT HISTORY]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b41700"/>
                <w:rtl w:val="0"/>
              </w:rPr>
              <w:t>[INSERT HISTORY]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b41700"/>
                <w:rtl w:val="0"/>
              </w:rPr>
              <w:t>[INSERT GOV/ECON]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[INSERT PE]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98185e"/>
                <w:rtl w:val="0"/>
              </w:rPr>
              <w:t>[INSERT ENGLISH]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98185e"/>
                <w:rtl w:val="0"/>
              </w:rPr>
              <w:t>[INSERT ENGLISH]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color w:val="98185e"/>
                <w:rtl w:val="0"/>
              </w:rPr>
              <w:t>[INSERT ENGLISH]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[INSERT FOREIGN LANGUAGE]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[INSERT FOREIGN LANGUAGE]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[INSERT VISUAL ART]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[FOREIGN LANGUAGE RECOMMENDED]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[INSERT PE]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696763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