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Helvetica" w:hAnsi="Helvetica"/>
          <w:color w:val="000000"/>
        </w:rPr>
        <w:t>Casual Conversation</w:t>
      </w:r>
    </w:p>
    <w:p>
      <w:r>
        <w:t>Date: Unknown</w:t>
      </w:r>
    </w:p>
    <w:p>
      <w:r>
        <w:t>Attendees: David, Sarah</w:t>
      </w:r>
    </w:p>
    <w:p>
      <w:pPr>
        <w:pStyle w:val="Heading2"/>
      </w:pPr>
      <w:r>
        <w:rPr>
          <w:color w:val="000000"/>
        </w:rPr>
        <w:t>Key Metrics</w:t>
      </w:r>
    </w:p>
    <w:p>
      <w:r>
        <w:t>Duration: 0 Hours | Attendees: 2 | Decisions: 0 | Actions: 0</w:t>
      </w:r>
    </w:p>
    <w:p>
      <w:pPr>
        <w:pStyle w:val="Heading2"/>
      </w:pPr>
      <w:r>
        <w:rPr>
          <w:color w:val="000000"/>
        </w:rPr>
        <w:t>Executive Summary</w:t>
      </w:r>
    </w:p>
    <w:p>
      <w:r>
        <w:t>A brief and informal conversation between David and Sarah, where they exchanged pleasantries and discussed their work.</w:t>
      </w:r>
    </w:p>
    <w:p>
      <w:pPr>
        <w:pStyle w:val="Heading2"/>
      </w:pPr>
      <w:r>
        <w:rPr>
          <w:color w:val="000000"/>
        </w:rPr>
        <w:t>Key Decisions</w:t>
      </w:r>
    </w:p>
    <w:p>
      <w:pPr>
        <w:pStyle w:val="Heading2"/>
      </w:pPr>
      <w:r>
        <w:rPr>
          <w:color w:val="000000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</w:tbl>
    <w:p>
      <w:pPr>
        <w:pStyle w:val="Heading2"/>
      </w:pPr>
      <w:r>
        <w:rPr>
          <w:color w:val="000000"/>
        </w:rPr>
        <w:t>Key Discussion Points</w:t>
      </w:r>
    </w:p>
    <w:p>
      <w:r>
        <w:t>- Work</w:t>
      </w:r>
    </w:p>
    <w:p>
      <w:r>
        <w:t>- Personal Well-being</w:t>
      </w:r>
    </w:p>
    <w:p>
      <w:pPr>
        <w:pStyle w:val="Heading2"/>
      </w:pPr>
      <w:r>
        <w:rPr>
          <w:color w:val="000000"/>
        </w:rPr>
        <w:t>Pending Issues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SAKSHI LEDGER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