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a365d"/>
          <w:sz w:val="38"/>
          <w:szCs w:val="38"/>
        </w:rPr>
        <w:t xml:space="preserve">COMPREHENSIVE PEER REVIEW</w:t>
      </w:r>
    </w:p>
    <w:p>
      <w:pPr>
        <w:spacing w:after="200"/>
        <w:jc w:val="center"/>
      </w:pPr>
      <w:r>
        <w:rPr>
          <w:rFonts w:ascii="Arial" w:cs="Arial" w:eastAsia="Arial" w:hAnsi="Arial"/>
          <w:color w:val="2c5282"/>
          <w:sz w:val="28"/>
          <w:szCs w:val="28"/>
        </w:rPr>
        <w:t xml:space="preserve">ICAIF 2026 Submission</w:t>
      </w:r>
    </w:p>
    <w:p>
      <w:pPr>
        <w:spacing w:after="60"/>
        <w:jc w:val="center"/>
      </w:pPr>
      <w:r>
        <w:rPr>
          <w:rFonts w:ascii="Arial" w:cs="Arial" w:eastAsia="Arial" w:hAnsi="Arial"/>
          <w:i/>
          <w:iCs/>
          <w:color w:val="4a5568"/>
          <w:sz w:val="24"/>
          <w:szCs w:val="24"/>
        </w:rPr>
        <w:t xml:space="preserve">The Rise and Fall of Cross-Factor Predictability:</w:t>
      </w:r>
    </w:p>
    <w:p>
      <w:pPr>
        <w:spacing w:after="300"/>
        <w:jc w:val="center"/>
      </w:pPr>
      <w:r>
        <w:rPr>
          <w:rFonts w:ascii="Arial" w:cs="Arial" w:eastAsia="Arial" w:hAnsi="Arial"/>
          <w:i/>
          <w:iCs/>
          <w:color w:val="4a5568"/>
          <w:sz w:val="24"/>
          <w:szCs w:val="24"/>
        </w:rPr>
        <w:t xml:space="preserve">Regime-Dependent HML→SMB Granger Causality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vAlign w:val="center"/>
          </w:tcPr>
          <w:p>
            <w:pPr>
              <w:spacing w:after="40" w:before="40"/>
            </w:pPr>
            <w:r>
              <w:rPr>
                <w:rFonts w:ascii="Arial" w:cs="Arial" w:eastAsia="Arial" w:hAnsi="Arial"/>
                <w:b/>
                <w:bCs/>
                <w:sz w:val="20"/>
                <w:szCs w:val="20"/>
                <w:shd/>
              </w:rPr>
              <w:t xml:space="preserve">Author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Chorok Lee (KAIST)</w:t>
            </w:r>
          </w:p>
        </w:tc>
      </w:tr>
      <w:tr>
        <w:tc>
          <w:tcPr>
            <w:tcW w:type="dxa" w:w="2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vAlign w:val="center"/>
          </w:tcPr>
          <w:p>
            <w:pPr>
              <w:spacing w:after="40" w:before="40"/>
            </w:pPr>
            <w:r>
              <w:rPr>
                <w:rFonts w:ascii="Arial" w:cs="Arial" w:eastAsia="Arial" w:hAnsi="Arial"/>
                <w:b/>
                <w:bCs/>
                <w:sz w:val="20"/>
                <w:szCs w:val="20"/>
                <w:shd/>
              </w:rPr>
              <w:t xml:space="preserve">Venue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ACM ICAIF 2026</w:t>
            </w:r>
          </w:p>
        </w:tc>
      </w:tr>
      <w:tr>
        <w:tc>
          <w:tcPr>
            <w:tcW w:type="dxa" w:w="2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vAlign w:val="center"/>
          </w:tcPr>
          <w:p>
            <w:pPr>
              <w:spacing w:after="40" w:before="40"/>
            </w:pPr>
            <w:r>
              <w:rPr>
                <w:rFonts w:ascii="Arial" w:cs="Arial" w:eastAsia="Arial" w:hAnsi="Arial"/>
                <w:b/>
                <w:bCs/>
                <w:sz w:val="20"/>
                <w:szCs w:val="20"/>
                <w:shd/>
              </w:rPr>
              <w:t xml:space="preserve">Review Date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February 27, 2026</w:t>
            </w:r>
          </w:p>
        </w:tc>
      </w:tr>
      <w:tr>
        <w:tc>
          <w:tcPr>
            <w:tcW w:type="dxa" w:w="27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vAlign w:val="center"/>
          </w:tcPr>
          <w:p>
            <w:pPr>
              <w:spacing w:after="40" w:before="40"/>
            </w:pPr>
            <w:r>
              <w:rPr>
                <w:rFonts w:ascii="Arial" w:cs="Arial" w:eastAsia="Arial" w:hAnsi="Arial"/>
                <w:b/>
                <w:bCs/>
                <w:sz w:val="20"/>
                <w:szCs w:val="20"/>
                <w:shd/>
              </w:rPr>
              <w:t xml:space="preserve">Recommendation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DD6B20"/>
                <w:sz w:val="20"/>
                <w:szCs w:val="20"/>
              </w:rPr>
              <w:t xml:space="preserve">Major Revision</w:t>
            </w:r>
          </w:p>
        </w:tc>
      </w:tr>
    </w:tbl>
    <w:p>
      <w:r>
        <w:br w:type="page"/>
      </w:r>
    </w:p>
    <w:p>
      <w:pPr>
        <w:pStyle w:val="Heading1"/>
        <w:spacing w:after="120" w:before="360"/>
      </w:pPr>
      <w:r>
        <w:rPr>
          <w:rFonts w:ascii="Arial" w:cs="Arial" w:eastAsia="Arial" w:hAnsi="Arial"/>
          <w:b/>
          <w:bCs/>
          <w:color w:val="1a365d"/>
          <w:sz w:val="32"/>
          <w:szCs w:val="32"/>
        </w:rPr>
        <w:t xml:space="preserve">1. Executive Summary</w:t>
      </w:r>
    </w:p>
    <w:p>
      <w:pPr>
        <w:spacing w:after="80" w:before="80"/>
      </w:pPr>
      <w:r>
        <w:rPr>
          <w:rFonts w:ascii="Arial" w:cs="Arial" w:eastAsia="Arial" w:hAnsi="Arial"/>
          <w:sz w:val="21"/>
          <w:szCs w:val="21"/>
        </w:rPr>
        <w:t xml:space="preserve">This paper documents that HML Granger-causes SMB in the pre-GFC Normal regime (p = 8.75e-9, Bonferroni-corrected), identifies a structural break at January 2008 (Chow p = 2.29e-6, TOST-confirmed), and finds modest out-of-sample re-emergence in the Elevated regime via a frozen HMM design (F-p = 0.014, HAC-p = 0.041). The effect is small (ΔR² &lt; 1%), generates no trading profits (Sharpe = -0.07), and the OOS finding is sensitive to scale convention, local optima, and regime count K.</w:t>
      </w:r>
    </w:p>
    <w:p>
      <w:pPr>
        <w:spacing w:after="80" w:before="80"/>
      </w:pPr>
      <w:r>
        <w:rPr>
          <w:rFonts w:ascii="Arial" w:cs="Arial" w:eastAsia="Arial" w:hAnsi="Arial"/>
          <w:sz w:val="21"/>
          <w:szCs w:val="21"/>
        </w:rPr>
        <w:t xml:space="preserve">The paper demonstrates strong methodological awareness: the frozen OOS design is exemplary, the local optima taxonomy is rare in the literature, and the transparent disclosure of fragility is commendable. However, four subagent reviews converge on several significant concerns that need addressing before publication.</w:t>
      </w:r>
    </w:p>
    <w:p>
      <w:pPr>
        <w:pStyle w:val="Heading2"/>
        <w:spacing w:after="120" w:before="240"/>
      </w:pPr>
      <w:r>
        <w:rPr>
          <w:rFonts w:ascii="Arial" w:cs="Arial" w:eastAsia="Arial" w:hAnsi="Arial"/>
          <w:b/>
          <w:bCs/>
          <w:color w:val="2c5282"/>
          <w:sz w:val="26"/>
          <w:szCs w:val="26"/>
        </w:rPr>
        <w:t xml:space="preserve">Overall Scores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2430"/>
        <w:gridCol w:w="2430"/>
      </w:tblGrid>
      <w:tr>
        <w:tc>
          <w:tcPr>
            <w:tcW w:type="dxa" w:w="48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shd/>
              </w:rPr>
              <w:t xml:space="preserve">Dimension</w:t>
            </w:r>
          </w:p>
        </w:tc>
        <w:tc>
          <w:tcPr>
            <w:tcW w:type="dxa" w:w="243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shd/>
              </w:rPr>
              <w:t xml:space="preserve">Score</w:t>
            </w:r>
          </w:p>
        </w:tc>
        <w:tc>
          <w:tcPr>
            <w:tcW w:type="dxa" w:w="243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shd/>
              </w:rPr>
              <w:t xml:space="preserve">Severity</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Methodology &amp; Statistics</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7 / 10</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2 major, 6 moderate</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Novelty &amp; Contribution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6 / 10</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Incremental (Tier 2)</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Writing &amp; Presentation</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7 / 10</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Overcaveation</w:t>
            </w:r>
          </w:p>
        </w:tc>
      </w:tr>
      <w:tr>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Robustness &amp; Reproducibility</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5 / 10</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3 critical concerns</w:t>
            </w:r>
          </w:p>
        </w:tc>
      </w:tr>
    </w:tbl>
    <w:p>
      <w:r>
        <w:br w:type="page"/>
      </w:r>
    </w:p>
    <w:p>
      <w:pPr>
        <w:pStyle w:val="Heading1"/>
        <w:spacing w:after="120" w:before="360"/>
      </w:pPr>
      <w:r>
        <w:rPr>
          <w:rFonts w:ascii="Arial" w:cs="Arial" w:eastAsia="Arial" w:hAnsi="Arial"/>
          <w:b/>
          <w:bCs/>
          <w:color w:val="1a365d"/>
          <w:sz w:val="32"/>
          <w:szCs w:val="32"/>
        </w:rPr>
        <w:t xml:space="preserve">2. Ranked Issues by Severity</w:t>
      </w:r>
    </w:p>
    <w:p>
      <w:pPr>
        <w:spacing w:after="80" w:before="80"/>
      </w:pPr>
      <w:r>
        <w:rPr>
          <w:rFonts w:ascii="Arial" w:cs="Arial" w:eastAsia="Arial" w:hAnsi="Arial"/>
          <w:sz w:val="21"/>
          <w:szCs w:val="21"/>
        </w:rPr>
        <w:t xml:space="preserve">The following issues were identified across all four review subagents, synthesized and ranked by convergent severity assessment.</w:t>
      </w:r>
    </w:p>
    <w:p>
      <w:pPr>
        <w:pStyle w:val="Heading2"/>
        <w:spacing w:after="120" w:before="240"/>
      </w:pPr>
      <w:r>
        <w:rPr>
          <w:rFonts w:ascii="Arial" w:cs="Arial" w:eastAsia="Arial" w:hAnsi="Arial"/>
          <w:b/>
          <w:bCs/>
          <w:color w:val="2c5282"/>
          <w:sz w:val="26"/>
          <w:szCs w:val="26"/>
        </w:rPr>
        <w:t xml:space="preserve">2.1 Dual P-Value Reporting / Scale Convention Ambiguity</w:t>
      </w:r>
    </w:p>
    <w:p>
      <w:pPr>
        <w:spacing w:after="80" w:before="80"/>
      </w:pPr>
      <w:r>
        <w:rPr>
          <w:rFonts w:ascii="Arial" w:cs="Arial" w:eastAsia="Arial" w:hAnsi="Arial"/>
          <w:b/>
          <w:bCs/>
          <w:color w:val="DD6B20"/>
          <w:sz w:val="20"/>
          <w:szCs w:val="20"/>
        </w:rPr>
        <w:t xml:space="preserve">[MAJOR]</w:t>
      </w:r>
      <w:r>
        <w:rPr>
          <w:rFonts w:ascii="Arial" w:cs="Arial" w:eastAsia="Arial" w:hAnsi="Arial"/>
          <w:i/>
          <w:iCs/>
          <w:color w:val="718096"/>
          <w:sz w:val="20"/>
          <w:szCs w:val="20"/>
        </w:rPr>
        <w:t xml:space="preserve">  Convergence: 3/4 reviewers flagged this independently</w:t>
      </w:r>
    </w:p>
    <w:p>
      <w:pPr>
        <w:spacing w:after="80" w:before="80"/>
      </w:pPr>
      <w:r>
        <w:rPr>
          <w:rFonts w:ascii="Arial" w:cs="Arial" w:eastAsia="Arial" w:hAnsi="Arial"/>
          <w:sz w:val="21"/>
          <w:szCs w:val="21"/>
        </w:rPr>
        <w:t xml:space="preserve">The OOS permutation test yields p = 0.063 (decimal convention, n = 836) versus p = 0.022 (percentage convention, n = 953). These bracket the 0.05 threshold, creating fundamental ambiguity about whether the result is significant. The different sample sizes (836 vs. 953) remain unexplained, as regime classification should yield identical observation counts regardless of scale. Reporting both values without clear pre-specification of a primary constitutes selective reporting.</w:t>
      </w:r>
    </w:p>
    <w:p>
      <w:pPr>
        <w:spacing w:after="80" w:before="80"/>
      </w:pPr>
      <w:r>
        <w:rPr>
          <w:rFonts w:ascii="Arial" w:cs="Arial" w:eastAsia="Arial" w:hAnsi="Arial"/>
          <w:b/>
          <w:bCs/>
          <w:sz w:val="21"/>
          <w:szCs w:val="21"/>
        </w:rPr>
        <w:t xml:space="preserve">Recommendation: </w:t>
      </w:r>
      <w:r>
        <w:rPr>
          <w:rFonts w:ascii="Arial" w:cs="Arial" w:eastAsia="Arial" w:hAnsi="Arial"/>
          <w:sz w:val="21"/>
          <w:szCs w:val="21"/>
        </w:rPr>
        <w:t xml:space="preserve">Pre-specify one scale convention as primary. Explain why n differs between pipelines. Report a single p-value; relegate the alternative to a robustness table.</w:t>
      </w:r>
    </w:p>
    <w:p>
      <w:pPr>
        <w:pStyle w:val="Heading2"/>
        <w:spacing w:after="120" w:before="240"/>
      </w:pPr>
      <w:r>
        <w:rPr>
          <w:rFonts w:ascii="Arial" w:cs="Arial" w:eastAsia="Arial" w:hAnsi="Arial"/>
          <w:b/>
          <w:bCs/>
          <w:color w:val="2c5282"/>
          <w:sz w:val="26"/>
          <w:szCs w:val="26"/>
        </w:rPr>
        <w:t xml:space="preserve">2.2 Quandt-Andrews Breakpoint Contradiction</w:t>
      </w:r>
    </w:p>
    <w:p>
      <w:pPr>
        <w:spacing w:after="80" w:before="80"/>
      </w:pPr>
      <w:r>
        <w:rPr>
          <w:rFonts w:ascii="Arial" w:cs="Arial" w:eastAsia="Arial" w:hAnsi="Arial"/>
          <w:b/>
          <w:bCs/>
          <w:color w:val="DD6B20"/>
          <w:sz w:val="20"/>
          <w:szCs w:val="20"/>
        </w:rPr>
        <w:t xml:space="preserve">[MAJOR]</w:t>
      </w:r>
      <w:r>
        <w:rPr>
          <w:rFonts w:ascii="Arial" w:cs="Arial" w:eastAsia="Arial" w:hAnsi="Arial"/>
          <w:i/>
          <w:iCs/>
          <w:color w:val="718096"/>
          <w:sz w:val="20"/>
          <w:szCs w:val="20"/>
        </w:rPr>
        <w:t xml:space="preserve">  Convergence: 3/4 reviewers flagged this</w:t>
      </w:r>
    </w:p>
    <w:p>
      <w:pPr>
        <w:spacing w:after="80" w:before="80"/>
      </w:pPr>
      <w:r>
        <w:rPr>
          <w:rFonts w:ascii="Arial" w:cs="Arial" w:eastAsia="Arial" w:hAnsi="Arial"/>
          <w:sz w:val="21"/>
          <w:szCs w:val="21"/>
        </w:rPr>
        <w:t xml:space="preserve">The Chow test at January 2008 (p = 2.29e-6) is significant, but the data-driven Quandt-Andrews sup-F = 22.1 maximizes at June 1998 (LTCM/Russia crisis), not January 2008. The paper acknowledges this discrepancy in passing but does not investigate the June 1998 break or explain why the GFC narrative is privileged over the empirically detected breakpoint. This undermines the central narrative of a GFC-driven regime change.</w:t>
      </w:r>
    </w:p>
    <w:p>
      <w:pPr>
        <w:spacing w:after="80" w:before="80"/>
      </w:pPr>
      <w:r>
        <w:rPr>
          <w:rFonts w:ascii="Arial" w:cs="Arial" w:eastAsia="Arial" w:hAnsi="Arial"/>
          <w:b/>
          <w:bCs/>
          <w:sz w:val="21"/>
          <w:szCs w:val="21"/>
        </w:rPr>
        <w:t xml:space="preserve">Recommendation: </w:t>
      </w:r>
      <w:r>
        <w:rPr>
          <w:rFonts w:ascii="Arial" w:cs="Arial" w:eastAsia="Arial" w:hAnsi="Arial"/>
          <w:sz w:val="21"/>
          <w:szCs w:val="21"/>
        </w:rPr>
        <w:t xml:space="preserve">Conduct Chow test at June 1998 as a primary specification. Consider Bai-Perron sequential break detection. If the GFC break remains the focus, provide an explicit economic justification for why it supersedes the data-driven date.</w:t>
      </w:r>
    </w:p>
    <w:p>
      <w:pPr>
        <w:pStyle w:val="Heading2"/>
        <w:spacing w:after="120" w:before="240"/>
      </w:pPr>
      <w:r>
        <w:rPr>
          <w:rFonts w:ascii="Arial" w:cs="Arial" w:eastAsia="Arial" w:hAnsi="Arial"/>
          <w:b/>
          <w:bCs/>
          <w:color w:val="2c5282"/>
          <w:sz w:val="26"/>
          <w:szCs w:val="26"/>
        </w:rPr>
        <w:t xml:space="preserve">2.3 Regime Expansion Artifact</w:t>
      </w:r>
    </w:p>
    <w:p>
      <w:pPr>
        <w:spacing w:after="80" w:before="80"/>
      </w:pPr>
      <w:r>
        <w:rPr>
          <w:rFonts w:ascii="Arial" w:cs="Arial" w:eastAsia="Arial" w:hAnsi="Arial"/>
          <w:b/>
          <w:bCs/>
          <w:color w:val="DD6B20"/>
          <w:sz w:val="20"/>
          <w:szCs w:val="20"/>
        </w:rPr>
        <w:t xml:space="preserve">[MAJOR]</w:t>
      </w:r>
      <w:r>
        <w:rPr>
          <w:rFonts w:ascii="Arial" w:cs="Arial" w:eastAsia="Arial" w:hAnsi="Arial"/>
          <w:i/>
          <w:iCs/>
          <w:color w:val="718096"/>
          <w:sz w:val="20"/>
          <w:szCs w:val="20"/>
        </w:rPr>
        <w:t xml:space="preserve">  Convergence: 2/4 reviewers flagged this as potentially fatal</w:t>
      </w:r>
    </w:p>
    <w:p>
      <w:pPr>
        <w:spacing w:after="80" w:before="80"/>
      </w:pPr>
      <w:r>
        <w:rPr>
          <w:rFonts w:ascii="Arial" w:cs="Arial" w:eastAsia="Arial" w:hAnsi="Arial"/>
          <w:sz w:val="21"/>
          <w:szCs w:val="21"/>
        </w:rPr>
        <w:t xml:space="preserve">The Elevated regime expands from 13.7% of training data to 30.7% of test data (a 2.2x increase). This expansion alone could mechanically explain the OOS Granger significance without any true predictability. The frozen classifier, trained on pre-GFC data where Elevated was rare, may simply be reclassifying post-GFC observations into a larger Elevated bucket, concentrating whatever weak signal exists.</w:t>
      </w:r>
    </w:p>
    <w:p>
      <w:pPr>
        <w:spacing w:after="80" w:before="80"/>
      </w:pPr>
      <w:r>
        <w:rPr>
          <w:rFonts w:ascii="Arial" w:cs="Arial" w:eastAsia="Arial" w:hAnsi="Arial"/>
          <w:b/>
          <w:bCs/>
          <w:sz w:val="21"/>
          <w:szCs w:val="21"/>
        </w:rPr>
        <w:t xml:space="preserve">Recommendation: </w:t>
      </w:r>
      <w:r>
        <w:rPr>
          <w:rFonts w:ascii="Arial" w:cs="Arial" w:eastAsia="Arial" w:hAnsi="Arial"/>
          <w:sz w:val="21"/>
          <w:szCs w:val="21"/>
        </w:rPr>
        <w:t xml:space="preserve">Reweight OOS observations to match training-period regime prevalence and re-estimate Granger causality. Show that significance persists after prevalence adjustment. If it does not, acknowledge that the result may be a classification artifact.</w:t>
      </w:r>
    </w:p>
    <w:p>
      <w:pPr>
        <w:pStyle w:val="Heading2"/>
        <w:spacing w:after="120" w:before="240"/>
      </w:pPr>
      <w:r>
        <w:rPr>
          <w:rFonts w:ascii="Arial" w:cs="Arial" w:eastAsia="Arial" w:hAnsi="Arial"/>
          <w:b/>
          <w:bCs/>
          <w:color w:val="2c5282"/>
          <w:sz w:val="26"/>
          <w:szCs w:val="26"/>
        </w:rPr>
        <w:t xml:space="preserve">2.4 Pair Selection Bias Without Pre-Registration</w:t>
      </w:r>
    </w:p>
    <w:p>
      <w:pPr>
        <w:spacing w:after="80" w:before="80"/>
      </w:pPr>
      <w:r>
        <w:rPr>
          <w:rFonts w:ascii="Arial" w:cs="Arial" w:eastAsia="Arial" w:hAnsi="Arial"/>
          <w:b/>
          <w:bCs/>
          <w:color w:val="DD6B20"/>
          <w:sz w:val="20"/>
          <w:szCs w:val="20"/>
        </w:rPr>
        <w:t xml:space="preserve">[MAJOR]</w:t>
      </w:r>
      <w:r>
        <w:rPr>
          <w:rFonts w:ascii="Arial" w:cs="Arial" w:eastAsia="Arial" w:hAnsi="Arial"/>
          <w:i/>
          <w:iCs/>
          <w:color w:val="718096"/>
          <w:sz w:val="20"/>
          <w:szCs w:val="20"/>
        </w:rPr>
        <w:t xml:space="preserve">  Convergence: 3/4 reviewers flagged this</w:t>
      </w:r>
    </w:p>
    <w:p>
      <w:pPr>
        <w:spacing w:after="80" w:before="80"/>
      </w:pPr>
      <w:r>
        <w:rPr>
          <w:rFonts w:ascii="Arial" w:cs="Arial" w:eastAsia="Arial" w:hAnsi="Arial"/>
          <w:sz w:val="21"/>
          <w:szCs w:val="21"/>
        </w:rPr>
        <w:t xml:space="preserve">HML→SMB was selected based on in-sample screening plus economic priors but was not pre-registered. The OOS HAC p = 0.041 does not survive Bonferroni correction across 30 factor pairs (α/30 = 0.00167). The rank-2/30 position by F-statistic is helpful transparency, but the rank-based max-statistic p = 0.067 is itself borderline. Without pre-registration, the distinction between economic prior and post-hoc rationalization is blurred.</w:t>
      </w:r>
    </w:p>
    <w:p>
      <w:pPr>
        <w:spacing w:after="80" w:before="80"/>
      </w:pPr>
      <w:r>
        <w:rPr>
          <w:rFonts w:ascii="Arial" w:cs="Arial" w:eastAsia="Arial" w:hAnsi="Arial"/>
          <w:b/>
          <w:bCs/>
          <w:sz w:val="21"/>
          <w:szCs w:val="21"/>
        </w:rPr>
        <w:t xml:space="preserve">Recommendation: </w:t>
      </w:r>
      <w:r>
        <w:rPr>
          <w:rFonts w:ascii="Arial" w:cs="Arial" w:eastAsia="Arial" w:hAnsi="Arial"/>
          <w:sz w:val="21"/>
          <w:szCs w:val="21"/>
        </w:rPr>
        <w:t xml:space="preserve">Report FDR-adjusted p-values across all 30 pairs. Acknowledge that significance depends on accepting the single-pair economic prior. Consider pre-registered replication as the definitive next step.</w:t>
      </w:r>
    </w:p>
    <w:p>
      <w:pPr>
        <w:pStyle w:val="Heading2"/>
        <w:spacing w:after="120" w:before="240"/>
      </w:pPr>
      <w:r>
        <w:rPr>
          <w:rFonts w:ascii="Arial" w:cs="Arial" w:eastAsia="Arial" w:hAnsi="Arial"/>
          <w:b/>
          <w:bCs/>
          <w:color w:val="2c5282"/>
          <w:sz w:val="26"/>
          <w:szCs w:val="26"/>
        </w:rPr>
        <w:t xml:space="preserve">2.5 Local Optima Sensitivity</w:t>
      </w:r>
    </w:p>
    <w:p>
      <w:pPr>
        <w:spacing w:after="80" w:before="80"/>
      </w:pPr>
      <w:r>
        <w:rPr>
          <w:rFonts w:ascii="Arial" w:cs="Arial" w:eastAsia="Arial" w:hAnsi="Arial"/>
          <w:b/>
          <w:bCs/>
          <w:color w:val="D69E2E"/>
          <w:sz w:val="20"/>
          <w:szCs w:val="20"/>
        </w:rPr>
        <w:t xml:space="preserve">[MODERATE]</w:t>
      </w:r>
      <w:r>
        <w:rPr>
          <w:rFonts w:ascii="Arial" w:cs="Arial" w:eastAsia="Arial" w:hAnsi="Arial"/>
          <w:i/>
          <w:iCs/>
          <w:color w:val="718096"/>
          <w:sz w:val="20"/>
          <w:szCs w:val="20"/>
        </w:rPr>
        <w:t xml:space="preserve">  Convergence: 3/4 reviewers</w:t>
      </w:r>
    </w:p>
    <w:p>
      <w:pPr>
        <w:spacing w:after="80" w:before="80"/>
      </w:pPr>
      <w:r>
        <w:rPr>
          <w:rFonts w:ascii="Arial" w:cs="Arial" w:eastAsia="Arial" w:hAnsi="Arial"/>
          <w:sz w:val="21"/>
          <w:szCs w:val="21"/>
        </w:rPr>
        <w:t xml:space="preserve">The paper identifies 7 distinct local optima clusters from 50 seeds. OOS Elevated significance holds in 2 of 3 optima (the two highest-LL), which the paper frames as 2/3 robustness. However, when viewed across all 7 clusters, only 5/7 show p &lt; 0.05 at OOS Elevated, and the lowest-LL optimum (9 seeds) is null. BIC values for all 7 clusters are reported in the appendix but should appear more prominently.</w:t>
      </w:r>
    </w:p>
    <w:p>
      <w:pPr>
        <w:spacing w:after="80" w:before="80"/>
      </w:pPr>
      <w:r>
        <w:rPr>
          <w:rFonts w:ascii="Arial" w:cs="Arial" w:eastAsia="Arial" w:hAnsi="Arial"/>
          <w:b/>
          <w:bCs/>
          <w:sz w:val="21"/>
          <w:szCs w:val="21"/>
        </w:rPr>
        <w:t xml:space="preserve">Recommendation: </w:t>
      </w:r>
      <w:r>
        <w:rPr>
          <w:rFonts w:ascii="Arial" w:cs="Arial" w:eastAsia="Arial" w:hAnsi="Arial"/>
          <w:sz w:val="21"/>
          <w:szCs w:val="21"/>
        </w:rPr>
        <w:t xml:space="preserve">Report a summary table in the main text showing OOS results across all local optima clusters. Consider Bayesian model averaging over optima as a robustness check.</w:t>
      </w:r>
    </w:p>
    <w:p>
      <w:pPr>
        <w:pStyle w:val="Heading2"/>
        <w:spacing w:after="120" w:before="240"/>
      </w:pPr>
      <w:r>
        <w:rPr>
          <w:rFonts w:ascii="Arial" w:cs="Arial" w:eastAsia="Arial" w:hAnsi="Arial"/>
          <w:b/>
          <w:bCs/>
          <w:color w:val="2c5282"/>
          <w:sz w:val="26"/>
          <w:szCs w:val="26"/>
        </w:rPr>
        <w:t xml:space="preserve">2.6 TOST Equivalence Margin Unjustified</w:t>
      </w:r>
    </w:p>
    <w:p>
      <w:pPr>
        <w:spacing w:after="80" w:before="80"/>
      </w:pPr>
      <w:r>
        <w:rPr>
          <w:rFonts w:ascii="Arial" w:cs="Arial" w:eastAsia="Arial" w:hAnsi="Arial"/>
          <w:b/>
          <w:bCs/>
          <w:color w:val="D69E2E"/>
          <w:sz w:val="20"/>
          <w:szCs w:val="20"/>
        </w:rPr>
        <w:t xml:space="preserve">[MODERATE]</w:t>
      </w:r>
      <w:r>
        <w:rPr>
          <w:rFonts w:ascii="Arial" w:cs="Arial" w:eastAsia="Arial" w:hAnsi="Arial"/>
          <w:i/>
          <w:iCs/>
          <w:color w:val="718096"/>
          <w:sz w:val="20"/>
          <w:szCs w:val="20"/>
        </w:rPr>
        <w:t xml:space="preserve">  Convergence: 2/4 reviewers</w:t>
      </w:r>
    </w:p>
    <w:p>
      <w:pPr>
        <w:spacing w:after="80" w:before="80"/>
      </w:pPr>
      <w:r>
        <w:rPr>
          <w:rFonts w:ascii="Arial" w:cs="Arial" w:eastAsia="Arial" w:hAnsi="Arial"/>
          <w:sz w:val="21"/>
          <w:szCs w:val="21"/>
        </w:rPr>
        <w:t xml:space="preserve">The TOST equivalence test uses margin |β| &lt; 0.05 to confirm post-GFC absence, but this margin is not justified a priori. The paper does not clarify whether β refers to a standardized coefficient, raw regression coefficient, or effect size. Without justification, the margin appears reverse-engineered to match the observed post-GFC estimates.</w:t>
      </w:r>
    </w:p>
    <w:p>
      <w:pPr>
        <w:spacing w:after="80" w:before="80"/>
      </w:pPr>
      <w:r>
        <w:rPr>
          <w:rFonts w:ascii="Arial" w:cs="Arial" w:eastAsia="Arial" w:hAnsi="Arial"/>
          <w:b/>
          <w:bCs/>
          <w:sz w:val="21"/>
          <w:szCs w:val="21"/>
        </w:rPr>
        <w:t xml:space="preserve">Recommendation: </w:t>
      </w:r>
      <w:r>
        <w:rPr>
          <w:rFonts w:ascii="Arial" w:cs="Arial" w:eastAsia="Arial" w:hAnsi="Arial"/>
          <w:sz w:val="21"/>
          <w:szCs w:val="21"/>
        </w:rPr>
        <w:t xml:space="preserve">Justify the margin with reference to the factor predictability literature (e.g., Ehsani &amp; Linnainmaa 2022 effect sizes). Conduct sensitivity analysis with margins 0.01, 0.02, 0.10. Clarify what β represents.</w:t>
      </w:r>
    </w:p>
    <w:p>
      <w:pPr>
        <w:pStyle w:val="Heading2"/>
        <w:spacing w:after="120" w:before="240"/>
      </w:pPr>
      <w:r>
        <w:rPr>
          <w:rFonts w:ascii="Arial" w:cs="Arial" w:eastAsia="Arial" w:hAnsi="Arial"/>
          <w:b/>
          <w:bCs/>
          <w:color w:val="2c5282"/>
          <w:sz w:val="26"/>
          <w:szCs w:val="26"/>
        </w:rPr>
        <w:t xml:space="preserve">2.7 HAC Bandwidth Selection</w:t>
      </w:r>
    </w:p>
    <w:p>
      <w:pPr>
        <w:spacing w:after="80" w:before="80"/>
      </w:pPr>
      <w:r>
        <w:rPr>
          <w:rFonts w:ascii="Arial" w:cs="Arial" w:eastAsia="Arial" w:hAnsi="Arial"/>
          <w:b/>
          <w:bCs/>
          <w:color w:val="D69E2E"/>
          <w:sz w:val="20"/>
          <w:szCs w:val="20"/>
        </w:rPr>
        <w:t xml:space="preserve">[MODERATE]</w:t>
      </w:r>
      <w:r>
        <w:rPr>
          <w:rFonts w:ascii="Arial" w:cs="Arial" w:eastAsia="Arial" w:hAnsi="Arial"/>
          <w:i/>
          <w:iCs/>
          <w:color w:val="718096"/>
          <w:sz w:val="20"/>
          <w:szCs w:val="20"/>
        </w:rPr>
        <w:t xml:space="preserve">  Convergence: 1/4 reviewers (methodology specialist)</w:t>
      </w:r>
    </w:p>
    <w:p>
      <w:pPr>
        <w:spacing w:after="80" w:before="80"/>
      </w:pPr>
      <w:r>
        <w:rPr>
          <w:rFonts w:ascii="Arial" w:cs="Arial" w:eastAsia="Arial" w:hAnsi="Arial"/>
          <w:sz w:val="21"/>
          <w:szCs w:val="21"/>
        </w:rPr>
        <w:t xml:space="preserve">The paper uses Newey-West bandwidth = 1 (matching Granger lag) as the primary specification. Standard rules-of-thumb (Andrews 1991) suggest bandwidth ≈ 30 for daily data with T ≈ 8,500. Using bandwidth = 1 may underestimate long-run variance and inflate test statistics. The paper does report bandwidth sensitivity (1, 4, 7, 10, 15) with p &lt; 0.05 throughout, which partially mitigates this concern.</w:t>
      </w:r>
    </w:p>
    <w:p>
      <w:pPr>
        <w:spacing w:after="80" w:before="80"/>
      </w:pPr>
      <w:r>
        <w:rPr>
          <w:rFonts w:ascii="Arial" w:cs="Arial" w:eastAsia="Arial" w:hAnsi="Arial"/>
          <w:b/>
          <w:bCs/>
          <w:sz w:val="21"/>
          <w:szCs w:val="21"/>
        </w:rPr>
        <w:t xml:space="preserve">Recommendation: </w:t>
      </w:r>
      <w:r>
        <w:rPr>
          <w:rFonts w:ascii="Arial" w:cs="Arial" w:eastAsia="Arial" w:hAnsi="Arial"/>
          <w:sz w:val="21"/>
          <w:szCs w:val="21"/>
        </w:rPr>
        <w:t xml:space="preserve">Include data-driven bandwidth (Andrews 1991 or Newey-West 1994 automatic selection) as a robustness check. The existing sensitivity range (1–15) should be extended.</w:t>
      </w:r>
    </w:p>
    <w:p>
      <w:pPr>
        <w:pStyle w:val="Heading2"/>
        <w:spacing w:after="120" w:before="240"/>
      </w:pPr>
      <w:r>
        <w:rPr>
          <w:rFonts w:ascii="Arial" w:cs="Arial" w:eastAsia="Arial" w:hAnsi="Arial"/>
          <w:b/>
          <w:bCs/>
          <w:color w:val="2c5282"/>
          <w:sz w:val="26"/>
          <w:szCs w:val="26"/>
        </w:rPr>
        <w:t xml:space="preserve">2.8 K-Value Sensitivity</w:t>
      </w:r>
    </w:p>
    <w:p>
      <w:pPr>
        <w:spacing w:after="80" w:before="80"/>
      </w:pPr>
      <w:r>
        <w:rPr>
          <w:rFonts w:ascii="Arial" w:cs="Arial" w:eastAsia="Arial" w:hAnsi="Arial"/>
          <w:b/>
          <w:bCs/>
          <w:color w:val="D69E2E"/>
          <w:sz w:val="20"/>
          <w:szCs w:val="20"/>
        </w:rPr>
        <w:t xml:space="preserve">[MODERATE]</w:t>
      </w:r>
      <w:r>
        <w:rPr>
          <w:rFonts w:ascii="Arial" w:cs="Arial" w:eastAsia="Arial" w:hAnsi="Arial"/>
          <w:i/>
          <w:iCs/>
          <w:color w:val="718096"/>
          <w:sz w:val="20"/>
          <w:szCs w:val="20"/>
        </w:rPr>
        <w:t xml:space="preserve">  Convergence: 3/4 reviewers</w:t>
      </w:r>
    </w:p>
    <w:p>
      <w:pPr>
        <w:spacing w:after="80" w:before="80"/>
      </w:pPr>
      <w:r>
        <w:rPr>
          <w:rFonts w:ascii="Arial" w:cs="Arial" w:eastAsia="Arial" w:hAnsi="Arial"/>
          <w:sz w:val="21"/>
          <w:szCs w:val="21"/>
        </w:rPr>
        <w:t xml:space="preserve">Results are significant only at K = 3 (BIC-selected). K = 2 yields null, K = 4 yields marginal results. While BIC selection is standard, the ΔBIC values (+1,680 for K=2, +312 for K=4) suggest K = 4 is a competitive alternative. The K-dependence, combined with local optima sensitivity, suggests the finding is fragile to model specification choices.</w:t>
      </w:r>
    </w:p>
    <w:p>
      <w:pPr>
        <w:spacing w:after="80" w:before="80"/>
      </w:pPr>
      <w:r>
        <w:rPr>
          <w:rFonts w:ascii="Arial" w:cs="Arial" w:eastAsia="Arial" w:hAnsi="Arial"/>
          <w:b/>
          <w:bCs/>
          <w:sz w:val="21"/>
          <w:szCs w:val="21"/>
        </w:rPr>
        <w:t xml:space="preserve">Recommendation: </w:t>
      </w:r>
      <w:r>
        <w:rPr>
          <w:rFonts w:ascii="Arial" w:cs="Arial" w:eastAsia="Arial" w:hAnsi="Arial"/>
          <w:sz w:val="21"/>
          <w:szCs w:val="21"/>
        </w:rPr>
        <w:t xml:space="preserve">The K-sensitivity table (Table 5) is excellent transparency. Consider adding a brief discussion of why K = 3 matters economically (three distinct market states) beyond BIC justification.</w:t>
      </w:r>
    </w:p>
    <w:p>
      <w:r>
        <w:br w:type="page"/>
      </w:r>
    </w:p>
    <w:p>
      <w:pPr>
        <w:pStyle w:val="Heading1"/>
        <w:spacing w:after="120" w:before="360"/>
      </w:pPr>
      <w:r>
        <w:rPr>
          <w:rFonts w:ascii="Arial" w:cs="Arial" w:eastAsia="Arial" w:hAnsi="Arial"/>
          <w:b/>
          <w:bCs/>
          <w:color w:val="1a365d"/>
          <w:sz w:val="32"/>
          <w:szCs w:val="32"/>
        </w:rPr>
        <w:t xml:space="preserve">3. Novelty and Contribution Assessment</w:t>
      </w:r>
    </w:p>
    <w:p>
      <w:pPr>
        <w:pStyle w:val="Heading2"/>
        <w:spacing w:after="120" w:before="240"/>
      </w:pPr>
      <w:r>
        <w:rPr>
          <w:rFonts w:ascii="Arial" w:cs="Arial" w:eastAsia="Arial" w:hAnsi="Arial"/>
          <w:b/>
          <w:bCs/>
          <w:color w:val="2c5282"/>
          <w:sz w:val="26"/>
          <w:szCs w:val="26"/>
        </w:rPr>
        <w:t xml:space="preserve">Strengths</w:t>
      </w:r>
    </w:p>
    <w:p>
      <w:pPr>
        <w:spacing w:after="80" w:before="80"/>
      </w:pPr>
      <w:r>
        <w:rPr>
          <w:rFonts w:ascii="Arial" w:cs="Arial" w:eastAsia="Arial" w:hAnsi="Arial"/>
          <w:sz w:val="21"/>
          <w:szCs w:val="21"/>
        </w:rPr>
        <w:t xml:space="preserve">The paper identifies a genuinely interesting empirical pattern: the appearance, disappearance, and potential re-emergence of cross-factor predictability across market regimes. The dated structural break (January 2008) provides a concrete anchor for the finding. The frozen OOS design is methodologically exemplary and rare in the factor predictability literature. The transparent disclosure of fragility (local optima, K-sensitivity, scale conventions) sets a commendable standard for empirical honesty.</w:t>
      </w:r>
    </w:p>
    <w:p>
      <w:pPr>
        <w:pStyle w:val="Heading2"/>
        <w:spacing w:after="120" w:before="240"/>
      </w:pPr>
      <w:r>
        <w:rPr>
          <w:rFonts w:ascii="Arial" w:cs="Arial" w:eastAsia="Arial" w:hAnsi="Arial"/>
          <w:b/>
          <w:bCs/>
          <w:color w:val="2c5282"/>
          <w:sz w:val="26"/>
          <w:szCs w:val="26"/>
        </w:rPr>
        <w:t xml:space="preserve">Limitations</w:t>
      </w:r>
    </w:p>
    <w:p>
      <w:pPr>
        <w:spacing w:after="80" w:before="80"/>
      </w:pPr>
      <w:r>
        <w:rPr>
          <w:rFonts w:ascii="Arial" w:cs="Arial" w:eastAsia="Arial" w:hAnsi="Arial"/>
          <w:sz w:val="21"/>
          <w:szCs w:val="21"/>
        </w:rPr>
        <w:t xml:space="preserve">The contribution is incremental rather than transformative. The methodology (HMM + Granger causality) is standard; the novelty lies in applying it to FF factor pairs. The paper correctly acknowledges small effect sizes (ΔR² &lt; 1% OOS) and no trading profits (Sharpe = -0.07), but this raises the question of practical relevance. The academic value framing (informing factor-timing models) is reasonable but would be strengthened by proposing a concrete use case, such as a regime-conditional allocation model or risk metric.</w:t>
      </w:r>
    </w:p>
    <w:p>
      <w:pPr>
        <w:pStyle w:val="Heading2"/>
        <w:spacing w:after="120" w:before="240"/>
      </w:pPr>
      <w:r>
        <w:rPr>
          <w:rFonts w:ascii="Arial" w:cs="Arial" w:eastAsia="Arial" w:hAnsi="Arial"/>
          <w:b/>
          <w:bCs/>
          <w:color w:val="2c5282"/>
          <w:sz w:val="26"/>
          <w:szCs w:val="26"/>
        </w:rPr>
        <w:t xml:space="preserve">Positioning Gap</w:t>
      </w:r>
    </w:p>
    <w:p>
      <w:pPr>
        <w:spacing w:after="80" w:before="80"/>
      </w:pPr>
      <w:r>
        <w:rPr>
          <w:rFonts w:ascii="Arial" w:cs="Arial" w:eastAsia="Arial" w:hAnsi="Arial"/>
          <w:sz w:val="21"/>
          <w:szCs w:val="21"/>
        </w:rPr>
        <w:t xml:space="preserve">The paper sits between factor timing (Haddad et al. 2020), connectedness (Billio et al. 2012; Diebold-Yilmaz 2012), and causal factor investing (López de Prado 2023) without fully committing to any. The literature review could benefit from deeper engagement with the factor mirages critique and with recent crowding literature (2023–2025). The connection between statistical findings and economic mechanism (deleveraging cascade) remains hypothetical, with only 2/6 events matching the expected pattern.</w:t>
      </w:r>
    </w:p>
    <w:p>
      <w:pPr>
        <w:spacing w:after="80" w:before="80"/>
      </w:pPr>
      <w:r>
        <w:rPr>
          <w:rFonts w:ascii="Arial" w:cs="Arial" w:eastAsia="Arial" w:hAnsi="Arial"/>
          <w:b/>
          <w:bCs/>
          <w:sz w:val="21"/>
          <w:szCs w:val="21"/>
        </w:rPr>
        <w:t xml:space="preserve">Tier Assessment: </w:t>
      </w:r>
      <w:r>
        <w:rPr>
          <w:rFonts w:ascii="Arial" w:cs="Arial" w:eastAsia="Arial" w:hAnsi="Arial"/>
          <w:sz w:val="21"/>
          <w:szCs w:val="21"/>
        </w:rPr>
        <w:t xml:space="preserve">Solid Tier 2 (empirical documentation with rigorous methodology). To reach Tier 1, the paper would need either a concrete application (backtested strategy, portfolio model) or stronger causal identification (instrumental variables, natural experiment).</w:t>
      </w:r>
    </w:p>
    <w:p>
      <w:r>
        <w:br w:type="page"/>
      </w:r>
    </w:p>
    <w:p>
      <w:pPr>
        <w:pStyle w:val="Heading1"/>
        <w:spacing w:after="120" w:before="360"/>
      </w:pPr>
      <w:r>
        <w:rPr>
          <w:rFonts w:ascii="Arial" w:cs="Arial" w:eastAsia="Arial" w:hAnsi="Arial"/>
          <w:b/>
          <w:bCs/>
          <w:color w:val="1a365d"/>
          <w:sz w:val="32"/>
          <w:szCs w:val="32"/>
        </w:rPr>
        <w:t xml:space="preserve">4. Writing and Presentation</w:t>
      </w:r>
    </w:p>
    <w:p>
      <w:pPr>
        <w:pStyle w:val="Heading2"/>
        <w:spacing w:after="120" w:before="240"/>
      </w:pPr>
      <w:r>
        <w:rPr>
          <w:rFonts w:ascii="Arial" w:cs="Arial" w:eastAsia="Arial" w:hAnsi="Arial"/>
          <w:b/>
          <w:bCs/>
          <w:color w:val="2c5282"/>
          <w:sz w:val="26"/>
          <w:szCs w:val="26"/>
        </w:rPr>
        <w:t xml:space="preserve">4.1 Overcaveation Problem</w:t>
      </w:r>
    </w:p>
    <w:p>
      <w:pPr>
        <w:spacing w:after="80" w:before="80"/>
      </w:pPr>
      <w:r>
        <w:rPr>
          <w:rFonts w:ascii="Arial" w:cs="Arial" w:eastAsia="Arial" w:hAnsi="Arial"/>
          <w:sz w:val="21"/>
          <w:szCs w:val="21"/>
        </w:rPr>
        <w:t xml:space="preserve">The most consistent presentation concern across reviewers is excessive defensive hedging. The phrase "predictive precedence, not structural causality" appears four times in near-identical form (abstract, introduction, methodology, limitations). Every ICAIF reader understands that Granger causality is not structural causality. By the fourth repetition, the paper rhetorically undermines its own claims. Similarly, effect-size caveats (ΔR² &lt; 1%, Sharpe = -0.07) appear in both the abstract and limitations, creating redundancy.</w:t>
      </w:r>
    </w:p>
    <w:p>
      <w:pPr>
        <w:spacing w:after="80" w:before="80"/>
      </w:pPr>
      <w:r>
        <w:rPr>
          <w:rFonts w:ascii="Arial" w:cs="Arial" w:eastAsia="Arial" w:hAnsi="Arial"/>
          <w:b/>
          <w:bCs/>
          <w:sz w:val="21"/>
          <w:szCs w:val="21"/>
        </w:rPr>
        <w:t xml:space="preserve">Fix: </w:t>
      </w:r>
      <w:r>
        <w:rPr>
          <w:rFonts w:ascii="Arial" w:cs="Arial" w:eastAsia="Arial" w:hAnsi="Arial"/>
          <w:sz w:val="21"/>
          <w:szCs w:val="21"/>
        </w:rPr>
        <w:t xml:space="preserve">Keep one clear statement of the causal scope limitation in the methodology section. Compress subsequent mentions to a citation: "(which documents predictive precedence; see Section X)." This recovers approximately 30 lines of valuable space.</w:t>
      </w:r>
    </w:p>
    <w:p>
      <w:pPr>
        <w:pStyle w:val="Heading2"/>
        <w:spacing w:after="120" w:before="240"/>
      </w:pPr>
      <w:r>
        <w:rPr>
          <w:rFonts w:ascii="Arial" w:cs="Arial" w:eastAsia="Arial" w:hAnsi="Arial"/>
          <w:b/>
          <w:bCs/>
          <w:color w:val="2c5282"/>
          <w:sz w:val="26"/>
          <w:szCs w:val="26"/>
        </w:rPr>
        <w:t xml:space="preserve">4.2 Narrative Flow</w:t>
      </w:r>
    </w:p>
    <w:p>
      <w:pPr>
        <w:spacing w:after="80" w:before="80"/>
      </w:pPr>
      <w:r>
        <w:rPr>
          <w:rFonts w:ascii="Arial" w:cs="Arial" w:eastAsia="Arial" w:hAnsi="Arial"/>
          <w:sz w:val="21"/>
          <w:szCs w:val="21"/>
        </w:rPr>
        <w:t xml:space="preserve">Findings and caveats are interleaved rather than separated. In the structural break section (lines 443–470), the Chow test result, Quandt-Andrews discrepancy, CUSUM, TOST, and post-hoc interpretations are packed into one dense paragraph. Readers lose the primary finding in a thicket of qualifications.</w:t>
      </w:r>
    </w:p>
    <w:p>
      <w:pPr>
        <w:spacing w:after="80" w:before="80"/>
      </w:pPr>
      <w:r>
        <w:rPr>
          <w:rFonts w:ascii="Arial" w:cs="Arial" w:eastAsia="Arial" w:hAnsi="Arial"/>
          <w:b/>
          <w:bCs/>
          <w:sz w:val="21"/>
          <w:szCs w:val="21"/>
        </w:rPr>
        <w:t xml:space="preserve">Fix: </w:t>
      </w:r>
      <w:r>
        <w:rPr>
          <w:rFonts w:ascii="Arial" w:cs="Arial" w:eastAsia="Arial" w:hAnsi="Arial"/>
          <w:sz w:val="21"/>
          <w:szCs w:val="21"/>
        </w:rPr>
        <w:t xml:space="preserve">Split into two subsections: (1) Results (presenting the statistical findings cleanly) and (2) Interpretation and Caveats (discussing limitations and alternatives). This is a structural change that dramatically improves readability.</w:t>
      </w:r>
    </w:p>
    <w:p>
      <w:pPr>
        <w:pStyle w:val="Heading2"/>
        <w:spacing w:after="120" w:before="240"/>
      </w:pPr>
      <w:r>
        <w:rPr>
          <w:rFonts w:ascii="Arial" w:cs="Arial" w:eastAsia="Arial" w:hAnsi="Arial"/>
          <w:b/>
          <w:bCs/>
          <w:color w:val="2c5282"/>
          <w:sz w:val="26"/>
          <w:szCs w:val="26"/>
        </w:rPr>
        <w:t xml:space="preserve">4.3 Main Text vs. Appendix Balance</w:t>
      </w:r>
    </w:p>
    <w:p>
      <w:pPr>
        <w:spacing w:after="80" w:before="80"/>
      </w:pPr>
      <w:r>
        <w:rPr>
          <w:rFonts w:ascii="Arial" w:cs="Arial" w:eastAsia="Arial" w:hAnsi="Arial"/>
          <w:sz w:val="21"/>
          <w:szCs w:val="21"/>
        </w:rPr>
        <w:t xml:space="preserve">The appendix contains approximately 36% of the paper. Key evidence that should be in the main text includes: the FF25 overlap analysis (currently summarized in one sentence), the local optima taxonomy (critical for interpreting OOS results), and the event-level validation (only 2/6 events match, which is important context). Conversely, the sample overlap consideration (lines 240–256) could move to an appendix.</w:t>
      </w:r>
    </w:p>
    <w:p>
      <w:pPr>
        <w:pStyle w:val="Heading2"/>
        <w:spacing w:after="120" w:before="240"/>
      </w:pPr>
      <w:r>
        <w:rPr>
          <w:rFonts w:ascii="Arial" w:cs="Arial" w:eastAsia="Arial" w:hAnsi="Arial"/>
          <w:b/>
          <w:bCs/>
          <w:color w:val="2c5282"/>
          <w:sz w:val="26"/>
          <w:szCs w:val="26"/>
        </w:rPr>
        <w:t xml:space="preserve">4.4 Frozen OOS Framing</w:t>
      </w:r>
    </w:p>
    <w:p>
      <w:pPr>
        <w:spacing w:after="80" w:before="80"/>
      </w:pPr>
      <w:r>
        <w:rPr>
          <w:rFonts w:ascii="Arial" w:cs="Arial" w:eastAsia="Arial" w:hAnsi="Arial"/>
          <w:sz w:val="21"/>
          <w:szCs w:val="21"/>
        </w:rPr>
        <w:t xml:space="preserve">The paper frames the frozen OOS result as "exploratory supporting evidence, not a co-equal finding" and repeatedly qualifies it as "modest" and "fragile." While intellectual honesty is admirable, this pre-judges the reader's interpretation. A more effective framing would lead with the positive validation, then enumerate specific dependencies.</w:t>
      </w:r>
    </w:p>
    <w:p>
      <w:pPr>
        <w:spacing w:after="80" w:before="80"/>
      </w:pPr>
      <w:r>
        <w:rPr>
          <w:rFonts w:ascii="Arial" w:cs="Arial" w:eastAsia="Arial" w:hAnsi="Arial"/>
          <w:b/>
          <w:bCs/>
          <w:sz w:val="21"/>
          <w:szCs w:val="21"/>
        </w:rPr>
        <w:t xml:space="preserve">Suggested reframe: </w:t>
      </w:r>
      <w:r>
        <w:rPr>
          <w:rFonts w:ascii="Arial" w:cs="Arial" w:eastAsia="Arial" w:hAnsi="Arial"/>
          <w:sz w:val="21"/>
          <w:szCs w:val="21"/>
        </w:rPr>
        <w:t xml:space="preserve">"Our primary OOS validation generalizes the regime structure to held-out 2013–2024 data. Elevated-regime HML→SMB is significant (F-p = 0.014, HAC-p = 0.041, ΔR² = 0.73%), confirming regime-conditional structure persists post-GFC. This result depends on three modeling choices discussed in Section X."</w:t>
      </w:r>
    </w:p>
    <w:p>
      <w:r>
        <w:br w:type="page"/>
      </w:r>
    </w:p>
    <w:p>
      <w:pPr>
        <w:pStyle w:val="Heading1"/>
        <w:spacing w:after="120" w:before="360"/>
      </w:pPr>
      <w:r>
        <w:rPr>
          <w:rFonts w:ascii="Arial" w:cs="Arial" w:eastAsia="Arial" w:hAnsi="Arial"/>
          <w:b/>
          <w:bCs/>
          <w:color w:val="1a365d"/>
          <w:sz w:val="32"/>
          <w:szCs w:val="32"/>
        </w:rPr>
        <w:t xml:space="preserve">5. Recommended Additional Analyses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4050"/>
        <w:gridCol w:w="2430"/>
      </w:tblGrid>
      <w:tr>
        <w:tc>
          <w:tcPr>
            <w:tcW w:type="dxa" w:w="324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shd/>
              </w:rPr>
              <w:t xml:space="preserve">Analysis</w:t>
            </w:r>
          </w:p>
        </w:tc>
        <w:tc>
          <w:tcPr>
            <w:tcW w:type="dxa" w:w="405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shd/>
              </w:rPr>
              <w:t xml:space="preserve">Purpose</w:t>
            </w:r>
          </w:p>
        </w:tc>
        <w:tc>
          <w:tcPr>
            <w:tcW w:type="dxa" w:w="243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spacing w:after="40" w:before="40"/>
            </w:pPr>
            <w:r>
              <w:rPr>
                <w:rFonts w:ascii="Arial" w:cs="Arial" w:eastAsia="Arial" w:hAnsi="Arial"/>
                <w:b/>
                <w:bCs/>
                <w:color w:val="FFFFFF"/>
                <w:sz w:val="20"/>
                <w:szCs w:val="20"/>
                <w:shd/>
              </w:rPr>
              <w:t xml:space="preserve">Priority</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Regime-prevalence reweighting</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Decompose whether OOS significance is driven by Elevated expansion (13.7% → 30.7%)</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C53030"/>
                <w:sz w:val="20"/>
                <w:szCs w:val="20"/>
              </w:rPr>
              <w:t xml:space="preserve">[CRITICAL]</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Chow test at June 1998</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Test the data-driven breakpoint and compare with January 2008 narrative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C53030"/>
                <w:sz w:val="20"/>
                <w:szCs w:val="20"/>
              </w:rPr>
              <w:t xml:space="preserve">[CRITICAL]</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FDR-adjusted 30-pair p-values</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Address pair-selection multiplicity directly</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DD6B20"/>
                <w:sz w:val="20"/>
                <w:szCs w:val="20"/>
              </w:rPr>
              <w:t xml:space="preserve">[MAJOR]</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Explain n discrepancy (836 vs. 953)</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Resolve scale convention ambiguity</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DD6B20"/>
                <w:sz w:val="20"/>
                <w:szCs w:val="20"/>
              </w:rPr>
              <w:t xml:space="preserve">[MAJOR]</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Data-driven HAC bandwidth</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Verify bandwidth = 1 is not inflating significance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D69E2E"/>
                <w:sz w:val="20"/>
                <w:szCs w:val="20"/>
              </w:rPr>
              <w:t xml:space="preserve">[MODERATE]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TOST margin sensitivity</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Report results at margins 0.01, 0.02, 0.05, 0.10</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D69E2E"/>
                <w:sz w:val="20"/>
                <w:szCs w:val="20"/>
              </w:rPr>
              <w:t xml:space="preserve">[MODERATE]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Within-regime ADF/KPSS</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Verify stationarity assumption holds per-regime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D69E2E"/>
                <w:sz w:val="20"/>
                <w:szCs w:val="20"/>
              </w:rPr>
              <w:t xml:space="preserve">[MODERATE]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HMM trained on 1990–2007 only</w:t>
            </w:r>
          </w:p>
        </w:tc>
        <w:tc>
          <w:tcPr>
            <w:tcW w:type="dxa" w:w="4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Sensitivity check: exclude post-break training data</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D69E2E"/>
                <w:sz w:val="20"/>
                <w:szCs w:val="20"/>
              </w:rPr>
              <w:t xml:space="preserve">[MODERATE]</w:t>
            </w:r>
          </w:p>
        </w:tc>
      </w:tr>
    </w:tbl>
    <w:p>
      <w:r>
        <w:br w:type="page"/>
      </w:r>
    </w:p>
    <w:p>
      <w:pPr>
        <w:pStyle w:val="Heading1"/>
        <w:spacing w:after="120" w:before="360"/>
      </w:pPr>
      <w:r>
        <w:rPr>
          <w:rFonts w:ascii="Arial" w:cs="Arial" w:eastAsia="Arial" w:hAnsi="Arial"/>
          <w:b/>
          <w:bCs/>
          <w:color w:val="1a365d"/>
          <w:sz w:val="32"/>
          <w:szCs w:val="32"/>
        </w:rPr>
        <w:t xml:space="preserve">6. What the Paper Does Well</w:t>
      </w:r>
    </w:p>
    <w:p>
      <w:pPr>
        <w:spacing w:after="80" w:before="80"/>
      </w:pPr>
      <w:r>
        <w:rPr>
          <w:rFonts w:ascii="Arial" w:cs="Arial" w:eastAsia="Arial" w:hAnsi="Arial"/>
          <w:sz w:val="21"/>
          <w:szCs w:val="21"/>
        </w:rPr>
        <w:t xml:space="preserve">Despite the concerns above, this paper has significant strengths that distinguish it from typical factor predictability submissions:</w:t>
      </w:r>
    </w:p>
    <w:p>
      <w:pPr>
        <w:spacing w:after="80" w:before="80"/>
      </w:pPr>
      <w:r>
        <w:rPr>
          <w:rFonts w:ascii="Arial" w:cs="Arial" w:eastAsia="Arial" w:hAnsi="Arial"/>
          <w:b/>
          <w:bCs/>
          <w:sz w:val="21"/>
          <w:szCs w:val="21"/>
        </w:rPr>
        <w:t xml:space="preserve">Frozen OOS Design: </w:t>
      </w:r>
      <w:r>
        <w:rPr>
          <w:rFonts w:ascii="Arial" w:cs="Arial" w:eastAsia="Arial" w:hAnsi="Arial"/>
          <w:sz w:val="21"/>
          <w:szCs w:val="21"/>
        </w:rPr>
        <w:t xml:space="preserve">The two-stage approach (train HMM on 1990–2012, freeze, classify 2013–2024 without refitting) is methodologically exemplary. Many factor predictability papers fail to separate regime identification from hypothesis testing. This paper does it correctly.</w:t>
      </w:r>
    </w:p>
    <w:p>
      <w:pPr>
        <w:spacing w:after="80" w:before="80"/>
      </w:pPr>
      <w:r>
        <w:rPr>
          <w:rFonts w:ascii="Arial" w:cs="Arial" w:eastAsia="Arial" w:hAnsi="Arial"/>
          <w:b/>
          <w:bCs/>
          <w:sz w:val="21"/>
          <w:szCs w:val="21"/>
        </w:rPr>
        <w:t xml:space="preserve">Local Optima Transparency: </w:t>
      </w:r>
      <w:r>
        <w:rPr>
          <w:rFonts w:ascii="Arial" w:cs="Arial" w:eastAsia="Arial" w:hAnsi="Arial"/>
          <w:sz w:val="21"/>
          <w:szCs w:val="21"/>
        </w:rPr>
        <w:t xml:space="preserve">Reporting a full 50-seed multistart with 7 distinct optima clusters is rare and valuable. Most HMM papers report a single fit and ignore initialization sensitivity. The two-stage selection criterion (GFC detection + highest LL) is well-motivated.</w:t>
      </w:r>
    </w:p>
    <w:p>
      <w:pPr>
        <w:spacing w:after="80" w:before="80"/>
      </w:pPr>
      <w:r>
        <w:rPr>
          <w:rFonts w:ascii="Arial" w:cs="Arial" w:eastAsia="Arial" w:hAnsi="Arial"/>
          <w:b/>
          <w:bCs/>
          <w:sz w:val="21"/>
          <w:szCs w:val="21"/>
        </w:rPr>
        <w:t xml:space="preserve">Honest Effect Size Reporting: </w:t>
      </w:r>
      <w:r>
        <w:rPr>
          <w:rFonts w:ascii="Arial" w:cs="Arial" w:eastAsia="Arial" w:hAnsi="Arial"/>
          <w:sz w:val="21"/>
          <w:szCs w:val="21"/>
        </w:rPr>
        <w:t xml:space="preserve">The paper does not oversell. ΔR² &lt; 1% OOS, Sharpe = -0.07, permutation p-values straddling 0.05, and 2/3 local optima are reported without spin. This intellectual honesty builds credibility even where statistical significance is borderline.</w:t>
      </w:r>
    </w:p>
    <w:p>
      <w:pPr>
        <w:spacing w:after="80" w:before="80"/>
      </w:pPr>
      <w:r>
        <w:rPr>
          <w:rFonts w:ascii="Arial" w:cs="Arial" w:eastAsia="Arial" w:hAnsi="Arial"/>
          <w:b/>
          <w:bCs/>
          <w:sz w:val="21"/>
          <w:szCs w:val="21"/>
        </w:rPr>
        <w:t xml:space="preserve">Multiple Robustness Dimensions: </w:t>
      </w:r>
      <w:r>
        <w:rPr>
          <w:rFonts w:ascii="Arial" w:cs="Arial" w:eastAsia="Arial" w:hAnsi="Arial"/>
          <w:sz w:val="21"/>
          <w:szCs w:val="21"/>
        </w:rPr>
        <w:t xml:space="preserve">K-sensitivity, bandwidth sensitivity, MS-VAR comparison, four-model diagnostic (OLS, RF, MLP, LSTM), transfer entropy, filtered vs. smoothed probabilities, and subsample stability are all examined. The robustness package is comprehensive.</w:t>
      </w:r>
    </w:p>
    <w:p>
      <w:pPr>
        <w:spacing w:after="80" w:before="80"/>
      </w:pPr>
      <w:r>
        <w:rPr>
          <w:rFonts w:ascii="Arial" w:cs="Arial" w:eastAsia="Arial" w:hAnsi="Arial"/>
          <w:b/>
          <w:bCs/>
          <w:sz w:val="21"/>
          <w:szCs w:val="21"/>
        </w:rPr>
        <w:t xml:space="preserve">Transfer Entropy Complement: </w:t>
      </w:r>
      <w:r>
        <w:rPr>
          <w:rFonts w:ascii="Arial" w:cs="Arial" w:eastAsia="Arial" w:hAnsi="Arial"/>
          <w:sz w:val="21"/>
          <w:szCs w:val="21"/>
        </w:rPr>
        <w:t xml:space="preserve">The finding that SMB→HML operates through a nonlinear channel (TE z = 5.37, p &lt; 1e-6) while HML→SMB is linear adds genuine insight about information transmission asymmetry between factors.</w:t>
      </w:r>
    </w:p>
    <w:p>
      <w:r>
        <w:br w:type="page"/>
      </w:r>
    </w:p>
    <w:p>
      <w:pPr>
        <w:pStyle w:val="Heading1"/>
        <w:spacing w:after="120" w:before="360"/>
      </w:pPr>
      <w:r>
        <w:rPr>
          <w:rFonts w:ascii="Arial" w:cs="Arial" w:eastAsia="Arial" w:hAnsi="Arial"/>
          <w:b/>
          <w:bCs/>
          <w:color w:val="1a365d"/>
          <w:sz w:val="32"/>
          <w:szCs w:val="32"/>
        </w:rPr>
        <w:t xml:space="preserve">7. Final Verdict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vAlign w:val="center"/>
          </w:tcPr>
          <w:p>
            <w:pPr>
              <w:spacing w:after="40" w:before="40"/>
            </w:pPr>
            <w:r>
              <w:rPr>
                <w:rFonts w:ascii="Arial" w:cs="Arial" w:eastAsia="Arial" w:hAnsi="Arial"/>
                <w:b/>
                <w:bCs/>
                <w:sz w:val="20"/>
                <w:szCs w:val="20"/>
                <w:shd/>
              </w:rPr>
              <w:t xml:space="preserve">Decision</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b/>
                <w:bCs/>
                <w:color w:val="DD6B20"/>
                <w:sz w:val="22"/>
                <w:szCs w:val="22"/>
              </w:rPr>
              <w:t xml:space="preserve">MAJOR REVISION</w:t>
            </w:r>
          </w:p>
        </w:tc>
      </w:tr>
      <w:tr>
        <w:tc>
          <w:tcPr>
            <w:tcW w:type="dxa" w:w="324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vAlign w:val="center"/>
          </w:tcPr>
          <w:p>
            <w:pPr>
              <w:spacing w:after="40" w:before="40"/>
            </w:pPr>
            <w:r>
              <w:rPr>
                <w:rFonts w:ascii="Arial" w:cs="Arial" w:eastAsia="Arial" w:hAnsi="Arial"/>
                <w:b/>
                <w:bCs/>
                <w:sz w:val="20"/>
                <w:szCs w:val="20"/>
                <w:shd/>
              </w:rPr>
              <w:t xml:space="preserve">Confidence</w:t>
            </w:r>
          </w:p>
        </w:tc>
        <w:tc>
          <w:tcPr>
            <w:tcW w:type="dxa" w:w="6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Moderate (3/4 reviewers converge on Major Revision; 1/4 leans Reject)</w:t>
            </w:r>
          </w:p>
        </w:tc>
      </w:tr>
    </w:tbl>
    <w:p>
      <w:pPr>
        <w:spacing w:after="80" w:before="200"/>
      </w:pPr>
      <w:r>
        <w:rPr>
          <w:rFonts w:ascii="Arial" w:cs="Arial" w:eastAsia="Arial" w:hAnsi="Arial"/>
          <w:sz w:val="21"/>
          <w:szCs w:val="21"/>
        </w:rPr>
        <w:t xml:space="preserve"/>
      </w:r>
    </w:p>
    <w:p>
      <w:pPr>
        <w:spacing w:after="80" w:before="80"/>
      </w:pPr>
      <w:r>
        <w:rPr>
          <w:rFonts w:ascii="Arial" w:cs="Arial" w:eastAsia="Arial" w:hAnsi="Arial"/>
          <w:sz w:val="21"/>
          <w:szCs w:val="21"/>
        </w:rPr>
        <w:t xml:space="preserve">The pre-GFC structural break finding (p = 8.75e-9, Chow-confirmed, TOST-verified) is the paper's strongest contribution and is robust across multiple specifications. This alone is publishable if properly contextualized. The frozen OOS re-emergence is interesting but borderline: the dual p-value issue, regime expansion artifact, and pair-selection multiplicity all need explicit resolution.</w:t>
      </w:r>
    </w:p>
    <w:p>
      <w:pPr>
        <w:spacing w:after="80" w:before="80"/>
      </w:pPr>
      <w:r>
        <w:rPr>
          <w:rFonts w:ascii="Arial" w:cs="Arial" w:eastAsia="Arial" w:hAnsi="Arial"/>
          <w:sz w:val="21"/>
          <w:szCs w:val="21"/>
        </w:rPr>
        <w:t xml:space="preserve">The paper should not be rejected outright because: (1) the frozen OOS design represents genuine methodological care; (2) the transparency about limitations is exemplary; (3) the empirical pattern is real even if its magnitude is modest. However, the four MAJOR issues identified above must be addressed substantively, not merely acknowledged. In particular, the regime-prevalence reweighting test and the June 1998 breakpoint analysis would either strengthen or appropriately qualify the claims.</w:t>
      </w:r>
    </w:p>
    <w:p>
      <w:pPr>
        <w:pStyle w:val="Heading2"/>
        <w:spacing w:after="120" w:before="240"/>
      </w:pPr>
      <w:r>
        <w:rPr>
          <w:rFonts w:ascii="Arial" w:cs="Arial" w:eastAsia="Arial" w:hAnsi="Arial"/>
          <w:b/>
          <w:bCs/>
          <w:color w:val="2c5282"/>
          <w:sz w:val="26"/>
          <w:szCs w:val="26"/>
        </w:rPr>
        <w:t xml:space="preserve">Conditions for Acceptance</w:t>
      </w:r>
    </w:p>
    <w:p>
      <w:pPr>
        <w:spacing w:after="80" w:before="80"/>
      </w:pPr>
      <w:r>
        <w:rPr>
          <w:rFonts w:ascii="Arial" w:cs="Arial" w:eastAsia="Arial" w:hAnsi="Arial"/>
          <w:b/>
          <w:bCs/>
          <w:sz w:val="21"/>
          <w:szCs w:val="21"/>
        </w:rPr>
        <w:t xml:space="preserve">Required: </w:t>
      </w:r>
      <w:r>
        <w:rPr>
          <w:rFonts w:ascii="Arial" w:cs="Arial" w:eastAsia="Arial" w:hAnsi="Arial"/>
          <w:sz w:val="21"/>
          <w:szCs w:val="21"/>
        </w:rPr>
        <w:t xml:space="preserve">(1) Resolve the dual p-value / scale convention issue with a single pre-specified primary. (2) Investigate the June 1998 vs. January 2008 breakpoint discrepancy. (3) Conduct regime-prevalence reweighting to rule out the expansion artifact. (4) Report FDR-adjusted p-values for the 30-pair analysis.</w:t>
      </w:r>
    </w:p>
    <w:p>
      <w:pPr>
        <w:spacing w:after="80" w:before="80"/>
      </w:pPr>
      <w:r>
        <w:rPr>
          <w:rFonts w:ascii="Arial" w:cs="Arial" w:eastAsia="Arial" w:hAnsi="Arial"/>
          <w:b/>
          <w:bCs/>
          <w:sz w:val="21"/>
          <w:szCs w:val="21"/>
        </w:rPr>
        <w:t xml:space="preserve">Recommended: </w:t>
      </w:r>
      <w:r>
        <w:rPr>
          <w:rFonts w:ascii="Arial" w:cs="Arial" w:eastAsia="Arial" w:hAnsi="Arial"/>
          <w:sz w:val="21"/>
          <w:szCs w:val="21"/>
        </w:rPr>
        <w:t xml:space="preserve">(5) Justify the TOST margin a priori. (6) Extend HAC bandwidth sensitivity. (7) Reduce overcaveation (consolidate "predictive precedence" disclaimers to one location). (8) Move FF25 overlap evidence and local optima summary into main text.</w:t>
      </w:r>
    </w:p>
    <w:p>
      <w:pPr>
        <w:spacing w:after="80" w:before="300"/>
      </w:pPr>
      <w:r>
        <w:rPr>
          <w:rFonts w:ascii="Arial" w:cs="Arial" w:eastAsia="Arial" w:hAnsi="Arial"/>
          <w:sz w:val="21"/>
          <w:szCs w:val="21"/>
        </w:rPr>
        <w:t xml:space="preserve"/>
      </w:r>
    </w:p>
    <w:p>
      <w:pPr>
        <w:spacing w:after="80" w:before="80"/>
      </w:pPr>
      <w:r>
        <w:rPr>
          <w:rFonts w:ascii="Arial" w:cs="Arial" w:eastAsia="Arial" w:hAnsi="Arial"/>
          <w:i/>
          <w:iCs/>
          <w:color w:val="718096"/>
          <w:sz w:val="18"/>
          <w:szCs w:val="18"/>
        </w:rPr>
        <w:t xml:space="preserve">Review generated by four parallel subagents covering methodology/statistics, novelty/contribution, writing/presentation, and adversarial robustness analysis.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Peer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2026-02-27T09:43:20.596Z</dcterms:created>
  <dcterms:modified xsi:type="dcterms:W3CDTF">2026-02-27T09:43:20.597Z</dcterms:modified>
</cp:coreProperties>
</file>

<file path=docProps/custom.xml><?xml version="1.0" encoding="utf-8"?>
<Properties xmlns="http://schemas.openxmlformats.org/officeDocument/2006/custom-properties" xmlns:vt="http://schemas.openxmlformats.org/officeDocument/2006/docPropsVTypes"/>
</file>