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A237E"/>
          <w:sz w:val="36"/>
          <w:szCs w:val="36"/>
        </w:rPr>
        <w:t xml:space="preserve">COMPREHENSIVE PEER REVIEW</w:t>
      </w:r>
    </w:p>
    <w:p>
      <w:pPr>
        <w:spacing w:after="40"/>
        <w:jc w:val="center"/>
      </w:pPr>
      <w:r>
        <w:rPr>
          <w:rFonts w:ascii="Arial" w:cs="Arial" w:eastAsia="Arial" w:hAnsi="Arial"/>
          <w:color w:val="546E7A"/>
          <w:sz w:val="24"/>
          <w:szCs w:val="24"/>
        </w:rPr>
        <w:t xml:space="preserve">Multi-Agent Synthesis Report</w:t>
      </w:r>
    </w:p>
    <w:p>
      <w:pPr>
        <w:spacing w:after="300"/>
        <w:jc w:val="center"/>
      </w:pPr>
      <w:r>
        <w:rPr>
          <w:rFonts w:ascii="Arial" w:cs="Arial" w:eastAsia="Arial" w:hAnsi="Arial"/>
          <w:color w:val="37474F"/>
          <w:sz w:val="22"/>
          <w:szCs w:val="22"/>
        </w:rPr>
        <w:t xml:space="preserve">Paper: </w:t>
      </w:r>
      <w:r>
        <w:rPr>
          <w:rFonts w:ascii="Arial" w:cs="Arial" w:eastAsia="Arial" w:hAnsi="Arial"/>
          <w:i/>
          <w:iCs/>
          <w:color w:val="37474F"/>
          <w:sz w:val="22"/>
          <w:szCs w:val="22"/>
        </w:rPr>
        <w:t xml:space="preserve">The Rise and Fall of Cross-Factor Predictability: Regime-Dependent HML→SMB Granger Causality</w:t>
      </w:r>
    </w:p>
    <w:p>
      <w:pPr>
        <w:spacing w:after="60"/>
        <w:jc w:val="center"/>
      </w:pPr>
      <w:r>
        <w:rPr>
          <w:rFonts w:ascii="Arial" w:cs="Arial" w:eastAsia="Arial" w:hAnsi="Arial"/>
          <w:color w:val="78909C"/>
          <w:sz w:val="20"/>
          <w:szCs w:val="20"/>
        </w:rPr>
        <w:t xml:space="preserve">Target Venue: ICAIF 2026  |  Date: February 28, 2026</w:t>
      </w:r>
    </w:p>
    <w:p>
      <w:pPr>
        <w:spacing w:after="300"/>
        <w:jc w:val="center"/>
      </w:pPr>
      <w:r>
        <w:rPr>
          <w:rFonts w:ascii="Arial" w:cs="Arial" w:eastAsia="Arial" w:hAnsi="Arial"/>
          <w:color w:val="78909C"/>
          <w:sz w:val="20"/>
          <w:szCs w:val="20"/>
        </w:rPr>
        <w:t xml:space="preserve">Four independent review agents assessed methodology, economics, writing, and robustness.</w:t>
      </w:r>
    </w:p>
    <w:p>
      <w:pPr>
        <w:pStyle w:val="Heading1"/>
        <w:spacing w:after="200" w:before="360"/>
      </w:pPr>
      <w:r>
        <w:rPr>
          <w:rFonts w:ascii="Arial" w:cs="Arial" w:eastAsia="Arial" w:hAnsi="Arial"/>
          <w:b/>
          <w:bCs/>
          <w:color w:val="1A237E"/>
          <w:sz w:val="32"/>
          <w:szCs w:val="32"/>
        </w:rPr>
        <w:t xml:space="preserve">1. Overall Verdict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160"/>
      </w:tblGrid>
      <w:tr>
        <w:tc>
          <w:tcPr>
            <w:tcW w:type="dxa" w:w="3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Dimension</w:t>
            </w:r>
          </w:p>
        </w:tc>
        <w:tc>
          <w:tcPr>
            <w:tcW w:type="dxa" w:w="1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Score</w:t>
            </w:r>
          </w:p>
        </w:tc>
        <w:tc>
          <w:tcPr>
            <w:tcW w:type="dxa" w:w="51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Summary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Statistical Methodology</w:t>
            </w:r>
          </w:p>
        </w:tc>
        <w:tc>
          <w:tcPr>
            <w:tcW w:type="dxa" w:w="12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sz w:val="20"/>
                <w:szCs w:val="20"/>
              </w:rPr>
              <w:t xml:space="preserve">7.3/10</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Solid framework with transparent disclosures; concerns about HMM model selection and circular inference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Economic Contribution</w:t>
            </w:r>
          </w:p>
        </w:tc>
        <w:tc>
          <w:tcPr>
            <w:tcW w:type="dxa" w:w="12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sz w:val="20"/>
                <w:szCs w:val="20"/>
              </w:rPr>
              <w:t xml:space="preserve">5.0/10</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Incremental empirical pattern; mechanism mismatch (hypothesis predicts Crisis effects, finds Normal); small magnitudes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Writing &amp; Presentation</w:t>
            </w:r>
          </w:p>
        </w:tc>
        <w:tc>
          <w:tcPr>
            <w:tcW w:type="dxa" w:w="12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sz w:val="20"/>
                <w:szCs w:val="20"/>
              </w:rPr>
              <w:t xml:space="preserve">7.5/10</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Rigorous and honest; needs structural reorganization for accessibility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Robustness &amp; Reproducibility</w:t>
            </w:r>
          </w:p>
        </w:tc>
        <w:tc>
          <w:tcPr>
            <w:tcW w:type="dxa" w:w="12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sz w:val="20"/>
                <w:szCs w:val="20"/>
              </w:rPr>
              <w:t xml:space="preserve">4.3/10</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Pathological local optima landscape; prevalence-driven OOS significance; event validation fails</w:t>
            </w:r>
          </w:p>
        </w:tc>
      </w:tr>
    </w:tbl>
    <w:p>
      <w:pPr>
        <w:spacing w:after="200"/>
      </w:pPr>
    </w:p>
    <w:p>
      <w:pPr>
        <w:spacing w:after="120"/>
      </w:pPr>
      <w:r>
        <w:rPr>
          <w:rFonts w:ascii="Arial" w:cs="Arial" w:eastAsia="Arial" w:hAnsi="Arial"/>
          <w:b/>
          <w:bCs/>
          <w:sz w:val="20"/>
          <w:szCs w:val="20"/>
        </w:rPr>
        <w:t xml:space="preserve">Composite Score: </w:t>
      </w:r>
      <w:r>
        <w:rPr>
          <w:rFonts w:ascii="Arial" w:cs="Arial" w:eastAsia="Arial" w:hAnsi="Arial"/>
          <w:sz w:val="20"/>
          <w:szCs w:val="20"/>
        </w:rPr>
        <w:t xml:space="preserve">6.0/10 — The paper demonstrates significant methodological care and exemplary transparency, but fundamental issues with HMM identifiability, prevalence-driven OOS significance, and mechanism-finding mismatch limit the contribution.</w:t>
      </w:r>
    </w:p>
    <w:p>
      <w:pPr>
        <w:spacing w:after="120"/>
      </w:pPr>
      <w:r>
        <w:rPr>
          <w:rFonts w:ascii="Arial" w:cs="Arial" w:eastAsia="Arial" w:hAnsi="Arial"/>
          <w:b/>
          <w:bCs/>
          <w:sz w:val="20"/>
          <w:szCs w:val="20"/>
        </w:rPr>
        <w:t xml:space="preserve">Recommendation: </w:t>
      </w:r>
      <w:r>
        <w:rPr>
          <w:rFonts w:ascii="Arial" w:cs="Arial" w:eastAsia="Arial" w:hAnsi="Arial"/>
          <w:sz w:val="20"/>
          <w:szCs w:val="20"/>
        </w:rPr>
        <w:t xml:space="preserve">Major Revision. The primary in-sample finding (Normal-regime HML→SMB, p = 8.75 × 10⁻⁹) is robust and well-documented. The secondary OOS finding is fragile and should be substantially downweighted. Key revisions needed in HMM selection methodology, economic framing, and structural organization.</w:t>
      </w:r>
    </w:p>
    <w:p>
      <w:r>
        <w:br w:type="page"/>
      </w:r>
    </w:p>
    <w:p>
      <w:pPr>
        <w:pStyle w:val="Heading1"/>
        <w:spacing w:after="200" w:before="360"/>
      </w:pPr>
      <w:r>
        <w:rPr>
          <w:rFonts w:ascii="Arial" w:cs="Arial" w:eastAsia="Arial" w:hAnsi="Arial"/>
          <w:b/>
          <w:bCs/>
          <w:color w:val="1A237E"/>
          <w:sz w:val="32"/>
          <w:szCs w:val="32"/>
        </w:rPr>
        <w:t xml:space="preserve">2. Key Strengths</w:t>
      </w:r>
    </w:p>
    <w:p>
      <w:pPr>
        <w:pStyle w:val="Heading2"/>
        <w:spacing w:after="160" w:before="280"/>
      </w:pPr>
      <w:r>
        <w:rPr>
          <w:rFonts w:ascii="Arial" w:cs="Arial" w:eastAsia="Arial" w:hAnsi="Arial"/>
          <w:b/>
          <w:bCs/>
          <w:color w:val="283593"/>
          <w:sz w:val="26"/>
          <w:szCs w:val="26"/>
        </w:rPr>
        <w:t xml:space="preserve">2.1 Exceptional Transparency</w:t>
      </w:r>
    </w:p>
    <w:p>
      <w:pPr>
        <w:spacing w:after="120"/>
      </w:pPr>
      <w:r>
        <w:rPr>
          <w:rFonts w:ascii="Arial" w:cs="Arial" w:eastAsia="Arial" w:hAnsi="Arial"/>
          <w:sz w:val="20"/>
          <w:szCs w:val="20"/>
        </w:rPr>
        <w:t xml:space="preserve">This paper sets a high bar for honest reporting in empirical finance. Results are presented under multiple correction frameworks (uncorrected, 3-regime Bonferroni, 30-pair Bonferroni), bootstrap prevalence reweighting is disclosed even though it undermines the OOS finding, and the local optima taxonomy (7 clusters from 50 seeds) is fully documented. The paper explicitly labels exploratory vs. confirmatory results and acknowledges where the economic hypothesis fails (e.g., event validation: 2 of 6 events match).</w:t>
      </w:r>
    </w:p>
    <w:p>
      <w:pPr>
        <w:pStyle w:val="Heading2"/>
        <w:spacing w:after="160" w:before="280"/>
      </w:pPr>
      <w:r>
        <w:rPr>
          <w:rFonts w:ascii="Arial" w:cs="Arial" w:eastAsia="Arial" w:hAnsi="Arial"/>
          <w:b/>
          <w:bCs/>
          <w:color w:val="283593"/>
          <w:sz w:val="26"/>
          <w:szCs w:val="26"/>
        </w:rPr>
        <w:t xml:space="preserve">2.2 Frozen OOS Design</w:t>
      </w:r>
    </w:p>
    <w:p>
      <w:pPr>
        <w:spacing w:after="120"/>
      </w:pPr>
      <w:r>
        <w:rPr>
          <w:rFonts w:ascii="Arial" w:cs="Arial" w:eastAsia="Arial" w:hAnsi="Arial"/>
          <w:sz w:val="20"/>
          <w:szCs w:val="20"/>
        </w:rPr>
        <w:t xml:space="preserve">The frozen out-of-sample design (HMM trained 1990–2012, applied without refitting to 2013–2024) is a genuine methodological contribution. It prevents post-hoc optimization of Granger specifications on test data and follows Welch &amp; Goyal best practices. While it does not fully eliminate pair-selection bias or regime-identification circularity, it represents a significant improvement over standard in-sample Granger analyses.</w:t>
      </w:r>
    </w:p>
    <w:p>
      <w:pPr>
        <w:pStyle w:val="Heading2"/>
        <w:spacing w:after="160" w:before="280"/>
      </w:pPr>
      <w:r>
        <w:rPr>
          <w:rFonts w:ascii="Arial" w:cs="Arial" w:eastAsia="Arial" w:hAnsi="Arial"/>
          <w:b/>
          <w:bCs/>
          <w:color w:val="283593"/>
          <w:sz w:val="26"/>
          <w:szCs w:val="26"/>
        </w:rPr>
        <w:t xml:space="preserve">2.3 Multi-Break Structural Finding</w:t>
      </w:r>
    </w:p>
    <w:p>
      <w:pPr>
        <w:spacing w:after="120"/>
      </w:pPr>
      <w:r>
        <w:rPr>
          <w:rFonts w:ascii="Arial" w:cs="Arial" w:eastAsia="Arial" w:hAnsi="Arial"/>
          <w:sz w:val="20"/>
          <w:szCs w:val="20"/>
        </w:rPr>
        <w:t xml:space="preserve">The primary finding is robust and well-documented: Normal-regime HML→SMB Granger causality (p = 8.75 × 10⁻⁹, Bonferroni-corrected) decays through data-driven structural breaks at June 1998 (sup-F p = 1.23 × 10⁻¹³) and January 2008 (Chow p = 2.29 × 10⁻⁶). The post-2008 coefficient is indistinguishable from zero for 16 years (95% CI [−0.049, 0.073]). HAC corrections, lag sensitivity, and market control conditioning all confirm this finding.</w:t>
      </w:r>
    </w:p>
    <w:p>
      <w:pPr>
        <w:pStyle w:val="Heading2"/>
        <w:spacing w:after="160" w:before="280"/>
      </w:pPr>
      <w:r>
        <w:rPr>
          <w:rFonts w:ascii="Arial" w:cs="Arial" w:eastAsia="Arial" w:hAnsi="Arial"/>
          <w:b/>
          <w:bCs/>
          <w:color w:val="283593"/>
          <w:sz w:val="26"/>
          <w:szCs w:val="26"/>
        </w:rPr>
        <w:t xml:space="preserve">2.4 ML Diagnostic Protocol</w:t>
      </w:r>
    </w:p>
    <w:p>
      <w:pPr>
        <w:spacing w:after="120"/>
      </w:pPr>
      <w:r>
        <w:rPr>
          <w:rFonts w:ascii="Arial" w:cs="Arial" w:eastAsia="Arial" w:hAnsi="Arial"/>
          <w:sz w:val="20"/>
          <w:szCs w:val="20"/>
        </w:rPr>
        <w:t xml:space="preserve">The four-model diagnostic (OLS, RF, MLP, LSTM) is well-conceived as a complexity characterization tool. LSTM attention weights mirroring the Granger decay pattern (lag-1 concentration: 68.2% Normal → 44.2% Crisis) provide model-free confirmation that the structural break is mechanism-level. Transfer entropy revealing a hidden nonlinear reverse channel (SMB→HML, z = 5.37 in Normal) adds genuine analytical depth.</w:t>
      </w:r>
    </w:p>
    <w:p>
      <w:r>
        <w:br w:type="page"/>
      </w:r>
    </w:p>
    <w:p>
      <w:pPr>
        <w:pStyle w:val="Heading1"/>
        <w:spacing w:after="200" w:before="360"/>
      </w:pPr>
      <w:r>
        <w:rPr>
          <w:rFonts w:ascii="Arial" w:cs="Arial" w:eastAsia="Arial" w:hAnsi="Arial"/>
          <w:b/>
          <w:bCs/>
          <w:color w:val="1A237E"/>
          <w:sz w:val="32"/>
          <w:szCs w:val="32"/>
        </w:rPr>
        <w:t xml:space="preserve">3. Critical Weaknesses</w:t>
      </w:r>
    </w:p>
    <w:p>
      <w:pPr>
        <w:pStyle w:val="Heading2"/>
        <w:spacing w:after="160" w:before="280"/>
      </w:pPr>
      <w:r>
        <w:rPr>
          <w:rFonts w:ascii="Arial" w:cs="Arial" w:eastAsia="Arial" w:hAnsi="Arial"/>
          <w:b/>
          <w:bCs/>
          <w:color w:val="283593"/>
          <w:sz w:val="26"/>
          <w:szCs w:val="26"/>
        </w:rPr>
        <w:t xml:space="preserve">3.1 Pathological Local Optima Landscape</w:t>
      </w:r>
    </w:p>
    <w:p>
      <w:pPr>
        <w:spacing w:after="120"/>
      </w:pPr>
      <w:r>
        <w:rPr>
          <w:rFonts w:ascii="Arial" w:cs="Arial" w:eastAsia="Arial" w:hAnsi="Arial"/>
          <w:i w:val="false"/>
          <w:iCs w:val="false"/>
          <w:sz w:val="20"/>
          <w:szCs w:val="20"/>
        </w:rPr>
        <w:t xml:space="preserve">This is the paper’s most fundamental vulnerability. The 50-seed multistart reveals 7 distinct local optima clusters with a deeply problematic inversion:</w:t>
      </w:r>
    </w:p>
    <w:p>
      <w:pPr>
        <w:pStyle w:val="ListParagraph"/>
        <w:numPr>
          <w:ilvl w:val="0"/>
          <w:numId w:val="2"/>
        </w:numPr>
        <w:spacing w:after="80"/>
      </w:pPr>
      <w:r>
        <w:rPr>
          <w:rFonts w:ascii="Arial" w:cs="Arial" w:eastAsia="Arial" w:hAnsi="Arial"/>
          <w:sz w:val="20"/>
          <w:szCs w:val="20"/>
        </w:rPr>
        <w:t xml:space="preserve">The statistically best fit (Cluster 1, BIC = 75,587) assigns 0% of 2008 GFC days to the Crisis regime (Crisis p = 0.88). The model that fits best cannot identify the most important financial crisis in the sample.</w:t>
      </w:r>
    </w:p>
    <w:p>
      <w:pPr>
        <w:pStyle w:val="ListParagraph"/>
        <w:numPr>
          <w:ilvl w:val="0"/>
          <w:numId w:val="2"/>
        </w:numPr>
        <w:spacing w:after="80"/>
      </w:pPr>
      <w:r>
        <w:rPr>
          <w:rFonts w:ascii="Arial" w:cs="Arial" w:eastAsia="Arial" w:hAnsi="Arial"/>
          <w:sz w:val="20"/>
          <w:szCs w:val="20"/>
        </w:rPr>
        <w:t xml:space="preserve">The economically interpretable fit (Cluster 5, BIC = 75,805, ΔBIC = 218 worse) assigns 90% of 2008 to Crisis (p = 0.018). Better interpretability requires accepting a statistically inferior model.</w:t>
      </w:r>
    </w:p>
    <w:p>
      <w:pPr>
        <w:pStyle w:val="ListParagraph"/>
        <w:numPr>
          <w:ilvl w:val="0"/>
          <w:numId w:val="2"/>
        </w:numPr>
        <w:spacing w:after="80"/>
      </w:pPr>
      <w:r>
        <w:rPr>
          <w:rFonts w:ascii="Arial" w:cs="Arial" w:eastAsia="Arial" w:hAnsi="Arial"/>
          <w:sz w:val="20"/>
          <w:szCs w:val="20"/>
        </w:rPr>
        <w:t xml:space="preserve">68% of seeds (34/50) fall into clusters that fail 2008 detection entirely. The crisis-detecting fits are a minority outcome.</w:t>
      </w:r>
    </w:p>
    <w:p>
      <w:pPr>
        <w:pStyle w:val="ListParagraph"/>
        <w:numPr>
          <w:ilvl w:val="0"/>
          <w:numId w:val="2"/>
        </w:numPr>
        <w:spacing w:after="160"/>
      </w:pPr>
      <w:r>
        <w:rPr>
          <w:rFonts w:ascii="Arial" w:cs="Arial" w:eastAsia="Arial" w:hAnsi="Arial"/>
          <w:sz w:val="20"/>
          <w:szCs w:val="20"/>
        </w:rPr>
        <w:t xml:space="preserve">The two-stage selection criterion (GFC detection ≥ 50%, then highest LL) mixes objective and subjective factors, introducing researcher degrees of freedom that the HMM was supposed to eliminate.</w:t>
      </w:r>
    </w:p>
    <w:p>
      <w:pPr>
        <w:spacing w:after="120"/>
      </w:pPr>
      <w:r>
        <w:rPr>
          <w:rFonts w:ascii="Arial" w:cs="Arial" w:eastAsia="Arial" w:hAnsi="Arial"/>
          <w:b/>
          <w:bCs/>
          <w:sz w:val="20"/>
          <w:szCs w:val="20"/>
        </w:rPr>
        <w:t xml:space="preserve">Impact: </w:t>
      </w:r>
      <w:r>
        <w:rPr>
          <w:rFonts w:ascii="Arial" w:cs="Arial" w:eastAsia="Arial" w:hAnsi="Arial"/>
          <w:sz w:val="20"/>
          <w:szCs w:val="20"/>
        </w:rPr>
        <w:t xml:space="preserve">This suggests K = 3 Student-t HMM may be structurally non-identifiable for this data. Bayesian model averaging over optima clusters, or increasing K to separate Normal/Elevated more cleanly, should be explored.</w:t>
      </w:r>
    </w:p>
    <w:p>
      <w:pPr>
        <w:pStyle w:val="Heading2"/>
        <w:spacing w:after="160" w:before="280"/>
      </w:pPr>
      <w:r>
        <w:rPr>
          <w:rFonts w:ascii="Arial" w:cs="Arial" w:eastAsia="Arial" w:hAnsi="Arial"/>
          <w:b/>
          <w:bCs/>
          <w:color w:val="283593"/>
          <w:sz w:val="26"/>
          <w:szCs w:val="26"/>
        </w:rPr>
        <w:t xml:space="preserve">3.2 Prevalence-Driven OOS Significance</w:t>
      </w:r>
    </w:p>
    <w:p>
      <w:pPr>
        <w:spacing w:after="120"/>
      </w:pPr>
      <w:r>
        <w:rPr>
          <w:rFonts w:ascii="Arial" w:cs="Arial" w:eastAsia="Arial" w:hAnsi="Arial"/>
          <w:sz w:val="20"/>
          <w:szCs w:val="20"/>
        </w:rPr>
        <w:t xml:space="preserve">The frozen OOS Elevated result (HAC p = 0.041) is the paper’s primary validation, but bootstrap prevalence reweighting reveals it is largely mechanical:</w:t>
      </w:r>
    </w:p>
    <w:p>
      <w:pPr>
        <w:pStyle w:val="ListParagraph"/>
        <w:numPr>
          <w:ilvl w:val="0"/>
          <w:numId w:val="3"/>
        </w:numPr>
        <w:spacing w:after="80"/>
      </w:pPr>
      <w:r>
        <w:rPr>
          <w:rFonts w:ascii="Arial" w:cs="Arial" w:eastAsia="Arial" w:hAnsi="Arial"/>
          <w:sz w:val="20"/>
          <w:szCs w:val="20"/>
        </w:rPr>
        <w:t xml:space="preserve">The Elevated regime expands from 13.7% (training) to 30.7% (test period), more than doubling in prevalence.</w:t>
      </w:r>
    </w:p>
    <w:p>
      <w:pPr>
        <w:pStyle w:val="ListParagraph"/>
        <w:numPr>
          <w:ilvl w:val="0"/>
          <w:numId w:val="3"/>
        </w:numPr>
        <w:spacing w:after="80"/>
      </w:pPr>
      <w:r>
        <w:rPr>
          <w:rFonts w:ascii="Arial" w:cs="Arial" w:eastAsia="Arial" w:hAnsi="Arial"/>
          <w:sz w:val="20"/>
          <w:szCs w:val="20"/>
        </w:rPr>
        <w:t xml:space="preserve">Bootstrap subsampling to match training-period prevalence yields median p = 0.153; only 9.9% of subsamples achieve p &lt; 0.05.</w:t>
      </w:r>
    </w:p>
    <w:p>
      <w:pPr>
        <w:pStyle w:val="ListParagraph"/>
        <w:numPr>
          <w:ilvl w:val="0"/>
          <w:numId w:val="3"/>
        </w:numPr>
        <w:spacing w:after="80"/>
      </w:pPr>
      <w:r>
        <w:rPr>
          <w:rFonts w:ascii="Arial" w:cs="Arial" w:eastAsia="Arial" w:hAnsi="Arial"/>
          <w:sz w:val="20"/>
          <w:szCs w:val="20"/>
        </w:rPr>
        <w:t xml:space="preserve">Permutation tests straddle the threshold: p ∈ [0.063, 0.022] depending on scale convention.</w:t>
      </w:r>
    </w:p>
    <w:p>
      <w:pPr>
        <w:pStyle w:val="ListParagraph"/>
        <w:numPr>
          <w:ilvl w:val="0"/>
          <w:numId w:val="3"/>
        </w:numPr>
        <w:spacing w:after="160"/>
      </w:pPr>
      <w:r>
        <w:rPr>
          <w:rFonts w:ascii="Arial" w:cs="Arial" w:eastAsia="Arial" w:hAnsi="Arial"/>
          <w:sz w:val="20"/>
          <w:szCs w:val="20"/>
        </w:rPr>
        <w:t xml:space="preserve">No pairs survive FDR correction across all 30 directed factor pairs in the OOS Elevated window.</w:t>
      </w:r>
    </w:p>
    <w:p>
      <w:pPr>
        <w:spacing w:after="120"/>
      </w:pPr>
      <w:r>
        <w:rPr>
          <w:rFonts w:ascii="Arial" w:cs="Arial" w:eastAsia="Arial" w:hAnsi="Arial"/>
          <w:b/>
          <w:bCs/>
          <w:sz w:val="20"/>
          <w:szCs w:val="20"/>
        </w:rPr>
        <w:t xml:space="preserve">Impact: </w:t>
      </w:r>
      <w:r>
        <w:rPr>
          <w:rFonts w:ascii="Arial" w:cs="Arial" w:eastAsia="Arial" w:hAnsi="Arial"/>
          <w:sz w:val="20"/>
          <w:szCs w:val="20"/>
        </w:rPr>
        <w:t xml:space="preserve">The OOS “re-emergence” is more likely driven by larger sample size than genuine effect replication. The paper appropriately discloses this but should further downweight the OOS Elevated result in its framing.</w:t>
      </w:r>
    </w:p>
    <w:p>
      <w:pPr>
        <w:pStyle w:val="Heading2"/>
        <w:spacing w:after="160" w:before="280"/>
      </w:pPr>
      <w:r>
        <w:rPr>
          <w:rFonts w:ascii="Arial" w:cs="Arial" w:eastAsia="Arial" w:hAnsi="Arial"/>
          <w:b/>
          <w:bCs/>
          <w:color w:val="283593"/>
          <w:sz w:val="26"/>
          <w:szCs w:val="26"/>
        </w:rPr>
        <w:t xml:space="preserve">3.3 Economic Mechanism Mismatch</w:t>
      </w:r>
    </w:p>
    <w:p>
      <w:pPr>
        <w:spacing w:after="120"/>
      </w:pPr>
      <w:r>
        <w:rPr>
          <w:rFonts w:ascii="Arial" w:cs="Arial" w:eastAsia="Arial" w:hAnsi="Arial"/>
          <w:sz w:val="20"/>
          <w:szCs w:val="20"/>
        </w:rPr>
        <w:t xml:space="preserve">The deleveraging cascade hypothesis predicts that forced unwinding of value positions should create HML→SMB spillovers most strongly during Crisis periods. The data show the opposite:</w:t>
      </w:r>
    </w:p>
    <w:p>
      <w:pPr>
        <w:pStyle w:val="ListParagraph"/>
        <w:numPr>
          <w:ilvl w:val="0"/>
          <w:numId w:val="4"/>
        </w:numPr>
        <w:spacing w:after="80"/>
      </w:pPr>
      <w:r>
        <w:rPr>
          <w:rFonts w:ascii="Arial" w:cs="Arial" w:eastAsia="Arial" w:hAnsi="Arial"/>
          <w:sz w:val="20"/>
          <w:szCs w:val="20"/>
        </w:rPr>
        <w:t xml:space="preserve">The Granger link is strongest in the Normal regime (calm markets), not Crisis.</w:t>
      </w:r>
    </w:p>
    <w:p>
      <w:pPr>
        <w:pStyle w:val="ListParagraph"/>
        <w:numPr>
          <w:ilvl w:val="0"/>
          <w:numId w:val="4"/>
        </w:numPr>
        <w:spacing w:after="80"/>
      </w:pPr>
      <w:r>
        <w:rPr>
          <w:rFonts w:ascii="Arial" w:cs="Arial" w:eastAsia="Arial" w:hAnsi="Arial"/>
          <w:sz w:val="20"/>
          <w:szCs w:val="20"/>
        </w:rPr>
        <w:t xml:space="preserve">Crisis-regime Granger tests are null (p = 0.695) in the primary fit.</w:t>
      </w:r>
    </w:p>
    <w:p>
      <w:pPr>
        <w:pStyle w:val="ListParagraph"/>
        <w:numPr>
          <w:ilvl w:val="0"/>
          <w:numId w:val="4"/>
        </w:numPr>
        <w:spacing w:after="80"/>
      </w:pPr>
      <w:r>
        <w:rPr>
          <w:rFonts w:ascii="Arial" w:cs="Arial" w:eastAsia="Arial" w:hAnsi="Arial"/>
          <w:sz w:val="20"/>
          <w:szCs w:val="20"/>
        </w:rPr>
        <w:t xml:space="preserve">The paper invokes a “dual mechanism” (inventory management in Normal, deleveraging in Crisis) which undermines the unified explanation.</w:t>
      </w:r>
    </w:p>
    <w:p>
      <w:pPr>
        <w:pStyle w:val="ListParagraph"/>
        <w:numPr>
          <w:ilvl w:val="0"/>
          <w:numId w:val="4"/>
        </w:numPr>
        <w:spacing w:after="160"/>
      </w:pPr>
      <w:r>
        <w:rPr>
          <w:rFonts w:ascii="Arial" w:cs="Arial" w:eastAsia="Arial" w:hAnsi="Arial"/>
          <w:sz w:val="20"/>
          <w:szCs w:val="20"/>
        </w:rPr>
        <w:t xml:space="preserve">Event-based validation succeeds in only 2 of 6 stress episodes (binomial p ≈ 0.11, non-significant).</w:t>
      </w:r>
    </w:p>
    <w:p>
      <w:pPr>
        <w:spacing w:after="120"/>
      </w:pPr>
      <w:r>
        <w:rPr>
          <w:rFonts w:ascii="Arial" w:cs="Arial" w:eastAsia="Arial" w:hAnsi="Arial"/>
          <w:b/>
          <w:bCs/>
          <w:sz w:val="20"/>
          <w:szCs w:val="20"/>
        </w:rPr>
        <w:t xml:space="preserve">Impact: </w:t>
      </w:r>
      <w:r>
        <w:rPr>
          <w:rFonts w:ascii="Arial" w:cs="Arial" w:eastAsia="Arial" w:hAnsi="Arial"/>
          <w:sz w:val="20"/>
          <w:szCs w:val="20"/>
        </w:rPr>
        <w:t xml:space="preserve">The economic framing needs substantial revision. The finding is a statistical pattern (regime-dependent Granger predictability that decayed), not evidence of a specific economic mechanism.</w:t>
      </w:r>
    </w:p>
    <w:p>
      <w:pPr>
        <w:pStyle w:val="Heading2"/>
        <w:spacing w:after="160" w:before="280"/>
      </w:pPr>
      <w:r>
        <w:rPr>
          <w:rFonts w:ascii="Arial" w:cs="Arial" w:eastAsia="Arial" w:hAnsi="Arial"/>
          <w:b/>
          <w:bCs/>
          <w:color w:val="283593"/>
          <w:sz w:val="26"/>
          <w:szCs w:val="26"/>
        </w:rPr>
        <w:t xml:space="preserve">3.4 Pair Selection Circularity</w:t>
      </w:r>
    </w:p>
    <w:p>
      <w:pPr>
        <w:spacing w:after="120"/>
      </w:pPr>
      <w:r>
        <w:rPr>
          <w:rFonts w:ascii="Arial" w:cs="Arial" w:eastAsia="Arial" w:hAnsi="Arial"/>
          <w:sz w:val="20"/>
          <w:szCs w:val="20"/>
        </w:rPr>
        <w:t xml:space="preserve">The HML–SMB pair is justified by both an economic prior (institutional crowding) and in-sample screening (“a preliminary screen of all 30 directed factor pairs found that HML–SMB shows the most distinctive regime-heterogeneous pattern”). This dual justification creates selection bias that the frozen OOS design cannot fully resolve. The pair was not pre-registered, and the paper acknowledges this forthrightly, but the absence of pre-registration means the OOS test is exploratory, not confirmatory.</w:t>
      </w:r>
    </w:p>
    <w:p>
      <w:r>
        <w:br w:type="page"/>
      </w:r>
    </w:p>
    <w:p>
      <w:pPr>
        <w:pStyle w:val="Heading1"/>
        <w:spacing w:after="200" w:before="360"/>
      </w:pPr>
      <w:r>
        <w:rPr>
          <w:rFonts w:ascii="Arial" w:cs="Arial" w:eastAsia="Arial" w:hAnsi="Arial"/>
          <w:b/>
          <w:bCs/>
          <w:color w:val="1A237E"/>
          <w:sz w:val="32"/>
          <w:szCs w:val="32"/>
        </w:rPr>
        <w:t xml:space="preserve">4. Detailed Findings by Dimension</w:t>
      </w:r>
    </w:p>
    <w:p>
      <w:pPr>
        <w:pStyle w:val="Heading2"/>
        <w:spacing w:after="160" w:before="280"/>
      </w:pPr>
      <w:r>
        <w:rPr>
          <w:rFonts w:ascii="Arial" w:cs="Arial" w:eastAsia="Arial" w:hAnsi="Arial"/>
          <w:b/>
          <w:bCs/>
          <w:color w:val="283593"/>
          <w:sz w:val="26"/>
          <w:szCs w:val="26"/>
        </w:rPr>
        <w:t xml:space="preserve">4.1 Statistical Methodology (7.3/10)</w:t>
      </w:r>
    </w:p>
    <w:p>
      <w:pPr>
        <w:pStyle w:val="Heading3"/>
        <w:spacing w:after="120" w:before="200"/>
      </w:pPr>
      <w:r>
        <w:rPr>
          <w:rFonts w:ascii="Arial" w:cs="Arial" w:eastAsia="Arial" w:hAnsi="Arial"/>
          <w:b/>
          <w:bCs/>
          <w:color w:val="37474F"/>
          <w:sz w:val="22"/>
          <w:szCs w:val="22"/>
        </w:rPr>
        <w:t xml:space="preserve">Student-t HMM &amp; Model Selection</w:t>
      </w:r>
    </w:p>
    <w:p>
      <w:pPr>
        <w:spacing w:after="120"/>
      </w:pPr>
      <w:r>
        <w:rPr>
          <w:rFonts w:ascii="Arial" w:cs="Arial" w:eastAsia="Arial" w:hAnsi="Arial"/>
          <w:sz w:val="20"/>
          <w:szCs w:val="20"/>
        </w:rPr>
        <w:t xml:space="preserve">The Student-t specification is well-motivated (estimated degrees of freedom 3.9–6.2, well below Gaussian limit). BIC decisively selects K = 3 (ΔBIC = 847 over K = 2, 312 over K = 4). However, BIC model selection is conflated with crisis-event alignment in seed selection, reducing objectivity. The paper should report absolute BIC values (not just differences) and consider Bayesian model averaging over K ∈ {2,3,4} and across local optima clusters.</w:t>
      </w:r>
    </w:p>
    <w:p>
      <w:pPr>
        <w:pStyle w:val="Heading3"/>
        <w:spacing w:after="120" w:before="200"/>
      </w:pPr>
      <w:r>
        <w:rPr>
          <w:rFonts w:ascii="Arial" w:cs="Arial" w:eastAsia="Arial" w:hAnsi="Arial"/>
          <w:b/>
          <w:bCs/>
          <w:color w:val="37474F"/>
          <w:sz w:val="22"/>
          <w:szCs w:val="22"/>
        </w:rPr>
        <w:t xml:space="preserve">Granger Causality Framework</w:t>
      </w:r>
    </w:p>
    <w:p>
      <w:pPr>
        <w:spacing w:after="120"/>
      </w:pPr>
      <w:r>
        <w:rPr>
          <w:rFonts w:ascii="Arial" w:cs="Arial" w:eastAsia="Arial" w:hAnsi="Arial"/>
          <w:sz w:val="20"/>
          <w:szCs w:val="20"/>
        </w:rPr>
        <w:t xml:space="preserve">The per-regime Granger testing framework is standard and appropriately executed. Lag selection via BIC (lag = 1 for the focal pair) is principled. Regime boundary handling (requiring all lags within same regime) is conservative and clearly documented. The 7.4% OOS exclusion rate (vs. 0.67% in-sample) reflects more frequent regime transitions under the frozen classifier. The bivariate specification precludes confounding control but is justified by sample size constraints (324 parameters for a 6-factor VAR per regime with 9 lags).</w:t>
      </w:r>
    </w:p>
    <w:p>
      <w:pPr>
        <w:pStyle w:val="Heading3"/>
        <w:spacing w:after="120" w:before="200"/>
      </w:pPr>
      <w:r>
        <w:rPr>
          <w:rFonts w:ascii="Arial" w:cs="Arial" w:eastAsia="Arial" w:hAnsi="Arial"/>
          <w:b/>
          <w:bCs/>
          <w:color w:val="37474F"/>
          <w:sz w:val="22"/>
          <w:szCs w:val="22"/>
        </w:rPr>
        <w:t xml:space="preserve">Multiple Testing Corrections</w:t>
      </w:r>
    </w:p>
    <w:p>
      <w:pPr>
        <w:spacing w:after="120"/>
      </w:pPr>
      <w:r>
        <w:rPr>
          <w:rFonts w:ascii="Arial" w:cs="Arial" w:eastAsia="Arial" w:hAnsi="Arial"/>
          <w:sz w:val="20"/>
          <w:szCs w:val="20"/>
        </w:rPr>
        <w:t xml:space="preserve">The multi-level correction framework is transparent: in-sample Bonferroni (α/30 = 0.00033), frozen OOS at α = 0.05 for the pre-identified pair, with results also reported under 3-regime and 30-pair Bonferroni. The key tension: the pair was identified through both economic priors and in-sample screening, making the OOS α = 0.05 threshold arguable. The paper’s honest presentation of all three frameworks and the FDR null result is exemplary.</w:t>
      </w:r>
    </w:p>
    <w:p>
      <w:pPr>
        <w:pStyle w:val="Heading3"/>
        <w:spacing w:after="120" w:before="200"/>
      </w:pPr>
      <w:r>
        <w:rPr>
          <w:rFonts w:ascii="Arial" w:cs="Arial" w:eastAsia="Arial" w:hAnsi="Arial"/>
          <w:b/>
          <w:bCs/>
          <w:color w:val="37474F"/>
          <w:sz w:val="22"/>
          <w:szCs w:val="22"/>
        </w:rPr>
        <w:t xml:space="preserve">Structural Break Tests</w:t>
      </w:r>
    </w:p>
    <w:p>
      <w:pPr>
        <w:spacing w:after="120"/>
      </w:pPr>
      <w:r>
        <w:rPr>
          <w:rFonts w:ascii="Arial" w:cs="Arial" w:eastAsia="Arial" w:hAnsi="Arial"/>
          <w:sz w:val="20"/>
          <w:szCs w:val="20"/>
        </w:rPr>
        <w:t xml:space="preserve">The Quandt-Andrews sup-F test (June 1998, p = 1.23 × 10⁻¹³) and theory-motivated Chow test (January 2008, p = 2.29 × 10⁻⁶) are appropriately applied. The “multi-break” label may overstate the evidence (only two formal breaks identified; rolling Granger tests suggest more continuous variation). HAC adjustment for sup-F critical values is not clearly documented.</w:t>
      </w:r>
    </w:p>
    <w:p>
      <w:pPr>
        <w:pStyle w:val="Heading2"/>
        <w:spacing w:after="160" w:before="280"/>
      </w:pPr>
      <w:r>
        <w:rPr>
          <w:rFonts w:ascii="Arial" w:cs="Arial" w:eastAsia="Arial" w:hAnsi="Arial"/>
          <w:b/>
          <w:bCs/>
          <w:color w:val="283593"/>
          <w:sz w:val="26"/>
          <w:szCs w:val="26"/>
        </w:rPr>
        <w:t xml:space="preserve">4.2 Economic Content (5.0/10)</w:t>
      </w:r>
    </w:p>
    <w:p>
      <w:pPr>
        <w:pStyle w:val="Heading3"/>
        <w:spacing w:after="120" w:before="200"/>
      </w:pPr>
      <w:r>
        <w:rPr>
          <w:rFonts w:ascii="Arial" w:cs="Arial" w:eastAsia="Arial" w:hAnsi="Arial"/>
          <w:b/>
          <w:bCs/>
          <w:color w:val="37474F"/>
          <w:sz w:val="22"/>
          <w:szCs w:val="22"/>
        </w:rPr>
        <w:t xml:space="preserve">Motivation and Framing</w:t>
      </w:r>
    </w:p>
    <w:p>
      <w:pPr>
        <w:spacing w:after="120"/>
      </w:pPr>
      <w:r>
        <w:rPr>
          <w:rFonts w:ascii="Arial" w:cs="Arial" w:eastAsia="Arial" w:hAnsi="Arial"/>
          <w:sz w:val="20"/>
          <w:szCs w:val="20"/>
        </w:rPr>
        <w:t xml:space="preserve">The August 2007 quant meltdown framing is intuitive but disconnected from the actual findings. The paper’s own evidence shows the Granger link disappears precisely when deleveraging cascades should matter most (post-2008 Crisis). Effect sizes are small (ΔR² ≈ 2% pre-GFC, 0.73% OOS Elevated) and generate negative trading profits (Sharpe = −0.07). The title “The Rise and Fall” suggests a major economic shift, but the findings document modest regime-dependent statistical predictability.</w:t>
      </w:r>
    </w:p>
    <w:p>
      <w:pPr>
        <w:pStyle w:val="Heading3"/>
        <w:spacing w:after="120" w:before="200"/>
      </w:pPr>
      <w:r>
        <w:rPr>
          <w:rFonts w:ascii="Arial" w:cs="Arial" w:eastAsia="Arial" w:hAnsi="Arial"/>
          <w:b/>
          <w:bCs/>
          <w:color w:val="37474F"/>
          <w:sz w:val="22"/>
          <w:szCs w:val="22"/>
        </w:rPr>
        <w:t xml:space="preserve">Literature Positioning</w:t>
      </w:r>
    </w:p>
    <w:p>
      <w:pPr>
        <w:spacing w:after="120"/>
      </w:pPr>
      <w:r>
        <w:rPr>
          <w:rFonts w:ascii="Arial" w:cs="Arial" w:eastAsia="Arial" w:hAnsi="Arial"/>
          <w:sz w:val="20"/>
          <w:szCs w:val="20"/>
        </w:rPr>
        <w:t xml:space="preserve">The paper is well-positioned within factor investing and regime-switching literatures but misses connections to intermediary asset pricing (He &amp; Krishnamurthy, Adrian &amp; Boyarchenko), liquidity commonality (Hasbrouck &amp; Seppi), and volatility spillover models (GARCH/BEKK). These literatures are central to understanding cross-factor dynamics and could provide alternative mechanisms.</w:t>
      </w:r>
    </w:p>
    <w:p>
      <w:pPr>
        <w:pStyle w:val="Heading3"/>
        <w:spacing w:after="120" w:before="200"/>
      </w:pPr>
      <w:r>
        <w:rPr>
          <w:rFonts w:ascii="Arial" w:cs="Arial" w:eastAsia="Arial" w:hAnsi="Arial"/>
          <w:b/>
          <w:bCs/>
          <w:color w:val="37474F"/>
          <w:sz w:val="22"/>
          <w:szCs w:val="22"/>
        </w:rPr>
        <w:t xml:space="preserve">Alternative Explanations</w:t>
      </w:r>
    </w:p>
    <w:p>
      <w:pPr>
        <w:spacing w:after="120"/>
      </w:pPr>
      <w:r>
        <w:rPr>
          <w:rFonts w:ascii="Arial" w:cs="Arial" w:eastAsia="Arial" w:hAnsi="Arial"/>
          <w:sz w:val="20"/>
          <w:szCs w:val="20"/>
        </w:rPr>
        <w:t xml:space="preserve">Common drivers with asymmetric lags are acknowledged but not formally tested. Conditioning on one lag of MKT-RF preserves significance, but VIX conditioning, margin rate data, and funding constraint proxies are absent. The paper correctly notes that “a common driver affecting both factors with different lags cannot be ruled out,” but does not take the available steps to test this.</w:t>
      </w:r>
    </w:p>
    <w:p>
      <w:pPr>
        <w:pStyle w:val="Heading2"/>
        <w:spacing w:after="160" w:before="280"/>
      </w:pPr>
      <w:r>
        <w:rPr>
          <w:rFonts w:ascii="Arial" w:cs="Arial" w:eastAsia="Arial" w:hAnsi="Arial"/>
          <w:b/>
          <w:bCs/>
          <w:color w:val="283593"/>
          <w:sz w:val="26"/>
          <w:szCs w:val="26"/>
        </w:rPr>
        <w:t xml:space="preserve">4.3 Writing &amp; Presentation (7.5/10)</w:t>
      </w:r>
    </w:p>
    <w:p>
      <w:pPr>
        <w:pStyle w:val="Heading3"/>
        <w:spacing w:after="120" w:before="200"/>
      </w:pPr>
      <w:r>
        <w:rPr>
          <w:rFonts w:ascii="Arial" w:cs="Arial" w:eastAsia="Arial" w:hAnsi="Arial"/>
          <w:b/>
          <w:bCs/>
          <w:color w:val="37474F"/>
          <w:sz w:val="22"/>
          <w:szCs w:val="22"/>
        </w:rPr>
        <w:t xml:space="preserve">Abstract</w:t>
      </w:r>
    </w:p>
    <w:p>
      <w:pPr>
        <w:spacing w:after="120"/>
      </w:pPr>
      <w:r>
        <w:rPr>
          <w:rFonts w:ascii="Arial" w:cs="Arial" w:eastAsia="Arial" w:hAnsi="Arial"/>
          <w:sz w:val="20"/>
          <w:szCs w:val="20"/>
        </w:rPr>
        <w:t xml:space="preserve">The abstract packs four distinct statistical findings into 17 sentences. While technically accurate, the density creates cognitive load. The phrase “prevalence-dependent evidence” is jargon; “driven largely by regime expansion from 13.7% to 30.7%” is clearer.</w:t>
      </w:r>
    </w:p>
    <w:p>
      <w:pPr>
        <w:pStyle w:val="Heading3"/>
        <w:spacing w:after="120" w:before="200"/>
      </w:pPr>
      <w:r>
        <w:rPr>
          <w:rFonts w:ascii="Arial" w:cs="Arial" w:eastAsia="Arial" w:hAnsi="Arial"/>
          <w:b/>
          <w:bCs/>
          <w:color w:val="37474F"/>
          <w:sz w:val="22"/>
          <w:szCs w:val="22"/>
        </w:rPr>
        <w:t xml:space="preserve">Structure</w:t>
      </w:r>
    </w:p>
    <w:p>
      <w:pPr>
        <w:spacing w:after="120"/>
      </w:pPr>
      <w:r>
        <w:rPr>
          <w:rFonts w:ascii="Arial" w:cs="Arial" w:eastAsia="Arial" w:hAnsi="Arial"/>
          <w:sz w:val="20"/>
          <w:szCs w:val="20"/>
        </w:rPr>
        <w:t xml:space="preserve">The Introduction opens compellingly but introduces methodological caveats before clearly stating findings. The Methodology section (∼115 lines before any results) should be compressed, with technical details (HMM emission equations, EM convergence tolerances) moved to appendix. The Results section fragments the main finding across Sections 4.1, 4.2, and 4.3, with the economic interpretation (4.3) separated from the statistical result (4.1) by the ML validation (4.2).</w:t>
      </w:r>
    </w:p>
    <w:p>
      <w:pPr>
        <w:pStyle w:val="Heading3"/>
        <w:spacing w:after="120" w:before="200"/>
      </w:pPr>
      <w:r>
        <w:rPr>
          <w:rFonts w:ascii="Arial" w:cs="Arial" w:eastAsia="Arial" w:hAnsi="Arial"/>
          <w:b/>
          <w:bCs/>
          <w:color w:val="37474F"/>
          <w:sz w:val="22"/>
          <w:szCs w:val="22"/>
        </w:rPr>
        <w:t xml:space="preserve">Figures and Tables</w:t>
      </w:r>
    </w:p>
    <w:p>
      <w:pPr>
        <w:spacing w:after="120"/>
      </w:pPr>
      <w:r>
        <w:rPr>
          <w:rFonts w:ascii="Arial" w:cs="Arial" w:eastAsia="Arial" w:hAnsi="Arial"/>
          <w:sz w:val="20"/>
          <w:szCs w:val="20"/>
        </w:rPr>
        <w:t xml:space="preserve">Generally excellent. The regime timeline (Figure 1), Granger heatmap (Figure 4), and ML diagnostics (Figure 6) are well-designed and informative. Table 7 (Frozen OOS) should foreground the prevalence-reweighting caveat visually, perhaps with a separate row for bootstrap p = 0.153.</w:t>
      </w:r>
    </w:p>
    <w:p>
      <w:pPr>
        <w:pStyle w:val="Heading3"/>
        <w:spacing w:after="120" w:before="200"/>
      </w:pPr>
      <w:r>
        <w:rPr>
          <w:rFonts w:ascii="Arial" w:cs="Arial" w:eastAsia="Arial" w:hAnsi="Arial"/>
          <w:b/>
          <w:bCs/>
          <w:color w:val="37474F"/>
          <w:sz w:val="22"/>
          <w:szCs w:val="22"/>
        </w:rPr>
        <w:t xml:space="preserve">ICAIF Venue Fit</w:t>
      </w:r>
    </w:p>
    <w:p>
      <w:pPr>
        <w:spacing w:after="120"/>
      </w:pPr>
      <w:r>
        <w:rPr>
          <w:rFonts w:ascii="Arial" w:cs="Arial" w:eastAsia="Arial" w:hAnsi="Arial"/>
          <w:sz w:val="20"/>
          <w:szCs w:val="20"/>
        </w:rPr>
        <w:t xml:space="preserve">Strong fit at the AI–finance intersection. The ML diagnostic protocol (LSTM attention, RF importance, transfer entropy) positions the paper well for ICAIF. However, ML is diagnostic rather than the paper’s innovation, which may underwhelm reviewers seeking algorithmic novelty.</w:t>
      </w:r>
    </w:p>
    <w:p>
      <w:pPr>
        <w:pStyle w:val="Heading2"/>
        <w:spacing w:after="160" w:before="280"/>
      </w:pPr>
      <w:r>
        <w:rPr>
          <w:rFonts w:ascii="Arial" w:cs="Arial" w:eastAsia="Arial" w:hAnsi="Arial"/>
          <w:b/>
          <w:bCs/>
          <w:color w:val="283593"/>
          <w:sz w:val="26"/>
          <w:szCs w:val="26"/>
        </w:rPr>
        <w:t xml:space="preserve">4.4 Robustness &amp; Reproducibility (4.3/10)</w:t>
      </w:r>
    </w:p>
    <w:p>
      <w:pPr>
        <w:pStyle w:val="Heading3"/>
        <w:spacing w:after="120" w:before="200"/>
      </w:pPr>
      <w:r>
        <w:rPr>
          <w:rFonts w:ascii="Arial" w:cs="Arial" w:eastAsia="Arial" w:hAnsi="Arial"/>
          <w:b/>
          <w:bCs/>
          <w:color w:val="37474F"/>
          <w:sz w:val="22"/>
          <w:szCs w:val="22"/>
        </w:rPr>
        <w:t xml:space="preserve">Local Optima</w:t>
      </w:r>
    </w:p>
    <w:p>
      <w:pPr>
        <w:spacing w:after="120"/>
      </w:pPr>
      <w:r>
        <w:rPr>
          <w:rFonts w:ascii="Arial" w:cs="Arial" w:eastAsia="Arial" w:hAnsi="Arial"/>
          <w:sz w:val="20"/>
          <w:szCs w:val="20"/>
        </w:rPr>
        <w:t xml:space="preserve">The 7-cluster taxonomy with pathological BIC–interpretability inversion is the paper’s deepest vulnerability. The best-fit cluster cannot identify 2008 as a crisis; the interpretable cluster is BIC-suboptimal by 218 points. This suggests fundamental non-identifiability rather than a minor computational issue.</w:t>
      </w:r>
    </w:p>
    <w:p>
      <w:pPr>
        <w:pStyle w:val="Heading3"/>
        <w:spacing w:after="120" w:before="200"/>
      </w:pPr>
      <w:r>
        <w:rPr>
          <w:rFonts w:ascii="Arial" w:cs="Arial" w:eastAsia="Arial" w:hAnsi="Arial"/>
          <w:b/>
          <w:bCs/>
          <w:color w:val="37474F"/>
          <w:sz w:val="22"/>
          <w:szCs w:val="22"/>
        </w:rPr>
        <w:t xml:space="preserve">Scale Sensitivity</w:t>
      </w:r>
    </w:p>
    <w:p>
      <w:pPr>
        <w:spacing w:after="120"/>
      </w:pPr>
      <w:r>
        <w:rPr>
          <w:rFonts w:ascii="Arial" w:cs="Arial" w:eastAsia="Arial" w:hAnsi="Arial"/>
          <w:sz w:val="20"/>
          <w:szCs w:val="20"/>
        </w:rPr>
        <w:t xml:space="preserve">Regime assignments depend on scale convention (percentage vs. decimal units), with 13.7% sample disagreement (415 days at regime boundaries). Both conventions yield p &lt; 0.05, but the regime borders are “fuzzy” in a way that undermines the claim of sharp regime structure.</w:t>
      </w:r>
    </w:p>
    <w:p>
      <w:pPr>
        <w:pStyle w:val="Heading3"/>
        <w:spacing w:after="120" w:before="200"/>
      </w:pPr>
      <w:r>
        <w:rPr>
          <w:rFonts w:ascii="Arial" w:cs="Arial" w:eastAsia="Arial" w:hAnsi="Arial"/>
          <w:b/>
          <w:bCs/>
          <w:color w:val="37474F"/>
          <w:sz w:val="22"/>
          <w:szCs w:val="22"/>
        </w:rPr>
        <w:t xml:space="preserve">K-Sensitivity</w:t>
      </w:r>
    </w:p>
    <w:p>
      <w:pPr>
        <w:spacing w:after="120"/>
      </w:pPr>
      <w:r>
        <w:rPr>
          <w:rFonts w:ascii="Arial" w:cs="Arial" w:eastAsia="Arial" w:hAnsi="Arial"/>
          <w:sz w:val="20"/>
          <w:szCs w:val="20"/>
        </w:rPr>
        <w:t xml:space="preserve">BIC strongly favors K = 3, and K = 2 is clearly rejected. K = 4 is marginal (F-p = 0.056). The regime identity shifts with K, and the “best regime” capturing the effect changes across K values (High-Vol at K = 2, Elevated at K = 3, Low-Elev at K = 4).</w:t>
      </w:r>
    </w:p>
    <w:p>
      <w:pPr>
        <w:pStyle w:val="Heading3"/>
        <w:spacing w:after="120" w:before="200"/>
      </w:pPr>
      <w:r>
        <w:rPr>
          <w:rFonts w:ascii="Arial" w:cs="Arial" w:eastAsia="Arial" w:hAnsi="Arial"/>
          <w:b/>
          <w:bCs/>
          <w:color w:val="37474F"/>
          <w:sz w:val="22"/>
          <w:szCs w:val="22"/>
        </w:rPr>
        <w:t xml:space="preserve">Event Validation</w:t>
      </w:r>
    </w:p>
    <w:p>
      <w:pPr>
        <w:spacing w:after="120"/>
      </w:pPr>
      <w:r>
        <w:rPr>
          <w:rFonts w:ascii="Arial" w:cs="Arial" w:eastAsia="Arial" w:hAnsi="Arial"/>
          <w:sz w:val="20"/>
          <w:szCs w:val="20"/>
        </w:rPr>
        <w:t xml:space="preserve">2 of 6 stress episodes show the expected pattern (binomial p ≈ 0.11). Sample sizes are tiny (2018 Vol Shock: n = 29). Two events show reversed dynamics. The paper correctly labels this “exploratory, low-power,” but inclusion without adequate power undermines rather than supports the main claim.</w:t>
      </w:r>
    </w:p>
    <w:p>
      <w:pPr>
        <w:pStyle w:val="Heading3"/>
        <w:spacing w:after="120" w:before="200"/>
      </w:pPr>
      <w:r>
        <w:rPr>
          <w:rFonts w:ascii="Arial" w:cs="Arial" w:eastAsia="Arial" w:hAnsi="Arial"/>
          <w:b/>
          <w:bCs/>
          <w:color w:val="37474F"/>
          <w:sz w:val="22"/>
          <w:szCs w:val="22"/>
        </w:rPr>
        <w:t xml:space="preserve">Code and Data</w:t>
      </w:r>
    </w:p>
    <w:p>
      <w:pPr>
        <w:spacing w:after="120"/>
      </w:pPr>
      <w:r>
        <w:rPr>
          <w:rFonts w:ascii="Arial" w:cs="Arial" w:eastAsia="Arial" w:hAnsi="Arial"/>
          <w:sz w:val="20"/>
          <w:szCs w:val="20"/>
        </w:rPr>
        <w:t xml:space="preserve">The code directory contains 40+ modular analysis scripts covering all claims, with fixed seeds and public data. However, the repository is deferred until acceptance, no version-pinned requirements are provided, and expected numerical outputs for exact replication are absent.</w:t>
      </w:r>
    </w:p>
    <w:p>
      <w:r>
        <w:br w:type="page"/>
      </w:r>
    </w:p>
    <w:p>
      <w:pPr>
        <w:pStyle w:val="Heading1"/>
        <w:spacing w:after="200" w:before="360"/>
      </w:pPr>
      <w:r>
        <w:rPr>
          <w:rFonts w:ascii="Arial" w:cs="Arial" w:eastAsia="Arial" w:hAnsi="Arial"/>
          <w:b/>
          <w:bCs/>
          <w:color w:val="1A237E"/>
          <w:sz w:val="32"/>
          <w:szCs w:val="32"/>
        </w:rPr>
        <w:t xml:space="preserve">5. Recommendations for Revision</w:t>
      </w:r>
    </w:p>
    <w:p>
      <w:pPr>
        <w:pStyle w:val="Heading2"/>
        <w:spacing w:after="160" w:before="280"/>
      </w:pPr>
      <w:r>
        <w:rPr>
          <w:rFonts w:ascii="Arial" w:cs="Arial" w:eastAsia="Arial" w:hAnsi="Arial"/>
          <w:b/>
          <w:bCs/>
          <w:color w:val="283593"/>
          <w:sz w:val="26"/>
          <w:szCs w:val="26"/>
        </w:rPr>
        <w:t xml:space="preserve">5.1 Essential (Tier 1)</w:t>
      </w:r>
    </w:p>
    <w:p>
      <w:pPr>
        <w:pStyle w:val="ListParagraph"/>
        <w:numPr>
          <w:ilvl w:val="0"/>
          <w:numId w:val="5"/>
        </w:numPr>
        <w:spacing w:after="100"/>
      </w:pPr>
      <w:r>
        <w:rPr>
          <w:rFonts w:ascii="Arial" w:cs="Arial" w:eastAsia="Arial" w:hAnsi="Arial"/>
          <w:b/>
          <w:bCs/>
          <w:sz w:val="20"/>
          <w:szCs w:val="20"/>
        </w:rPr>
        <w:t xml:space="preserve">Resolve the local optima crisis. </w:t>
      </w:r>
      <w:r>
        <w:rPr>
          <w:rFonts w:ascii="Arial" w:cs="Arial" w:eastAsia="Arial" w:hAnsi="Arial"/>
          <w:sz w:val="20"/>
          <w:szCs w:val="20"/>
        </w:rPr>
        <w:t xml:space="preserve">Either (a) adopt Bayesian model averaging over the 7 clusters, (b) increase K to improve regime separation, or (c) explicitly adopt Cluster 5 as primary with full justification for accepting the BIC penalty. The current two-stage criterion mixes statistical and subjective criteria.</w:t>
      </w:r>
    </w:p>
    <w:p>
      <w:pPr>
        <w:pStyle w:val="ListParagraph"/>
        <w:numPr>
          <w:ilvl w:val="0"/>
          <w:numId w:val="5"/>
        </w:numPr>
        <w:spacing w:after="100"/>
      </w:pPr>
      <w:r>
        <w:rPr>
          <w:rFonts w:ascii="Arial" w:cs="Arial" w:eastAsia="Arial" w:hAnsi="Arial"/>
          <w:b/>
          <w:bCs/>
          <w:sz w:val="20"/>
          <w:szCs w:val="20"/>
        </w:rPr>
        <w:t xml:space="preserve">Downweight the OOS Elevated finding. </w:t>
      </w:r>
      <w:r>
        <w:rPr>
          <w:rFonts w:ascii="Arial" w:cs="Arial" w:eastAsia="Arial" w:hAnsi="Arial"/>
          <w:sz w:val="20"/>
          <w:szCs w:val="20"/>
        </w:rPr>
        <w:t xml:space="preserve">Bootstrap prevalence reweighting (median p = 0.153) should be foregrounded, not relegated to a caveat. Present this result before Table 7 and revise the abstract to lead with the structural break (primary) rather than regime re-emergence (secondary and fragile).</w:t>
      </w:r>
    </w:p>
    <w:p>
      <w:pPr>
        <w:pStyle w:val="ListParagraph"/>
        <w:numPr>
          <w:ilvl w:val="0"/>
          <w:numId w:val="5"/>
        </w:numPr>
        <w:spacing w:after="100"/>
      </w:pPr>
      <w:r>
        <w:rPr>
          <w:rFonts w:ascii="Arial" w:cs="Arial" w:eastAsia="Arial" w:hAnsi="Arial"/>
          <w:b/>
          <w:bCs/>
          <w:sz w:val="20"/>
          <w:szCs w:val="20"/>
        </w:rPr>
        <w:t xml:space="preserve">Revise the economic framing. </w:t>
      </w:r>
      <w:r>
        <w:rPr>
          <w:rFonts w:ascii="Arial" w:cs="Arial" w:eastAsia="Arial" w:hAnsi="Arial"/>
          <w:sz w:val="20"/>
          <w:szCs w:val="20"/>
        </w:rPr>
        <w:t xml:space="preserve">The deleveraging cascade hypothesis predicts Crisis effects; the findings are Normal-regime. Either (a) provide a coherent mechanism for Normal-regime predictability, (b) drop the deleveraging framing in favor of a more neutral “regime-dependent statistical regularity” framing, or (c) test the hypothesis directly with VIX conditioning, funding rate data, or 13F holdings.</w:t>
      </w:r>
    </w:p>
    <w:p>
      <w:pPr>
        <w:pStyle w:val="ListParagraph"/>
        <w:numPr>
          <w:ilvl w:val="0"/>
          <w:numId w:val="5"/>
        </w:numPr>
        <w:spacing w:after="160"/>
      </w:pPr>
      <w:r>
        <w:rPr>
          <w:rFonts w:ascii="Arial" w:cs="Arial" w:eastAsia="Arial" w:hAnsi="Arial"/>
          <w:b/>
          <w:bCs/>
          <w:sz w:val="20"/>
          <w:szCs w:val="20"/>
        </w:rPr>
        <w:t xml:space="preserve">Pre-register for replication. </w:t>
      </w:r>
      <w:r>
        <w:rPr>
          <w:rFonts w:ascii="Arial" w:cs="Arial" w:eastAsia="Arial" w:hAnsi="Arial"/>
          <w:sz w:val="20"/>
          <w:szCs w:val="20"/>
        </w:rPr>
        <w:t xml:space="preserve">The HML–SMB pair, K = 3 regime count, and sensitivity analyses should be pre-registered on OSF before any replication on international factor data. This is the single most impactful step for establishing credibility.</w:t>
      </w:r>
    </w:p>
    <w:p>
      <w:pPr>
        <w:pStyle w:val="Heading2"/>
        <w:spacing w:after="160" w:before="280"/>
      </w:pPr>
      <w:r>
        <w:rPr>
          <w:rFonts w:ascii="Arial" w:cs="Arial" w:eastAsia="Arial" w:hAnsi="Arial"/>
          <w:b/>
          <w:bCs/>
          <w:color w:val="283593"/>
          <w:sz w:val="26"/>
          <w:szCs w:val="26"/>
        </w:rPr>
        <w:t xml:space="preserve">5.2 Important (Tier 2)</w:t>
      </w:r>
    </w:p>
    <w:p>
      <w:pPr>
        <w:pStyle w:val="ListParagraph"/>
        <w:numPr>
          <w:ilvl w:val="0"/>
          <w:numId w:val="6"/>
        </w:numPr>
        <w:spacing w:after="100"/>
      </w:pPr>
      <w:r>
        <w:rPr>
          <w:rFonts w:ascii="Arial" w:cs="Arial" w:eastAsia="Arial" w:hAnsi="Arial"/>
          <w:b/>
          <w:bCs/>
          <w:sz w:val="20"/>
          <w:szCs w:val="20"/>
        </w:rPr>
        <w:t xml:space="preserve">Restructure the Introduction. </w:t>
      </w:r>
      <w:r>
        <w:rPr>
          <w:rFonts w:ascii="Arial" w:cs="Arial" w:eastAsia="Arial" w:hAnsi="Arial"/>
          <w:sz w:val="20"/>
          <w:szCs w:val="20"/>
        </w:rPr>
        <w:t xml:space="preserve">Lead with findings (Normal regime significance, structural breaks, post-2008 null), then introduce methods (Granger, HMM), then acknowledge scope limitations. Current structure buries the headline under methodological caveats.</w:t>
      </w:r>
    </w:p>
    <w:p>
      <w:pPr>
        <w:pStyle w:val="ListParagraph"/>
        <w:numPr>
          <w:ilvl w:val="0"/>
          <w:numId w:val="6"/>
        </w:numPr>
        <w:spacing w:after="100"/>
      </w:pPr>
      <w:r>
        <w:rPr>
          <w:rFonts w:ascii="Arial" w:cs="Arial" w:eastAsia="Arial" w:hAnsi="Arial"/>
          <w:b/>
          <w:bCs/>
          <w:sz w:val="20"/>
          <w:szCs w:val="20"/>
        </w:rPr>
        <w:t xml:space="preserve">Compress the Methodology section. </w:t>
      </w:r>
      <w:r>
        <w:rPr>
          <w:rFonts w:ascii="Arial" w:cs="Arial" w:eastAsia="Arial" w:hAnsi="Arial"/>
          <w:sz w:val="20"/>
          <w:szCs w:val="20"/>
        </w:rPr>
        <w:t xml:space="preserve">Move HMM emission equations, EM convergence tolerances, and regime boundary exclusion details to appendix. Keep Methods focused on: (1) why Student-t HMM, (2) Granger framework with BIC lag selection, (3) multiple testing thresholds.</w:t>
      </w:r>
    </w:p>
    <w:p>
      <w:pPr>
        <w:pStyle w:val="ListParagraph"/>
        <w:numPr>
          <w:ilvl w:val="0"/>
          <w:numId w:val="6"/>
        </w:numPr>
        <w:spacing w:after="100"/>
      </w:pPr>
      <w:r>
        <w:rPr>
          <w:rFonts w:ascii="Arial" w:cs="Arial" w:eastAsia="Arial" w:hAnsi="Arial"/>
          <w:b/>
          <w:bCs/>
          <w:sz w:val="20"/>
          <w:szCs w:val="20"/>
        </w:rPr>
        <w:t xml:space="preserve">Test common driver alternatives. </w:t>
      </w:r>
      <w:r>
        <w:rPr>
          <w:rFonts w:ascii="Arial" w:cs="Arial" w:eastAsia="Arial" w:hAnsi="Arial"/>
          <w:sz w:val="20"/>
          <w:szCs w:val="20"/>
        </w:rPr>
        <w:t xml:space="preserve">Condition on lagged VIX, Treasury repo rates, or TED spread to test whether a common funding-liquidity driver explains the HML→SMB pattern. This is the most impactful robustness check currently missing.</w:t>
      </w:r>
    </w:p>
    <w:p>
      <w:pPr>
        <w:pStyle w:val="ListParagraph"/>
        <w:numPr>
          <w:ilvl w:val="0"/>
          <w:numId w:val="6"/>
        </w:numPr>
        <w:spacing w:after="100"/>
      </w:pPr>
      <w:r>
        <w:rPr>
          <w:rFonts w:ascii="Arial" w:cs="Arial" w:eastAsia="Arial" w:hAnsi="Arial"/>
          <w:b/>
          <w:bCs/>
          <w:sz w:val="20"/>
          <w:szCs w:val="20"/>
        </w:rPr>
        <w:t xml:space="preserve">Report soft-label sensitivity. </w:t>
      </w:r>
      <w:r>
        <w:rPr>
          <w:rFonts w:ascii="Arial" w:cs="Arial" w:eastAsia="Arial" w:hAnsi="Arial"/>
          <w:sz w:val="20"/>
          <w:szCs w:val="20"/>
        </w:rPr>
        <w:t xml:space="preserve">The paper mentions a soft-label sensitivity check using posterior regime probabilities but does not report it. This is essential for addressing regime-identification circularity.</w:t>
      </w:r>
    </w:p>
    <w:p>
      <w:pPr>
        <w:pStyle w:val="ListParagraph"/>
        <w:numPr>
          <w:ilvl w:val="0"/>
          <w:numId w:val="6"/>
        </w:numPr>
        <w:spacing w:after="160"/>
      </w:pPr>
      <w:r>
        <w:rPr>
          <w:rFonts w:ascii="Arial" w:cs="Arial" w:eastAsia="Arial" w:hAnsi="Arial"/>
          <w:b/>
          <w:bCs/>
          <w:sz w:val="20"/>
          <w:szCs w:val="20"/>
        </w:rPr>
        <w:t xml:space="preserve">Reconcile the transfer entropy asymmetry. </w:t>
      </w:r>
      <w:r>
        <w:rPr>
          <w:rFonts w:ascii="Arial" w:cs="Arial" w:eastAsia="Arial" w:hAnsi="Arial"/>
          <w:sz w:val="20"/>
          <w:szCs w:val="20"/>
        </w:rPr>
        <w:t xml:space="preserve">The finding that linear HML→SMB coexists with stronger nonlinear SMB→HML in the Normal regime needs a mechanistic explanation or explicit acknowledgment as an unresolved puzzle.</w:t>
      </w:r>
    </w:p>
    <w:p>
      <w:pPr>
        <w:pStyle w:val="Heading2"/>
        <w:spacing w:after="160" w:before="280"/>
      </w:pPr>
      <w:r>
        <w:rPr>
          <w:rFonts w:ascii="Arial" w:cs="Arial" w:eastAsia="Arial" w:hAnsi="Arial"/>
          <w:b/>
          <w:bCs/>
          <w:color w:val="283593"/>
          <w:sz w:val="26"/>
          <w:szCs w:val="26"/>
        </w:rPr>
        <w:t xml:space="preserve">5.3 Recommended (Tier 3)</w:t>
      </w:r>
    </w:p>
    <w:p>
      <w:pPr>
        <w:pStyle w:val="ListParagraph"/>
        <w:numPr>
          <w:ilvl w:val="0"/>
          <w:numId w:val="7"/>
        </w:numPr>
        <w:spacing w:after="80"/>
      </w:pPr>
      <w:r>
        <w:rPr>
          <w:rFonts w:ascii="Arial" w:cs="Arial" w:eastAsia="Arial" w:hAnsi="Arial"/>
          <w:sz w:val="20"/>
          <w:szCs w:val="20"/>
        </w:rPr>
        <w:t xml:space="preserve">Compute bootstrap confidence intervals for regime boundaries and Granger p-values under seed uncertainty.</w:t>
      </w:r>
    </w:p>
    <w:p>
      <w:pPr>
        <w:pStyle w:val="ListParagraph"/>
        <w:numPr>
          <w:ilvl w:val="0"/>
          <w:numId w:val="7"/>
        </w:numPr>
        <w:spacing w:after="80"/>
      </w:pPr>
      <w:r>
        <w:rPr>
          <w:rFonts w:ascii="Arial" w:cs="Arial" w:eastAsia="Arial" w:hAnsi="Arial"/>
          <w:sz w:val="20"/>
          <w:szCs w:val="20"/>
        </w:rPr>
        <w:t xml:space="preserve">Add a “Key Findings” summary table with confidence ratings early in the paper.</w:t>
      </w:r>
    </w:p>
    <w:p>
      <w:pPr>
        <w:pStyle w:val="ListParagraph"/>
        <w:numPr>
          <w:ilvl w:val="0"/>
          <w:numId w:val="7"/>
        </w:numPr>
        <w:spacing w:after="80"/>
      </w:pPr>
      <w:r>
        <w:rPr>
          <w:rFonts w:ascii="Arial" w:cs="Arial" w:eastAsia="Arial" w:hAnsi="Arial"/>
          <w:sz w:val="20"/>
          <w:szCs w:val="20"/>
        </w:rPr>
        <w:t xml:space="preserve">Provide version-pinned requirements.txt and expected numerical outputs for exact replication.</w:t>
      </w:r>
    </w:p>
    <w:p>
      <w:pPr>
        <w:pStyle w:val="ListParagraph"/>
        <w:numPr>
          <w:ilvl w:val="0"/>
          <w:numId w:val="7"/>
        </w:numPr>
        <w:spacing w:after="80"/>
      </w:pPr>
      <w:r>
        <w:rPr>
          <w:rFonts w:ascii="Arial" w:cs="Arial" w:eastAsia="Arial" w:hAnsi="Arial"/>
          <w:sz w:val="20"/>
          <w:szCs w:val="20"/>
        </w:rPr>
        <w:t xml:space="preserve">Consider nonlinear Granger tests (Hiemstra-Jones, kernel-based) to validate the linearity assumption.</w:t>
      </w:r>
    </w:p>
    <w:p>
      <w:pPr>
        <w:pStyle w:val="ListParagraph"/>
        <w:numPr>
          <w:ilvl w:val="0"/>
          <w:numId w:val="7"/>
        </w:numPr>
        <w:spacing w:after="80"/>
      </w:pPr>
      <w:r>
        <w:rPr>
          <w:rFonts w:ascii="Arial" w:cs="Arial" w:eastAsia="Arial" w:hAnsi="Arial"/>
          <w:sz w:val="20"/>
          <w:szCs w:val="20"/>
        </w:rPr>
        <w:t xml:space="preserve">Plot OOS Elevated p-value as a function of Elevated prevalence to quantify the prevalence-significance relationship.</w:t>
      </w:r>
    </w:p>
    <w:p>
      <w:pPr>
        <w:pStyle w:val="ListParagraph"/>
        <w:numPr>
          <w:ilvl w:val="0"/>
          <w:numId w:val="7"/>
        </w:numPr>
        <w:spacing w:after="80"/>
      </w:pPr>
      <w:r>
        <w:rPr>
          <w:rFonts w:ascii="Arial" w:cs="Arial" w:eastAsia="Arial" w:hAnsi="Arial"/>
          <w:sz w:val="20"/>
          <w:szCs w:val="20"/>
        </w:rPr>
        <w:t xml:space="preserve">Apply constraint-based causal discovery (PC or FCI algorithm) on the six-factor system as an independent validation.</w:t>
      </w:r>
    </w:p>
    <w:p>
      <w:pPr>
        <w:pStyle w:val="ListParagraph"/>
        <w:numPr>
          <w:ilvl w:val="0"/>
          <w:numId w:val="7"/>
        </w:numPr>
        <w:spacing w:after="200"/>
      </w:pPr>
      <w:r>
        <w:rPr>
          <w:rFonts w:ascii="Arial" w:cs="Arial" w:eastAsia="Arial" w:hAnsi="Arial"/>
          <w:sz w:val="20"/>
          <w:szCs w:val="20"/>
        </w:rPr>
        <w:t xml:space="preserve">Engage with intermediary asset pricing and liquidity commonality literatures in the Related Work section.</w:t>
      </w:r>
    </w:p>
    <w:p>
      <w:r>
        <w:br w:type="page"/>
      </w:r>
    </w:p>
    <w:p>
      <w:pPr>
        <w:pStyle w:val="Heading1"/>
        <w:spacing w:after="200" w:before="360"/>
      </w:pPr>
      <w:r>
        <w:rPr>
          <w:rFonts w:ascii="Arial" w:cs="Arial" w:eastAsia="Arial" w:hAnsi="Arial"/>
          <w:b/>
          <w:bCs/>
          <w:color w:val="1A237E"/>
          <w:sz w:val="32"/>
          <w:szCs w:val="32"/>
        </w:rPr>
        <w:t xml:space="preserve">6. Evidence Confidence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200"/>
        <w:gridCol w:w="3660"/>
      </w:tblGrid>
      <w:tr>
        <w:tc>
          <w:tcPr>
            <w:tcW w:type="dxa" w:w="3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Finding</w:t>
            </w:r>
          </w:p>
        </w:tc>
        <w:tc>
          <w:tcPr>
            <w:tcW w:type="dxa" w:w="2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Confidence</w:t>
            </w:r>
          </w:p>
        </w:tc>
        <w:tc>
          <w:tcPr>
            <w:tcW w:type="dxa" w:w="36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Key Limitation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Normal HML→SMB pre-GFC</w:t>
            </w:r>
          </w:p>
        </w:tc>
        <w:tc>
          <w:tcPr>
            <w:tcW w:type="dxa" w:w="220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rFonts w:ascii="Arial" w:cs="Arial" w:eastAsia="Arial" w:hAnsi="Arial"/>
                <w:b/>
                <w:bCs/>
                <w:sz w:val="20"/>
                <w:szCs w:val="20"/>
              </w:rPr>
              <w:t xml:space="preserve">HIGH</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In-sample only (regime circularity)</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Structural break: June 1998</w:t>
            </w:r>
          </w:p>
        </w:tc>
        <w:tc>
          <w:tcPr>
            <w:tcW w:type="dxa" w:w="220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rFonts w:ascii="Arial" w:cs="Arial" w:eastAsia="Arial" w:hAnsi="Arial"/>
                <w:b/>
                <w:bCs/>
                <w:sz w:val="20"/>
                <w:szCs w:val="20"/>
              </w:rPr>
              <w:t xml:space="preserve">HIGH</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HAC adjustment for sup-F undocumented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Secondary break: Jan 2008</w:t>
            </w:r>
          </w:p>
        </w:tc>
        <w:tc>
          <w:tcPr>
            <w:tcW w:type="dxa" w:w="220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rFonts w:ascii="Arial" w:cs="Arial" w:eastAsia="Arial" w:hAnsi="Arial"/>
                <w:b/>
                <w:bCs/>
                <w:sz w:val="20"/>
                <w:szCs w:val="20"/>
              </w:rPr>
              <w:t xml:space="preserve">HIGH</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Pre-specified date (appropriate)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Post-2008 null (16 years)</w:t>
            </w:r>
          </w:p>
        </w:tc>
        <w:tc>
          <w:tcPr>
            <w:tcW w:type="dxa" w:w="220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rFonts w:ascii="Arial" w:cs="Arial" w:eastAsia="Arial" w:hAnsi="Arial"/>
                <w:b/>
                <w:bCs/>
                <w:sz w:val="20"/>
                <w:szCs w:val="20"/>
              </w:rPr>
              <w:t xml:space="preserve">HIGH</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Clean result; 95% CI spans zero</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OOS Elevated re-emergence</w:t>
            </w:r>
          </w:p>
        </w:tc>
        <w:tc>
          <w:tcPr>
            <w:tcW w:type="dxa" w:w="220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tcPr>
          <w:p>
            <w:r>
              <w:rPr>
                <w:rFonts w:ascii="Arial" w:cs="Arial" w:eastAsia="Arial" w:hAnsi="Arial"/>
                <w:b/>
                <w:bCs/>
                <w:sz w:val="20"/>
                <w:szCs w:val="20"/>
              </w:rPr>
              <w:t xml:space="preserve">LOW</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Prevalence-driven (bootstrap p = 0.153)</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MOM→SMB secondary pair</w:t>
            </w:r>
          </w:p>
        </w:tc>
        <w:tc>
          <w:tcPr>
            <w:tcW w:type="dxa" w:w="22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rFonts w:ascii="Arial" w:cs="Arial" w:eastAsia="Arial" w:hAnsi="Arial"/>
                <w:b/>
                <w:bCs/>
                <w:sz w:val="20"/>
                <w:szCs w:val="20"/>
              </w:rPr>
              <w:t xml:space="preserve">MODERATE</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Post-hoc discovery; no pre-registration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Deleveraging mechanism</w:t>
            </w:r>
          </w:p>
        </w:tc>
        <w:tc>
          <w:tcPr>
            <w:tcW w:type="dxa" w:w="220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tcPr>
          <w:p>
            <w:r>
              <w:rPr>
                <w:rFonts w:ascii="Arial" w:cs="Arial" w:eastAsia="Arial" w:hAnsi="Arial"/>
                <w:b/>
                <w:bCs/>
                <w:sz w:val="20"/>
                <w:szCs w:val="20"/>
              </w:rPr>
              <w:t xml:space="preserve">LOW</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Predicts Crisis effects; finds Normal</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Linear complexity boundary</w:t>
            </w:r>
          </w:p>
        </w:tc>
        <w:tc>
          <w:tcPr>
            <w:tcW w:type="dxa" w:w="22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rFonts w:ascii="Arial" w:cs="Arial" w:eastAsia="Arial" w:hAnsi="Arial"/>
                <w:b/>
                <w:bCs/>
                <w:sz w:val="20"/>
                <w:szCs w:val="20"/>
              </w:rPr>
              <w:t xml:space="preserve">MODERATE</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Holds for primary fit; not for seed 42</w:t>
            </w:r>
          </w:p>
        </w:tc>
      </w:tr>
    </w:tbl>
    <w:p>
      <w:pPr>
        <w:spacing w:after="200" w:before="300"/>
      </w:pPr>
    </w:p>
    <w:p>
      <w:pPr>
        <w:pStyle w:val="Heading1"/>
        <w:spacing w:after="200" w:before="360"/>
      </w:pPr>
      <w:r>
        <w:rPr>
          <w:rFonts w:ascii="Arial" w:cs="Arial" w:eastAsia="Arial" w:hAnsi="Arial"/>
          <w:b/>
          <w:bCs/>
          <w:color w:val="1A237E"/>
          <w:sz w:val="32"/>
          <w:szCs w:val="32"/>
        </w:rPr>
        <w:t xml:space="preserve">7. Final Assessment</w:t>
      </w:r>
    </w:p>
    <w:p>
      <w:pPr>
        <w:spacing w:after="120"/>
      </w:pPr>
      <w:r>
        <w:rPr>
          <w:rFonts w:ascii="Arial" w:cs="Arial" w:eastAsia="Arial" w:hAnsi="Arial"/>
          <w:sz w:val="20"/>
          <w:szCs w:val="20"/>
        </w:rPr>
        <w:t xml:space="preserve">This paper makes a genuine empirical contribution by documenting that HML→SMB Granger causality is regime-dependent and has undergone multi-break decay. The primary finding (Normal-regime predictability, June 1998 and January 2008 structural breaks, 16-year post-break null) is robust and well-documented. The frozen OOS design represents a methodological strength relative to standard in-sample analyses.</w:t>
      </w:r>
    </w:p>
    <w:p>
      <w:pPr>
        <w:spacing w:after="120"/>
      </w:pPr>
      <w:r>
        <w:rPr>
          <w:rFonts w:ascii="Arial" w:cs="Arial" w:eastAsia="Arial" w:hAnsi="Arial"/>
          <w:sz w:val="20"/>
          <w:szCs w:val="20"/>
        </w:rPr>
        <w:t xml:space="preserve">However, the paper is weakened by three fundamental issues: (1) the HMM local optima landscape creates non-identifiability where the best-fitting model fails basic crisis detection, (2) the OOS “re-emergence” is primarily prevalence-driven rather than representing genuine effect replication, and (3) the economic mechanism (deleveraging cascade) predicts effects in the wrong regime.</w:t>
      </w:r>
    </w:p>
    <w:p>
      <w:pPr>
        <w:spacing w:after="120"/>
      </w:pPr>
      <w:r>
        <w:rPr>
          <w:rFonts w:ascii="Arial" w:cs="Arial" w:eastAsia="Arial" w:hAnsi="Arial"/>
          <w:sz w:val="20"/>
          <w:szCs w:val="20"/>
        </w:rPr>
        <w:t xml:space="preserve">The paper would benefit most from: reframing the contribution around the structural break (high confidence) rather than the OOS re-emergence (low confidence), resolving the HMM selection methodology, and either strengthening or replacing the deleveraging hypothesis with direct empirical tests.</w:t>
      </w:r>
    </w:p>
    <w:p>
      <w:pPr>
        <w:spacing w:after="120"/>
      </w:pPr>
      <w:r>
        <w:rPr>
          <w:rFonts w:ascii="Arial" w:cs="Arial" w:eastAsia="Arial" w:hAnsi="Arial"/>
          <w:b/>
          <w:bCs/>
          <w:sz w:val="20"/>
          <w:szCs w:val="20"/>
        </w:rPr>
        <w:t xml:space="preserve">Bottom line: </w:t>
      </w:r>
      <w:r>
        <w:rPr>
          <w:rFonts w:ascii="Arial" w:cs="Arial" w:eastAsia="Arial" w:hAnsi="Arial"/>
          <w:sz w:val="20"/>
          <w:szCs w:val="20"/>
        </w:rPr>
        <w:t xml:space="preserve">A methodologically careful empirical study with transparent limitations, documenting a real statistical phenomenon. With major revisions addressing the local optima crisis, economic framing, and OOS interpretation, this paper can make a solid contribution to the ICAIF literature on regime-conditional factor dynamics.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6"/>
        <w:szCs w:val="16"/>
      </w:rPr>
      <w:t xml:space="preserve">Peer Review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7"/>
    <w:lvlOverride w:ilvl="0">
      <w:startOverride w:val="1"/>
    </w:lvlOverride>
  </w:num>
  <w:num w:numId="6">
    <w:abstractNumId w:val="8"/>
    <w:lvlOverride w:ilvl="0">
      <w:startOverride w:val="1"/>
    </w:lvlOverride>
  </w:num>
  <w:num w:numId="7">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237E"/>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83593"/>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37474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2026-02-28T00:26:24.502Z</dcterms:created>
  <dcterms:modified xsi:type="dcterms:W3CDTF">2026-02-28T00:26:24.502Z</dcterms:modified>
</cp:coreProperties>
</file>

<file path=docProps/custom.xml><?xml version="1.0" encoding="utf-8"?>
<Properties xmlns="http://schemas.openxmlformats.org/officeDocument/2006/custom-properties" xmlns:vt="http://schemas.openxmlformats.org/officeDocument/2006/docPropsVTypes"/>
</file>