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A365D"/>
          <w:sz w:val="40"/>
          <w:szCs w:val="40"/>
        </w:rPr>
        <w:t xml:space="preserve">ROUND 2 PEER REVIEW</w:t>
      </w:r>
    </w:p>
    <w:p>
      <w:pPr>
        <w:spacing w:after="100"/>
        <w:jc w:val="center"/>
      </w:pPr>
      <w:r>
        <w:rPr>
          <w:rFonts w:ascii="Arial" w:cs="Arial" w:eastAsia="Arial" w:hAnsi="Arial"/>
          <w:color w:val="4A5568"/>
          <w:sz w:val="24"/>
          <w:szCs w:val="24"/>
        </w:rPr>
        <w:t xml:space="preserve">Post-Revision Assessment with Parallel Expert Subagents</w:t>
      </w:r>
    </w:p>
    <w:p>
      <w:pPr>
        <w:spacing w:after="200"/>
        <w:jc w:val="center"/>
      </w:pPr>
      <w:r>
        <w:rPr>
          <w:rFonts w:ascii="Arial" w:cs="Arial" w:eastAsia="Arial" w:hAnsi="Arial"/>
          <w:i/>
          <w:iCs/>
          <w:color w:val="2D3748"/>
          <w:sz w:val="22"/>
          <w:szCs w:val="22"/>
        </w:rPr>
        <w:t xml:space="preserve">"The Rise and Fall of Cross-Factor Predictability:</w:t>
      </w:r>
    </w:p>
    <w:p>
      <w:pPr>
        <w:spacing w:after="200"/>
        <w:jc w:val="center"/>
      </w:pPr>
      <w:r>
        <w:rPr>
          <w:rFonts w:ascii="Arial" w:cs="Arial" w:eastAsia="Arial" w:hAnsi="Arial"/>
          <w:i/>
          <w:iCs/>
          <w:color w:val="2D3748"/>
          <w:sz w:val="22"/>
          <w:szCs w:val="22"/>
        </w:rPr>
        <w:t xml:space="preserve">Regime-Conditional HML→SMB Granger Predictability"</w:t>
      </w:r>
    </w:p>
    <w:p>
      <w:pPr>
        <w:spacing w:after="400"/>
        <w:jc w:val="center"/>
      </w:pPr>
      <w:r>
        <w:rPr>
          <w:rFonts w:ascii="Arial" w:cs="Arial" w:eastAsia="Arial" w:hAnsi="Arial"/>
          <w:color w:val="4A5568"/>
          <w:sz w:val="20"/>
          <w:szCs w:val="20"/>
        </w:rPr>
        <w:t xml:space="preserve">ICAIF 2026  |  Author: Chorok Lee (KAIST)  |  Review Date: February 28,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3"/>
              <w:right w:val="single" w:color="27AE60" w:sz="3"/>
            </w:tcBorders>
            <w:shd w:fill="EAFAF1" w:val="clear"/>
            <w:tcMar>
              <w:top w:type="dxa" w:w="200"/>
              <w:left w:type="dxa" w:w="300"/>
              <w:bottom w:type="dxa" w:w="200"/>
              <w:right w:type="dxa" w:w="300"/>
            </w:tcMar>
          </w:tcPr>
          <w:p>
            <w:pPr>
              <w:spacing w:after="120"/>
              <w:jc w:val="center"/>
            </w:pPr>
            <w:r>
              <w:rPr>
                <w:rFonts w:ascii="Arial" w:cs="Arial" w:eastAsia="Arial" w:hAnsi="Arial"/>
                <w:b/>
                <w:bCs/>
                <w:color w:val="1A365D"/>
                <w:sz w:val="26"/>
                <w:szCs w:val="26"/>
              </w:rPr>
              <w:t xml:space="preserve">REVISED RECOMMENDATION: ACCEPT WITH MINOR REVISIONS</w:t>
            </w:r>
          </w:p>
          <w:p>
            <w:pPr>
              <w:jc w:val="center"/>
            </w:pPr>
            <w:r>
              <w:rPr>
                <w:rFonts w:ascii="Arial" w:cs="Arial" w:eastAsia="Arial" w:hAnsi="Arial"/>
                <w:color w:val="2D3748"/>
                <w:sz w:val="18"/>
                <w:szCs w:val="18"/>
              </w:rPr>
              <w:t xml:space="preserve">All 5 Tier 1 issues addressed  |  Statistical rigor: 8/10  |  Writing: 9/10  |  ML/Robustness: 7/10  |  Economic contribution: 6/10</w:t>
            </w:r>
          </w:p>
        </w:tc>
      </w:tr>
    </w:tbl>
    <w:p>
      <w:r>
        <w:br w:type="page"/>
      </w:r>
    </w:p>
    <w:p>
      <w:pPr>
        <w:pStyle w:val="Heading1"/>
        <w:spacing w:after="200" w:before="360"/>
      </w:pPr>
      <w:r>
        <w:rPr>
          <w:rFonts w:ascii="Arial" w:cs="Arial" w:eastAsia="Arial" w:hAnsi="Arial"/>
          <w:b/>
          <w:bCs/>
          <w:color w:val="1A365D"/>
          <w:sz w:val="32"/>
          <w:szCs w:val="32"/>
        </w:rPr>
        <w:t xml:space="preserve">1. Round 1 Issue Resolution Status</w:t>
      </w:r>
    </w:p>
    <w:p>
      <w:pPr>
        <w:spacing w:after="120"/>
      </w:pPr>
      <w:r>
        <w:rPr>
          <w:rFonts w:ascii="Arial" w:cs="Arial" w:eastAsia="Arial" w:hAnsi="Arial"/>
          <w:sz w:val="20"/>
          <w:szCs w:val="20"/>
        </w:rPr>
        <w:t xml:space="preserve">Four parallel expert subagents independently assessed whether the five Tier 1 mandatory revisions from Round 1 were adequately addressed. Consensus results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800"/>
        <w:gridCol w:w="4760"/>
      </w:tblGrid>
      <w:tr>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R1 Issue</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HAC Bandwidth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Addressed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Andrews B≈2 now primary. B=1 relegated to sensitivity. Bandwidth table in main text.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Prevalence Reweighting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Addressed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Bootstrap p=0.153 is co-primary in Table 4 caption and abstract. Excellent transparency.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Local Optima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Addressed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Section 5.3 with 7-cluster table. BIC vs. economic validity trade-off explicit.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3-Regime Bonferroni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Addressed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α/3=0.0167 is primary OOS threshold. HAC p=0.043 explicitly noted as not surviving.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Contribution Hierarchy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Addressed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Primary/secondary labels consistent in abstract, contributions, and conclusion.</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Consensus: </w:t>
      </w:r>
      <w:r>
        <w:rPr>
          <w:rFonts w:ascii="Arial" w:cs="Arial" w:eastAsia="Arial" w:hAnsi="Arial"/>
          <w:sz w:val="20"/>
          <w:szCs w:val="20"/>
        </w:rPr>
        <w:t xml:space="preserve">All five Tier 1 mandatory revisions have been adequately addressed. The paper has moved from "major revisions" to "minor revisions" territory. The most significant improvement is the transparent dual-reporting of raw and prevalence-matched p-values, and the consistent primary/secondary contribution hierarchy.</w:t>
      </w:r>
    </w:p>
    <w:p>
      <w:r>
        <w:br w:type="page"/>
      </w:r>
    </w:p>
    <w:p>
      <w:pPr>
        <w:pStyle w:val="Heading1"/>
        <w:spacing w:after="200" w:before="360"/>
      </w:pPr>
      <w:r>
        <w:rPr>
          <w:rFonts w:ascii="Arial" w:cs="Arial" w:eastAsia="Arial" w:hAnsi="Arial"/>
          <w:b/>
          <w:bCs/>
          <w:color w:val="1A365D"/>
          <w:sz w:val="32"/>
          <w:szCs w:val="32"/>
        </w:rPr>
        <w:t xml:space="preserve">2. Remaining Issues (Minor Revisions)</w:t>
      </w:r>
    </w:p>
    <w:p>
      <w:pPr>
        <w:pStyle w:val="Heading2"/>
        <w:spacing w:after="160" w:before="280"/>
      </w:pPr>
      <w:r>
        <w:rPr>
          <w:rFonts w:ascii="Arial" w:cs="Arial" w:eastAsia="Arial" w:hAnsi="Arial"/>
          <w:b/>
          <w:bCs/>
          <w:color w:val="2C5282"/>
          <w:sz w:val="26"/>
          <w:szCs w:val="26"/>
        </w:rPr>
        <w:t xml:space="preserve">2.1 Abstract p-Value Inconsistency</w:t>
      </w:r>
    </w:p>
    <w:p>
      <w:pPr>
        <w:spacing w:after="120"/>
      </w:pPr>
      <w:r>
        <w:rPr>
          <w:rFonts w:ascii="Arial" w:cs="Arial" w:eastAsia="Arial" w:hAnsi="Arial"/>
          <w:sz w:val="20"/>
          <w:szCs w:val="20"/>
        </w:rPr>
        <w:t xml:space="preserve">The abstract (line 50) reports "HAC p = 0.041" which corresponds to bandwidth B=1 (now designated as a sensitivity check). The primary Andrews automatic bandwidth (B=2) yields p = 0.043. This should be updated for consistency with the rest of the paper.</w:t>
      </w:r>
    </w:p>
    <w:p>
      <w:pPr>
        <w:spacing w:after="120"/>
      </w:pPr>
      <w:r>
        <w:rPr>
          <w:rFonts w:ascii="Arial" w:cs="Arial" w:eastAsia="Arial" w:hAnsi="Arial"/>
          <w:b/>
          <w:bCs/>
          <w:sz w:val="20"/>
          <w:szCs w:val="20"/>
        </w:rPr>
        <w:t xml:space="preserve">Fix: </w:t>
      </w:r>
      <w:r>
        <w:rPr>
          <w:rFonts w:ascii="Arial" w:cs="Arial" w:eastAsia="Arial" w:hAnsi="Arial"/>
          <w:sz w:val="20"/>
          <w:szCs w:val="20"/>
        </w:rPr>
        <w:t xml:space="preserve">Change abstract line 50 from "HAC p = 0.041" to "HAC p = 0.043 (Andrews automatic bandwidth)."</w:t>
      </w:r>
    </w:p>
    <w:p>
      <w:pPr>
        <w:pStyle w:val="Heading2"/>
        <w:spacing w:after="160" w:before="280"/>
      </w:pPr>
      <w:r>
        <w:rPr>
          <w:rFonts w:ascii="Arial" w:cs="Arial" w:eastAsia="Arial" w:hAnsi="Arial"/>
          <w:b/>
          <w:bCs/>
          <w:color w:val="2C5282"/>
          <w:sz w:val="26"/>
          <w:szCs w:val="26"/>
        </w:rPr>
        <w:t xml:space="preserve">2.2 LSTM Attention: Overstatement</w:t>
      </w:r>
    </w:p>
    <w:p>
      <w:pPr>
        <w:spacing w:after="120"/>
      </w:pPr>
      <w:r>
        <w:rPr>
          <w:rFonts w:ascii="Arial" w:cs="Arial" w:eastAsia="Arial" w:hAnsi="Arial"/>
          <w:sz w:val="20"/>
          <w:szCs w:val="20"/>
        </w:rPr>
        <w:t xml:space="preserve">Section 4.3 (line 574) claims the attention gradient provides "a model-free confirmation that the structural break is mechanism-level." All four reviewers flagged this as too strong. The LSTM is trained on the same data as the Granger test — this is a consistency check, not independent confirmation. "Model-free" is inaccurate since the LSTM is itself a model.</w:t>
      </w:r>
    </w:p>
    <w:p>
      <w:pPr>
        <w:spacing w:after="120"/>
      </w:pPr>
      <w:r>
        <w:rPr>
          <w:rFonts w:ascii="Arial" w:cs="Arial" w:eastAsia="Arial" w:hAnsi="Arial"/>
          <w:b/>
          <w:bCs/>
          <w:sz w:val="20"/>
          <w:szCs w:val="20"/>
        </w:rPr>
        <w:t xml:space="preserve">Fix: </w:t>
      </w:r>
      <w:r>
        <w:rPr>
          <w:rFonts w:ascii="Arial" w:cs="Arial" w:eastAsia="Arial" w:hAnsi="Arial"/>
          <w:sz w:val="20"/>
          <w:szCs w:val="20"/>
        </w:rPr>
        <w:t xml:space="preserve">Replace "model-free confirmation" with "model-based consistency check" or "diagnostic corroboration."</w:t>
      </w:r>
    </w:p>
    <w:p>
      <w:pPr>
        <w:pStyle w:val="Heading2"/>
        <w:spacing w:after="160" w:before="280"/>
      </w:pPr>
      <w:r>
        <w:rPr>
          <w:rFonts w:ascii="Arial" w:cs="Arial" w:eastAsia="Arial" w:hAnsi="Arial"/>
          <w:b/>
          <w:bCs/>
          <w:color w:val="2C5282"/>
          <w:sz w:val="26"/>
          <w:szCs w:val="26"/>
        </w:rPr>
        <w:t xml:space="preserve">2.3 Nonlinearity Claim Is Seed-Dependent</w:t>
      </w:r>
    </w:p>
    <w:p>
      <w:pPr>
        <w:spacing w:after="120"/>
      </w:pPr>
      <w:r>
        <w:rPr>
          <w:rFonts w:ascii="Arial" w:cs="Arial" w:eastAsia="Arial" w:hAnsi="Arial"/>
          <w:sz w:val="20"/>
          <w:szCs w:val="20"/>
        </w:rPr>
        <w:t xml:space="preserve">The main text states "no nonlinear method improves prediction in any regime" but footnote 11 reveals that under seed 42, Random Forest IS significant in Transition (p=0.010) and Crisis (p=0.005). This contradiction is buried in a footnote. The "predominantly linear" characterization applies only to the primary fit.</w:t>
      </w:r>
    </w:p>
    <w:p>
      <w:pPr>
        <w:spacing w:after="120"/>
      </w:pPr>
      <w:r>
        <w:rPr>
          <w:rFonts w:ascii="Arial" w:cs="Arial" w:eastAsia="Arial" w:hAnsi="Arial"/>
          <w:b/>
          <w:bCs/>
          <w:sz w:val="20"/>
          <w:szCs w:val="20"/>
        </w:rPr>
        <w:t xml:space="preserve">Fix: </w:t>
      </w:r>
      <w:r>
        <w:rPr>
          <w:rFonts w:ascii="Arial" w:cs="Arial" w:eastAsia="Arial" w:hAnsi="Arial"/>
          <w:sz w:val="20"/>
          <w:szCs w:val="20"/>
        </w:rPr>
        <w:t xml:space="preserve">Move the seed 42 results from the footnote to the main text. Restate as: "Under the primary fit, no nonlinear method improves prediction; under alternative regime partitions, weak nonlinear evidence emerges."</w:t>
      </w:r>
    </w:p>
    <w:p>
      <w:pPr>
        <w:pStyle w:val="Heading2"/>
        <w:spacing w:after="160" w:before="280"/>
      </w:pPr>
      <w:r>
        <w:rPr>
          <w:rFonts w:ascii="Arial" w:cs="Arial" w:eastAsia="Arial" w:hAnsi="Arial"/>
          <w:b/>
          <w:bCs/>
          <w:color w:val="2C5282"/>
          <w:sz w:val="26"/>
          <w:szCs w:val="26"/>
        </w:rPr>
        <w:t xml:space="preserve">2.4 Transfer Entropy Asymmetry Is Underemphasized</w:t>
      </w:r>
    </w:p>
    <w:p>
      <w:pPr>
        <w:spacing w:after="120"/>
      </w:pPr>
      <w:r>
        <w:rPr>
          <w:rFonts w:ascii="Arial" w:cs="Arial" w:eastAsia="Arial" w:hAnsi="Arial"/>
          <w:sz w:val="20"/>
          <w:szCs w:val="20"/>
        </w:rPr>
        <w:t xml:space="preserve">The reverse channel SMB→HML (z=5.37, p&lt;10⁻⁶) is 2.2× stronger than the forward HML→SMB (z=2.45, p=0.007) in Normal regime, yet it is treated as a diagnostic side finding. Three of four reviewers flagged this as potentially the more interesting discovery. The directional asymmetry (linear forward, nonlinear reverse) reveals structure invisible to standard Granger tests and deserves more prominence.</w:t>
      </w:r>
    </w:p>
    <w:p>
      <w:pPr>
        <w:spacing w:after="120"/>
      </w:pPr>
      <w:r>
        <w:rPr>
          <w:rFonts w:ascii="Arial" w:cs="Arial" w:eastAsia="Arial" w:hAnsi="Arial"/>
          <w:b/>
          <w:bCs/>
          <w:sz w:val="20"/>
          <w:szCs w:val="20"/>
        </w:rPr>
        <w:t xml:space="preserve">Suggestion: </w:t>
      </w:r>
      <w:r>
        <w:rPr>
          <w:rFonts w:ascii="Arial" w:cs="Arial" w:eastAsia="Arial" w:hAnsi="Arial"/>
          <w:sz w:val="20"/>
          <w:szCs w:val="20"/>
        </w:rPr>
        <w:t xml:space="preserve">Elevate the TE asymmetry to a co-equal finding or at least give it a dedicated discussion paragraph. Consider: "Why is the reverse channel nonlinear while the forward channel is linear?"</w:t>
      </w:r>
    </w:p>
    <w:p>
      <w:pPr>
        <w:pStyle w:val="Heading2"/>
        <w:spacing w:after="160" w:before="280"/>
      </w:pPr>
      <w:r>
        <w:rPr>
          <w:rFonts w:ascii="Arial" w:cs="Arial" w:eastAsia="Arial" w:hAnsi="Arial"/>
          <w:b/>
          <w:bCs/>
          <w:color w:val="2C5282"/>
          <w:sz w:val="26"/>
          <w:szCs w:val="26"/>
        </w:rPr>
        <w:t xml:space="preserve">2.5 K-Sensitivity Non-Monotonicity</w:t>
      </w:r>
    </w:p>
    <w:p>
      <w:pPr>
        <w:spacing w:after="120"/>
      </w:pPr>
      <w:r>
        <w:rPr>
          <w:rFonts w:ascii="Arial" w:cs="Arial" w:eastAsia="Arial" w:hAnsi="Arial"/>
          <w:sz w:val="20"/>
          <w:szCs w:val="20"/>
        </w:rPr>
        <w:t xml:space="preserve">The pattern K=2 (null), K=3 (significant), K=4 (null) suggests the result is model-structure dependent. While BIC strongly favors K=3 (ΔBIC=1,680 over K=2), the jump from null to significant is abrupt. A brief acknowledgment that this non-monotonic pattern reflects moderate sensitivity to regime specification would be appropriate.</w:t>
      </w:r>
    </w:p>
    <w:p>
      <w:pPr>
        <w:pStyle w:val="Heading2"/>
        <w:spacing w:after="160" w:before="280"/>
      </w:pPr>
      <w:r>
        <w:rPr>
          <w:rFonts w:ascii="Arial" w:cs="Arial" w:eastAsia="Arial" w:hAnsi="Arial"/>
          <w:b/>
          <w:bCs/>
          <w:color w:val="2C5282"/>
          <w:sz w:val="26"/>
          <w:szCs w:val="26"/>
        </w:rPr>
        <w:t xml:space="preserve">2.6 Cluster Selection for In-Sample Results</w:t>
      </w:r>
    </w:p>
    <w:p>
      <w:pPr>
        <w:spacing w:after="120"/>
      </w:pPr>
      <w:r>
        <w:rPr>
          <w:rFonts w:ascii="Arial" w:cs="Arial" w:eastAsia="Arial" w:hAnsi="Arial"/>
          <w:sz w:val="20"/>
          <w:szCs w:val="20"/>
        </w:rPr>
        <w:t xml:space="preserve">The main Granger table (Table 2) uses the BIC-optimal fit (Cluster 1, seed 28), which assigns 0% of 2008 to Crisis. The structural break is time-indexed and robust to cluster choice, but this should be stated explicitly near Table 2 to prevent readers from conflating the time-indexed break with the regime-conditional magnitudes.</w:t>
      </w:r>
    </w:p>
    <w:p>
      <w:pPr>
        <w:pStyle w:val="Heading2"/>
        <w:spacing w:after="160" w:before="280"/>
      </w:pPr>
      <w:r>
        <w:rPr>
          <w:rFonts w:ascii="Arial" w:cs="Arial" w:eastAsia="Arial" w:hAnsi="Arial"/>
          <w:b/>
          <w:bCs/>
          <w:color w:val="2C5282"/>
          <w:sz w:val="26"/>
          <w:szCs w:val="26"/>
        </w:rPr>
        <w:t xml:space="preserve">2.7 Remaining Terminology: Occasional "Granger Causality"</w:t>
      </w:r>
    </w:p>
    <w:p>
      <w:pPr>
        <w:spacing w:after="120"/>
      </w:pPr>
      <w:r>
        <w:rPr>
          <w:rFonts w:ascii="Arial" w:cs="Arial" w:eastAsia="Arial" w:hAnsi="Arial"/>
          <w:sz w:val="20"/>
          <w:szCs w:val="20"/>
        </w:rPr>
        <w:t xml:space="preserve">While the title and keywords correctly use "Granger Predictability," the body text still uses "Granger causality" in several places (e.g., table captions, section headers). A final proofreading pass for consistency would catch these. The technical term "Granger causality" is acceptable in methodology sections referencing the statistical test, but narrative claims should use "Granger predictability" or "predictive precedence."</w:t>
      </w:r>
    </w:p>
    <w:p>
      <w:r>
        <w:br w:type="page"/>
      </w:r>
    </w:p>
    <w:p>
      <w:pPr>
        <w:pStyle w:val="Heading1"/>
        <w:spacing w:after="200" w:before="360"/>
      </w:pPr>
      <w:r>
        <w:rPr>
          <w:rFonts w:ascii="Arial" w:cs="Arial" w:eastAsia="Arial" w:hAnsi="Arial"/>
          <w:b/>
          <w:bCs/>
          <w:color w:val="1A365D"/>
          <w:sz w:val="32"/>
          <w:szCs w:val="32"/>
        </w:rPr>
        <w:t xml:space="preserve">3. Revised Quality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436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R1</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R2</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HMM Specification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Addressed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 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optima now in main text with honest trade-off disclosure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Granger Causality Testing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Addressed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 8.5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Andrews bandwidth primary; bandwidth sensitivity table added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 Break Testing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Addressed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 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strong; no changes needed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OOS Validation Design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Addressed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 7.5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Co-primary prevalence reweighting; 3-regime Bonferroni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Testing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Addressed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 8.5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framework hierarchy (primary/secondary/exploratory)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Diagnostics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Partially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 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 42 contradiction still in footnote; LSTM claim overstated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Entropy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Partially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 6.5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adequate but reverse asymmetry underexploited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 Interpretation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Addressed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 5.5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Dual-mechanism acknowledged; still unvalidated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Transparency &amp; Disclosure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Addressed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Exceptional; remains the paper’s standout quality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Writing &amp; Presentation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Addressed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 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convention fixed; hierarchy clear; scope tightened</w:t>
            </w:r>
          </w:p>
        </w:tc>
      </w:tr>
    </w:tbl>
    <w:p>
      <w:r>
        <w:br w:type="page"/>
      </w:r>
    </w:p>
    <w:p>
      <w:pPr>
        <w:pStyle w:val="Heading1"/>
        <w:spacing w:after="200" w:before="360"/>
      </w:pPr>
      <w:r>
        <w:rPr>
          <w:rFonts w:ascii="Arial" w:cs="Arial" w:eastAsia="Arial" w:hAnsi="Arial"/>
          <w:b/>
          <w:bCs/>
          <w:color w:val="1A365D"/>
          <w:sz w:val="32"/>
          <w:szCs w:val="32"/>
        </w:rPr>
        <w:t xml:space="preserve">4. What Now Works Well</w:t>
      </w:r>
    </w:p>
    <w:p>
      <w:pPr>
        <w:pStyle w:val="ListParagraph"/>
        <w:numPr>
          <w:ilvl w:val="0"/>
          <w:numId w:val="2"/>
        </w:numPr>
        <w:spacing w:after="80"/>
      </w:pPr>
      <w:r>
        <w:rPr>
          <w:rFonts w:ascii="Arial" w:cs="Arial" w:eastAsia="Arial" w:hAnsi="Arial"/>
          <w:b/>
          <w:bCs/>
          <w:sz w:val="20"/>
          <w:szCs w:val="20"/>
        </w:rPr>
        <w:t xml:space="preserve">Contribution hierarchy is unmistakable: </w:t>
      </w:r>
      <w:r>
        <w:rPr>
          <w:rFonts w:ascii="Arial" w:cs="Arial" w:eastAsia="Arial" w:hAnsi="Arial"/>
          <w:sz w:val="20"/>
          <w:szCs w:val="20"/>
        </w:rPr>
        <w:t xml:space="preserve">Primary (structural break, Bonferroni-significant) vs. secondary (OOS re-emergence, exploratory) is consistently labeled in abstract, contributions, and conclusion.</w:t>
      </w:r>
    </w:p>
    <w:p>
      <w:pPr>
        <w:pStyle w:val="ListParagraph"/>
        <w:numPr>
          <w:ilvl w:val="0"/>
          <w:numId w:val="2"/>
        </w:numPr>
        <w:spacing w:after="80"/>
      </w:pPr>
      <w:r>
        <w:rPr>
          <w:rFonts w:ascii="Arial" w:cs="Arial" w:eastAsia="Arial" w:hAnsi="Arial"/>
          <w:b/>
          <w:bCs/>
          <w:sz w:val="20"/>
          <w:szCs w:val="20"/>
        </w:rPr>
        <w:t xml:space="preserve">Multiple testing is transparent: </w:t>
      </w:r>
      <w:r>
        <w:rPr>
          <w:rFonts w:ascii="Arial" w:cs="Arial" w:eastAsia="Arial" w:hAnsi="Arial"/>
          <w:sz w:val="20"/>
          <w:szCs w:val="20"/>
        </w:rPr>
        <w:t xml:space="preserve">Three correction frameworks (uncorrected, 3-regime Bonferroni, 30-pair Bonferroni) with the 3-regime as primary. Readers can choose their own threshold.</w:t>
      </w:r>
    </w:p>
    <w:p>
      <w:pPr>
        <w:pStyle w:val="ListParagraph"/>
        <w:numPr>
          <w:ilvl w:val="0"/>
          <w:numId w:val="2"/>
        </w:numPr>
        <w:spacing w:after="80"/>
      </w:pPr>
      <w:r>
        <w:rPr>
          <w:rFonts w:ascii="Arial" w:cs="Arial" w:eastAsia="Arial" w:hAnsi="Arial"/>
          <w:b/>
          <w:bCs/>
          <w:sz w:val="20"/>
          <w:szCs w:val="20"/>
        </w:rPr>
        <w:t xml:space="preserve">Prevalence reweighting is co-primary: </w:t>
      </w:r>
      <w:r>
        <w:rPr>
          <w:rFonts w:ascii="Arial" w:cs="Arial" w:eastAsia="Arial" w:hAnsi="Arial"/>
          <w:sz w:val="20"/>
          <w:szCs w:val="20"/>
        </w:rPr>
        <w:t xml:space="preserve">Bootstrap p=0.153 sits alongside raw HAC p=0.043 in Table 4, making the regime-expansion dependence impossible to miss.</w:t>
      </w:r>
    </w:p>
    <w:p>
      <w:pPr>
        <w:pStyle w:val="ListParagraph"/>
        <w:numPr>
          <w:ilvl w:val="0"/>
          <w:numId w:val="2"/>
        </w:numPr>
        <w:spacing w:after="80"/>
      </w:pPr>
      <w:r>
        <w:rPr>
          <w:rFonts w:ascii="Arial" w:cs="Arial" w:eastAsia="Arial" w:hAnsi="Arial"/>
          <w:b/>
          <w:bCs/>
          <w:sz w:val="20"/>
          <w:szCs w:val="20"/>
        </w:rPr>
        <w:t xml:space="preserve">Local optima tension is explicit: </w:t>
      </w:r>
      <w:r>
        <w:rPr>
          <w:rFonts w:ascii="Arial" w:cs="Arial" w:eastAsia="Arial" w:hAnsi="Arial"/>
          <w:sz w:val="20"/>
          <w:szCs w:val="20"/>
        </w:rPr>
        <w:t xml:space="preserve">Section 5.3 and Table 7 lay bare the BIC vs. economic validity dilemma. The post-hoc nature of the two-stage criterion is acknowledged.</w:t>
      </w:r>
    </w:p>
    <w:p>
      <w:pPr>
        <w:pStyle w:val="ListParagraph"/>
        <w:numPr>
          <w:ilvl w:val="0"/>
          <w:numId w:val="2"/>
        </w:numPr>
        <w:spacing w:after="80"/>
      </w:pPr>
      <w:r>
        <w:rPr>
          <w:rFonts w:ascii="Arial" w:cs="Arial" w:eastAsia="Arial" w:hAnsi="Arial"/>
          <w:b/>
          <w:bCs/>
          <w:sz w:val="20"/>
          <w:szCs w:val="20"/>
        </w:rPr>
        <w:t xml:space="preserve">Scale convention is clarified: </w:t>
      </w:r>
      <w:r>
        <w:rPr>
          <w:rFonts w:ascii="Arial" w:cs="Arial" w:eastAsia="Arial" w:hAnsi="Arial"/>
          <w:sz w:val="20"/>
          <w:szCs w:val="20"/>
        </w:rPr>
        <w:t xml:space="preserve">Explicit paragraph in Data section; percentage-unit primary throughout main text.</w:t>
      </w:r>
    </w:p>
    <w:p>
      <w:pPr>
        <w:pStyle w:val="ListParagraph"/>
        <w:numPr>
          <w:ilvl w:val="0"/>
          <w:numId w:val="2"/>
        </w:numPr>
        <w:spacing w:after="80"/>
      </w:pPr>
      <w:r>
        <w:rPr>
          <w:rFonts w:ascii="Arial" w:cs="Arial" w:eastAsia="Arial" w:hAnsi="Arial"/>
          <w:b/>
          <w:bCs/>
          <w:sz w:val="20"/>
          <w:szCs w:val="20"/>
        </w:rPr>
        <w:t xml:space="preserve">VaR/Trading condensed: </w:t>
      </w:r>
      <w:r>
        <w:rPr>
          <w:rFonts w:ascii="Arial" w:cs="Arial" w:eastAsia="Arial" w:hAnsi="Arial"/>
          <w:sz w:val="20"/>
          <w:szCs w:val="20"/>
        </w:rPr>
        <w:t xml:space="preserve">Appendix C now 2 sentences each. Main text focuses on findings, not applications.</w:t>
      </w:r>
    </w:p>
    <w:p>
      <w:r>
        <w:br w:type="page"/>
      </w:r>
    </w:p>
    <w:p>
      <w:pPr>
        <w:pStyle w:val="Heading1"/>
        <w:spacing w:after="200" w:before="360"/>
      </w:pPr>
      <w:r>
        <w:rPr>
          <w:rFonts w:ascii="Arial" w:cs="Arial" w:eastAsia="Arial" w:hAnsi="Arial"/>
          <w:b/>
          <w:bCs/>
          <w:color w:val="1A365D"/>
          <w:sz w:val="32"/>
          <w:szCs w:val="32"/>
        </w:rPr>
        <w:t xml:space="preserve">5. Economic Contribution Assessment</w:t>
      </w:r>
    </w:p>
    <w:p>
      <w:pPr>
        <w:spacing w:after="120"/>
      </w:pPr>
      <w:r>
        <w:rPr>
          <w:rFonts w:ascii="Arial" w:cs="Arial" w:eastAsia="Arial" w:hAnsi="Arial"/>
          <w:sz w:val="20"/>
          <w:szCs w:val="20"/>
        </w:rPr>
        <w:t xml:space="preserve">The economic contribution presents a mixed picture. The structural break finding is methodologically valuable but economically modest (ΔR² ≈ 2%, Sharpe = −0.07). The paper’s practical message is essentially negative: "don’t assume cross-factor predictive relationships are stable." While valuable for factor-timing model specification, this doesn’t provide a tradeable edge.</w:t>
      </w:r>
    </w:p>
    <w:p>
      <w:pPr>
        <w:spacing w:after="120"/>
      </w:pPr>
      <w:r>
        <w:rPr>
          <w:rFonts w:ascii="Arial" w:cs="Arial" w:eastAsia="Arial" w:hAnsi="Arial"/>
          <w:sz w:val="20"/>
          <w:szCs w:val="20"/>
        </w:rPr>
        <w:t xml:space="preserve">The transfer entropy asymmetry (linear forward HML→SMB vs. nonlinear reverse SMB→HML) is arguably the most novel economic finding and is currently underweighted. Consider elevating it from a diagnostic to a co-primary result in the narrative.</w:t>
      </w:r>
    </w:p>
    <w:p>
      <w:pPr>
        <w:spacing w:after="120"/>
      </w:pPr>
      <w:r>
        <w:rPr>
          <w:rFonts w:ascii="Arial" w:cs="Arial" w:eastAsia="Arial" w:hAnsi="Arial"/>
          <w:sz w:val="20"/>
          <w:szCs w:val="20"/>
        </w:rPr>
        <w:t xml:space="preserve">For ICAIF specifically, the paper is best positioned as a methodological contribution (regime-conditional Granger testing + frozen OOS design) rather than a factor investing contribution. The venue should value the methodological framework and the exemplary transparency.</w:t>
      </w:r>
    </w:p>
    <w:p>
      <w:r>
        <w:br w:type="page"/>
      </w:r>
    </w:p>
    <w:p>
      <w:pPr>
        <w:pStyle w:val="Heading1"/>
        <w:spacing w:after="200" w:before="360"/>
      </w:pPr>
      <w:r>
        <w:rPr>
          <w:rFonts w:ascii="Arial" w:cs="Arial" w:eastAsia="Arial" w:hAnsi="Arial"/>
          <w:b/>
          <w:bCs/>
          <w:color w:val="1A365D"/>
          <w:sz w:val="32"/>
          <w:szCs w:val="32"/>
        </w:rPr>
        <w:t xml:space="preserve">6. Final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AFAF1" w:val="clear"/>
            <w:tcMar>
              <w:top w:type="dxa" w:w="200"/>
              <w:left w:type="dxa" w:w="300"/>
              <w:bottom w:type="dxa" w:w="200"/>
              <w:right w:type="dxa" w:w="300"/>
            </w:tcMar>
          </w:tcPr>
          <w:p>
            <w:pPr>
              <w:spacing w:after="160"/>
              <w:jc w:val="center"/>
            </w:pPr>
            <w:r>
              <w:rPr>
                <w:rFonts w:ascii="Arial" w:cs="Arial" w:eastAsia="Arial" w:hAnsi="Arial"/>
                <w:b/>
                <w:bCs/>
                <w:color w:val="1A365D"/>
                <w:sz w:val="28"/>
                <w:szCs w:val="28"/>
              </w:rPr>
              <w:t xml:space="preserve">ACCEPT WITH MINOR REVISIONS</w:t>
            </w:r>
          </w:p>
          <w:p>
            <w:pPr>
              <w:spacing w:after="120"/>
            </w:pPr>
            <w:r>
              <w:rPr>
                <w:rFonts w:ascii="Arial" w:cs="Arial" w:eastAsia="Arial" w:hAnsi="Arial"/>
                <w:sz w:val="20"/>
                <w:szCs w:val="20"/>
              </w:rPr>
              <w:t xml:space="preserve">The paper has improved substantially from Round 1. All five Tier 1 issues are addressed. The structural break finding is robust, well-documented, and transparently presented. The remaining issues are minor (abstract p-value consistency, LSTM overclaim, seed 42 footnote elevation) and can be resolved in a single revision pass without re-review.</w:t>
            </w:r>
          </w:p>
        </w:tc>
      </w:tr>
    </w:tbl>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C5282"/>
          <w:sz w:val="26"/>
          <w:szCs w:val="26"/>
        </w:rPr>
        <w:t xml:space="preserve">Required Minor Fixes (7 items, all straightforward)</w:t>
      </w:r>
    </w:p>
    <w:p>
      <w:pPr>
        <w:pStyle w:val="ListParagraph"/>
        <w:numPr>
          <w:ilvl w:val="0"/>
          <w:numId w:val="3"/>
        </w:numPr>
        <w:spacing w:after="80"/>
      </w:pPr>
      <w:r>
        <w:rPr>
          <w:rFonts w:ascii="Arial" w:cs="Arial" w:eastAsia="Arial" w:hAnsi="Arial"/>
          <w:sz w:val="20"/>
          <w:szCs w:val="20"/>
        </w:rPr>
        <w:t xml:space="preserve">Update abstract HAC p from 0.041 to 0.043 (Andrews bandwidth alignment)</w:t>
      </w:r>
    </w:p>
    <w:p>
      <w:pPr>
        <w:pStyle w:val="ListParagraph"/>
        <w:numPr>
          <w:ilvl w:val="0"/>
          <w:numId w:val="3"/>
        </w:numPr>
        <w:spacing w:after="80"/>
      </w:pPr>
      <w:r>
        <w:rPr>
          <w:rFonts w:ascii="Arial" w:cs="Arial" w:eastAsia="Arial" w:hAnsi="Arial"/>
          <w:sz w:val="20"/>
          <w:szCs w:val="20"/>
        </w:rPr>
        <w:t xml:space="preserve">Replace "model-free confirmation" with "consistency check" for LSTM attention (line 574)</w:t>
      </w:r>
    </w:p>
    <w:p>
      <w:pPr>
        <w:pStyle w:val="ListParagraph"/>
        <w:numPr>
          <w:ilvl w:val="0"/>
          <w:numId w:val="3"/>
        </w:numPr>
        <w:spacing w:after="80"/>
      </w:pPr>
      <w:r>
        <w:rPr>
          <w:rFonts w:ascii="Arial" w:cs="Arial" w:eastAsia="Arial" w:hAnsi="Arial"/>
          <w:sz w:val="20"/>
          <w:szCs w:val="20"/>
        </w:rPr>
        <w:t xml:space="preserve">Move seed 42 RF results from footnote 11 to main text; qualify "predominantly linear" claim</w:t>
      </w:r>
    </w:p>
    <w:p>
      <w:pPr>
        <w:pStyle w:val="ListParagraph"/>
        <w:numPr>
          <w:ilvl w:val="0"/>
          <w:numId w:val="3"/>
        </w:numPr>
        <w:spacing w:after="80"/>
      </w:pPr>
      <w:r>
        <w:rPr>
          <w:rFonts w:ascii="Arial" w:cs="Arial" w:eastAsia="Arial" w:hAnsi="Arial"/>
          <w:sz w:val="20"/>
          <w:szCs w:val="20"/>
        </w:rPr>
        <w:t xml:space="preserve">Add sentence near Table 2 clarifying that structural break is time-indexed, robust to cluster choice</w:t>
      </w:r>
    </w:p>
    <w:p>
      <w:pPr>
        <w:pStyle w:val="ListParagraph"/>
        <w:numPr>
          <w:ilvl w:val="0"/>
          <w:numId w:val="3"/>
        </w:numPr>
        <w:spacing w:after="80"/>
      </w:pPr>
      <w:r>
        <w:rPr>
          <w:rFonts w:ascii="Arial" w:cs="Arial" w:eastAsia="Arial" w:hAnsi="Arial"/>
          <w:sz w:val="20"/>
          <w:szCs w:val="20"/>
        </w:rPr>
        <w:t xml:space="preserve">Add brief K-sensitivity non-monotonicity acknowledgment in Section 5.2</w:t>
      </w:r>
    </w:p>
    <w:p>
      <w:pPr>
        <w:pStyle w:val="ListParagraph"/>
        <w:numPr>
          <w:ilvl w:val="0"/>
          <w:numId w:val="3"/>
        </w:numPr>
        <w:spacing w:after="80"/>
      </w:pPr>
      <w:r>
        <w:rPr>
          <w:rFonts w:ascii="Arial" w:cs="Arial" w:eastAsia="Arial" w:hAnsi="Arial"/>
          <w:sz w:val="20"/>
          <w:szCs w:val="20"/>
        </w:rPr>
        <w:t xml:space="preserve">Final proofreading pass for "Granger causality" → "Granger predictability" in narrative claims</w:t>
      </w:r>
    </w:p>
    <w:p>
      <w:pPr>
        <w:pStyle w:val="ListParagraph"/>
        <w:numPr>
          <w:ilvl w:val="0"/>
          <w:numId w:val="3"/>
        </w:numPr>
        <w:spacing w:after="80"/>
      </w:pPr>
      <w:r>
        <w:rPr>
          <w:rFonts w:ascii="Arial" w:cs="Arial" w:eastAsia="Arial" w:hAnsi="Arial"/>
          <w:sz w:val="20"/>
          <w:szCs w:val="20"/>
        </w:rPr>
        <w:t xml:space="preserve">Consider elevating TE asymmetry finding (optional but recommended)</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C5282"/>
          <w:sz w:val="26"/>
          <w:szCs w:val="26"/>
        </w:rPr>
        <w:t xml:space="preserve">Suggested Improvements (Optional)</w:t>
      </w:r>
    </w:p>
    <w:p>
      <w:pPr>
        <w:pStyle w:val="ListParagraph"/>
        <w:numPr>
          <w:ilvl w:val="0"/>
          <w:numId w:val="2"/>
        </w:numPr>
        <w:spacing w:after="80"/>
      </w:pPr>
      <w:r>
        <w:rPr>
          <w:rFonts w:ascii="Arial" w:cs="Arial" w:eastAsia="Arial" w:hAnsi="Arial"/>
          <w:sz w:val="20"/>
          <w:szCs w:val="20"/>
        </w:rPr>
        <w:t xml:space="preserve">Add k-sensitivity robustness for transfer entropy (k ∈ {3, 5, 7, 10}).</w:t>
      </w:r>
    </w:p>
    <w:p>
      <w:pPr>
        <w:pStyle w:val="ListParagraph"/>
        <w:numPr>
          <w:ilvl w:val="0"/>
          <w:numId w:val="2"/>
        </w:numPr>
        <w:spacing w:after="80"/>
      </w:pPr>
      <w:r>
        <w:rPr>
          <w:rFonts w:ascii="Arial" w:cs="Arial" w:eastAsia="Arial" w:hAnsi="Arial"/>
          <w:sz w:val="20"/>
          <w:szCs w:val="20"/>
        </w:rPr>
        <w:t xml:space="preserve">Analyze excluded OOS observations for event clustering near regime boundaries.</w:t>
      </w:r>
    </w:p>
    <w:p>
      <w:pPr>
        <w:pStyle w:val="ListParagraph"/>
        <w:numPr>
          <w:ilvl w:val="0"/>
          <w:numId w:val="2"/>
        </w:numPr>
        <w:spacing w:after="80"/>
      </w:pPr>
      <w:r>
        <w:rPr>
          <w:rFonts w:ascii="Arial" w:cs="Arial" w:eastAsia="Arial" w:hAnsi="Arial"/>
          <w:sz w:val="20"/>
          <w:szCs w:val="20"/>
        </w:rPr>
        <w:t xml:space="preserve">Add power-adjusted interpretation for Crisis-regime ML nonlinearity tests.</w:t>
      </w:r>
    </w:p>
    <w:p>
      <w:pPr>
        <w:pStyle w:val="ListParagraph"/>
        <w:numPr>
          <w:ilvl w:val="0"/>
          <w:numId w:val="2"/>
        </w:numPr>
        <w:spacing w:after="80"/>
      </w:pPr>
      <w:r>
        <w:rPr>
          <w:rFonts w:ascii="Arial" w:cs="Arial" w:eastAsia="Arial" w:hAnsi="Arial"/>
          <w:sz w:val="20"/>
          <w:szCs w:val="20"/>
        </w:rPr>
        <w:t xml:space="preserve">Clarify frozen OOS cluster taxonomy (do the 7 clusters from 1990–2012 training map to full-sample clusters?).</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7FAFC" w:val="clear"/>
            <w:tcMar>
              <w:top w:type="dxa" w:w="160"/>
              <w:left w:type="dxa" w:w="240"/>
              <w:bottom w:type="dxa" w:w="160"/>
              <w:right w:type="dxa" w:w="240"/>
            </w:tcMar>
          </w:tcPr>
          <w:p>
            <w:pPr>
              <w:spacing w:after="80"/>
            </w:pPr>
            <w:r>
              <w:rPr>
                <w:rFonts w:ascii="Arial" w:cs="Arial" w:eastAsia="Arial" w:hAnsi="Arial"/>
                <w:b/>
                <w:bCs/>
                <w:color w:val="4A5568"/>
                <w:sz w:val="18"/>
                <w:szCs w:val="18"/>
              </w:rPr>
              <w:t xml:space="preserve">Review Methodology</w:t>
            </w:r>
          </w:p>
          <w:p>
            <w:r>
              <w:rPr>
                <w:rFonts w:ascii="Arial" w:cs="Arial" w:eastAsia="Arial" w:hAnsi="Arial"/>
                <w:color w:val="718096"/>
                <w:sz w:val="18"/>
                <w:szCs w:val="18"/>
              </w:rPr>
              <w:t xml:space="preserve">This Round 2 review was conducted using four parallel expert subagents: (1) statistical methodology, (2) economic content, (3) writing quality, (4) ML/robustness analysis. Each independently evaluated the revised paper against the Round 1 issues. The consensus verdict (Accept with Minor Revisions) reflects unanimous agreement that all Tier 1 issues have been addressed.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Round 2 Peer Review — ICAIF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2026-02-28T07:49:43.702Z</dcterms:created>
  <dcterms:modified xsi:type="dcterms:W3CDTF">2026-02-28T07:49:43.707Z</dcterms:modified>
</cp:coreProperties>
</file>

<file path=docProps/custom.xml><?xml version="1.0" encoding="utf-8"?>
<Properties xmlns="http://schemas.openxmlformats.org/officeDocument/2006/custom-properties" xmlns:vt="http://schemas.openxmlformats.org/officeDocument/2006/docPropsVTypes"/>
</file>