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0"/>
          <w:szCs w:val="40"/>
        </w:rPr>
        <w:t xml:space="preserve">COMPREHENSIVE PEER REVIEW</w:t>
      </w:r>
    </w:p>
    <w:p>
      <w:pPr>
        <w:spacing w:after="40"/>
        <w:jc w:val="center"/>
      </w:pPr>
      <w:r>
        <w:rPr>
          <w:rFonts w:ascii="Arial" w:cs="Arial" w:eastAsia="Arial" w:hAnsi="Arial"/>
          <w:i/>
          <w:iCs/>
          <w:color w:val="444444"/>
          <w:sz w:val="26"/>
          <w:szCs w:val="26"/>
        </w:rPr>
        <w:t xml:space="preserve">The Rise and Fall of Cross-Factor Predictability:</w:t>
      </w:r>
    </w:p>
    <w:p>
      <w:pPr>
        <w:spacing w:after="200"/>
        <w:jc w:val="center"/>
      </w:pPr>
      <w:r>
        <w:rPr>
          <w:rFonts w:ascii="Arial" w:cs="Arial" w:eastAsia="Arial" w:hAnsi="Arial"/>
          <w:i/>
          <w:iCs/>
          <w:color w:val="444444"/>
          <w:sz w:val="26"/>
          <w:szCs w:val="26"/>
        </w:rPr>
        <w:t xml:space="preserve">Regime-Conditional HML→SMB Granger Predictability</w:t>
      </w:r>
    </w:p>
    <w:p>
      <w:pPr>
        <w:spacing w:after="40"/>
        <w:jc w:val="center"/>
      </w:pPr>
      <w:r>
        <w:rPr>
          <w:rFonts w:ascii="Arial" w:cs="Arial" w:eastAsia="Arial" w:hAnsi="Arial"/>
          <w:color w:val="666666"/>
          <w:sz w:val="20"/>
          <w:szCs w:val="20"/>
        </w:rPr>
        <w:t xml:space="preserve">Submitted to: ICAIF 2026  |  Review Date: February 28, 2026</w:t>
      </w:r>
    </w:p>
    <w:p>
      <w:pPr>
        <w:spacing w:after="400"/>
        <w:jc w:val="center"/>
      </w:pPr>
      <w:r>
        <w:rPr>
          <w:rFonts w:ascii="Arial" w:cs="Arial" w:eastAsia="Arial" w:hAnsi="Arial"/>
          <w:color w:val="666666"/>
          <w:sz w:val="20"/>
          <w:szCs w:val="20"/>
        </w:rPr>
        <w:t xml:space="preserve">Four-Panel Subagent Review: Methodology, Contribution, Writing, Robustness</w:t>
      </w:r>
    </w:p>
    <w:p>
      <w:pPr>
        <w:pStyle w:val="Heading1"/>
      </w:pPr>
      <w:r>
        <w:rPr>
          <w:rFonts w:ascii="Arial" w:cs="Arial" w:eastAsia="Arial" w:hAnsi="Arial"/>
        </w:rPr>
        <w:t xml:space="preserve">Overall Verdict</w:t>
      </w:r>
    </w:p>
    <w:p>
      <w:pPr>
        <w:spacing w:after="120"/>
      </w:pPr>
      <w:r>
        <w:rPr>
          <w:rFonts w:ascii="Arial" w:cs="Arial" w:eastAsia="Arial" w:hAnsi="Arial"/>
          <w:b/>
          <w:bCs/>
          <w:color w:val="CC7700"/>
          <w:sz w:val="22"/>
          <w:szCs w:val="22"/>
        </w:rPr>
        <w:t xml:space="preserve">Recommendation: MAJOR REVISION </w:t>
      </w:r>
      <w:r>
        <w:rPr>
          <w:rFonts w:ascii="Arial" w:cs="Arial" w:eastAsia="Arial" w:hAnsi="Arial"/>
          <w:color w:val="333333"/>
          <w:sz w:val="22"/>
          <w:szCs w:val="22"/>
        </w:rPr>
        <w:t xml:space="preserve">(Conditional Accept)</w:t>
      </w:r>
    </w:p>
    <w:p>
      <w:pPr>
        <w:spacing w:after="120"/>
      </w:pPr>
      <w:r>
        <w:rPr>
          <w:rFonts w:ascii="Arial" w:cs="Arial" w:eastAsia="Arial" w:hAnsi="Arial"/>
          <w:b w:val="false"/>
          <w:bCs w:val="false"/>
          <w:color w:val="333333"/>
          <w:sz w:val="22"/>
          <w:szCs w:val="22"/>
        </w:rPr>
        <w:t xml:space="preserve">The paper makes a genuine empirical contribution by documenting the multi-break structural decay of HML→SMB Granger predictability (June 1998, January 2008). The primary in-sample finding is statistically robust (p = 8.75 × 10⁻⁹, Bonferroni-corrected) and the frozen out-of-sample design is methodologically rigorous. However, the secondary OOS re-emergence finding is fragile, prevalence-dependent, and oversold relative to its actual evidential weight. The paper also suffers from scope creep, excessive hedging, and organizational issues that obscure the core contribution.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Finding (Structural Break)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9/10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Secondary Finding (OOS Re-emergence)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5.5/10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Methodology &amp; Statistical Rigor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Writing &amp; Presentation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6/10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Novelty &amp; Economic Contribution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6.5/10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WEIGHTED OVERALL</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7.2/10</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
            </w:r>
          </w:p>
        </w:tc>
      </w:tr>
    </w:tbl>
    <w:p>
      <w:r>
        <w:br w:type="page"/>
      </w:r>
    </w:p>
    <w:p>
      <w:pPr>
        <w:pStyle w:val="Heading1"/>
      </w:pPr>
      <w:r>
        <w:rPr>
          <w:rFonts w:ascii="Arial" w:cs="Arial" w:eastAsia="Arial" w:hAnsi="Arial"/>
        </w:rPr>
        <w:t xml:space="preserve">Issue Severity Summary</w:t>
      </w:r>
    </w:p>
    <w:p>
      <w:pPr>
        <w:spacing w:after="120"/>
      </w:pPr>
      <w:r>
        <w:rPr>
          <w:rFonts w:ascii="Arial" w:cs="Arial" w:eastAsia="Arial" w:hAnsi="Arial"/>
          <w:b w:val="false"/>
          <w:bCs w:val="false"/>
          <w:color w:val="333333"/>
          <w:sz w:val="22"/>
          <w:szCs w:val="22"/>
        </w:rPr>
        <w:t xml:space="preserve">The review panels identified 18 distinct issues across four dimensions. Below is a consolidated severity table: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600"/>
        <w:gridCol w:w="20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OOS result driven by regime expansion (13.7%→30.7%)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MAJOR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Robustness</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K=3 non-monotonic sensitivity (null at K=2, K=4)</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CC0000"/>
                <w:sz w:val="20"/>
                <w:szCs w:val="20"/>
              </w:rPr>
              <w:t xml:space="preserve">MAJOR</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Methodology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optima: BIC-optimal assigns 0% of 2008 to Crisis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MAJOR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Methodology</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Multiple testing framework inconsistency (3 vs 30 pairs)</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CC0000"/>
                <w:sz w:val="20"/>
                <w:szCs w:val="20"/>
              </w:rPr>
              <w:t xml:space="preserve">MAJOR</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Statistics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HAC bandwidth sensitivity crosses p=0.05 at NW default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MAJOR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Statistics</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Economic significance too low (ΔR²≈2%, Sharpe=-0.07)</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CC0000"/>
                <w:sz w:val="20"/>
                <w:szCs w:val="20"/>
              </w:rPr>
              <w:t xml:space="preserve">MAJOR</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Contribution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Paper organization scattered; narrative incoherent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MAJOR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Writing</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Excessive hedging undermines confidence in results</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CC0000"/>
                <w:sz w:val="20"/>
                <w:szCs w:val="20"/>
              </w:rPr>
              <w:t xml:space="preserve">MAJOR</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Writing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vs. secondary finding distinction blurred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MAJOR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Writing</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Scale convention dual reporting without clear primary</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CC7700"/>
                <w:sz w:val="20"/>
                <w:szCs w:val="20"/>
              </w:rPr>
              <w:t xml:space="preserve">MODERATE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Methodology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Deleveraging hypothesis unverified; confounders unaddressed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MODERATE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Contribution</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Event validation weak (2/6 confirm pattern)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CC7700"/>
                <w:sz w:val="20"/>
                <w:szCs w:val="20"/>
              </w:rPr>
              <w:t xml:space="preserve">MODERATE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Robustness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Transfer entropy interpretation (nonlinear vs. confounder)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MODERATE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Methodology</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ML section underdeveloped for ICAIF audience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CC7700"/>
                <w:sz w:val="20"/>
                <w:szCs w:val="20"/>
              </w:rPr>
              <w:t xml:space="preserve">MODERATE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Contribution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Scope creep (7 analyses, each underdeveloped)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MODERATE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Writing</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Bivariate Granger omits MKT-RF confounder control</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CC7700"/>
                <w:sz w:val="20"/>
                <w:szCs w:val="20"/>
              </w:rPr>
              <w:t xml:space="preserve">MODERATE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Methodology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Notation and abbreviation inconsistencies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MINOR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Writing</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Appendix buries important material (local optima, FF25)</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228B22"/>
                <w:sz w:val="20"/>
                <w:szCs w:val="20"/>
              </w:rPr>
              <w:t xml:space="preserve">MINOR</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333333"/>
                <w:sz w:val="20"/>
                <w:szCs w:val="20"/>
              </w:rPr>
              <w:t xml:space="preserve">Writing</w:t>
            </w:r>
          </w:p>
        </w:tc>
      </w:tr>
    </w:tbl>
    <w:p>
      <w:r>
        <w:br w:type="page"/>
      </w:r>
    </w:p>
    <w:p>
      <w:pPr>
        <w:pStyle w:val="Heading1"/>
      </w:pPr>
      <w:r>
        <w:rPr>
          <w:rFonts w:ascii="Arial" w:cs="Arial" w:eastAsia="Arial" w:hAnsi="Arial"/>
        </w:rPr>
        <w:t xml:space="preserve">Panel 1: Methodology &amp; Statistical Rigor</w:t>
      </w:r>
    </w:p>
    <w:p>
      <w:pPr>
        <w:pStyle w:val="Heading2"/>
      </w:pPr>
      <w:r>
        <w:rPr>
          <w:rFonts w:ascii="Arial" w:cs="Arial" w:eastAsia="Arial" w:hAnsi="Arial"/>
        </w:rPr>
        <w:t xml:space="preserve">1.1 HMM Specification</w:t>
      </w:r>
    </w:p>
    <w:p>
      <w:pPr>
        <w:spacing w:after="120"/>
      </w:pPr>
      <w:r>
        <w:rPr>
          <w:rFonts w:ascii="Arial" w:cs="Arial" w:eastAsia="Arial" w:hAnsi="Arial"/>
          <w:b/>
          <w:bCs/>
          <w:color w:val="333333"/>
          <w:sz w:val="22"/>
          <w:szCs w:val="22"/>
        </w:rPr>
        <w:t xml:space="preserve">Student-t choice: </w:t>
      </w:r>
      <w:r>
        <w:rPr>
          <w:rFonts w:ascii="Arial" w:cs="Arial" w:eastAsia="Arial" w:hAnsi="Arial"/>
          <w:color w:val="333333"/>
          <w:sz w:val="22"/>
          <w:szCs w:val="22"/>
        </w:rPr>
        <w:t xml:space="preserve">Well-justified. Estimated degrees of freedom (6.2, 3.9, 5.5) confirm heavy tails. However, with ν=3.9 in the Elevated regime, fourth moments are undefined, which technically invalidates the HAC standard error asymptotics. The paper should add rank-based or permutation Granger tests as robustness checks that don't require moment assumptions.</w:t>
      </w:r>
    </w:p>
    <w:p>
      <w:pPr>
        <w:spacing w:after="120"/>
      </w:pPr>
      <w:r>
        <w:rPr>
          <w:rFonts w:ascii="Arial" w:cs="Arial" w:eastAsia="Arial" w:hAnsi="Arial"/>
          <w:b/>
          <w:bCs/>
          <w:color w:val="CC0000"/>
          <w:sz w:val="22"/>
          <w:szCs w:val="22"/>
        </w:rPr>
        <w:t xml:space="preserve">K=3 selection: MAJOR CONCERN. </w:t>
      </w:r>
      <w:r>
        <w:rPr>
          <w:rFonts w:ascii="Arial" w:cs="Arial" w:eastAsia="Arial" w:hAnsi="Arial"/>
          <w:color w:val="333333"/>
          <w:sz w:val="22"/>
          <w:szCs w:val="22"/>
        </w:rPr>
        <w:t xml:space="preserve">BIC selects K=3 with strong evidence (ΔBIC = 847 vs K=2). However, the BIC-optimal K=3 fit assigns 0% of 2008 GFC days to the Crisis regime, while economically sensible fits assign 90–100%. The “economic validity” criterion (≥50% GFC detection) is post-hoc. Most critically, the paper must clarify whether K=3 was selected on the full 1990–2024 sample or the 1990–2012 training set only. If full-sample, there is look-ahead bias in the frozen OOS design.</w:t>
      </w:r>
    </w:p>
    <w:p>
      <w:pPr>
        <w:spacing w:after="120"/>
      </w:pPr>
      <w:r>
        <w:rPr>
          <w:rFonts w:ascii="Arial" w:cs="Arial" w:eastAsia="Arial" w:hAnsi="Arial"/>
          <w:b/>
          <w:bCs/>
          <w:color w:val="333333"/>
          <w:sz w:val="22"/>
          <w:szCs w:val="22"/>
        </w:rPr>
        <w:t xml:space="preserve">Non-monotonic K sensitivity: </w:t>
      </w:r>
      <w:r>
        <w:rPr>
          <w:rFonts w:ascii="Arial" w:cs="Arial" w:eastAsia="Arial" w:hAnsi="Arial"/>
          <w:color w:val="333333"/>
          <w:sz w:val="22"/>
          <w:szCs w:val="22"/>
        </w:rPr>
        <w:t xml:space="preserve">The OOS result exists ONLY at K=3 (p=0.003), vanishing at K=2 (p=0.514) and K=4 (p=0.056). This suggests the Elevated-regime signal is specific to the three-regime decomposition. This should be stated in the abstract as a critical caveat.</w:t>
      </w:r>
    </w:p>
    <w:p>
      <w:pPr>
        <w:spacing w:after="120"/>
      </w:pPr>
      <w:r>
        <w:rPr>
          <w:rFonts w:ascii="Arial" w:cs="Arial" w:eastAsia="Arial" w:hAnsi="Arial"/>
          <w:b/>
          <w:bCs/>
          <w:color w:val="333333"/>
          <w:sz w:val="22"/>
          <w:szCs w:val="22"/>
        </w:rPr>
        <w:t xml:space="preserve">50-seed multistart: </w:t>
      </w:r>
      <w:r>
        <w:rPr>
          <w:rFonts w:ascii="Arial" w:cs="Arial" w:eastAsia="Arial" w:hAnsi="Arial"/>
          <w:color w:val="333333"/>
          <w:sz w:val="22"/>
          <w:szCs w:val="22"/>
        </w:rPr>
        <w:t xml:space="preserve">The 7 distinct local optima clusters are well-documented. However, “all 7 clusters show p&lt;0.05” may be because all clusters share similar Elevated assignments even while Crisis assignments differ. Per-cluster Elevated regime assignments should be reported explicitly.</w:t>
      </w:r>
    </w:p>
    <w:p>
      <w:pPr>
        <w:pStyle w:val="Heading2"/>
      </w:pPr>
      <w:r>
        <w:rPr>
          <w:rFonts w:ascii="Arial" w:cs="Arial" w:eastAsia="Arial" w:hAnsi="Arial"/>
        </w:rPr>
        <w:t xml:space="preserve">1.2 Granger Causality Tests</w:t>
      </w:r>
    </w:p>
    <w:p>
      <w:pPr>
        <w:spacing w:after="120"/>
      </w:pPr>
      <w:r>
        <w:rPr>
          <w:rFonts w:ascii="Arial" w:cs="Arial" w:eastAsia="Arial" w:hAnsi="Arial"/>
          <w:b/>
          <w:bCs/>
          <w:color w:val="CC0000"/>
          <w:sz w:val="22"/>
          <w:szCs w:val="22"/>
        </w:rPr>
        <w:t xml:space="preserve">HAC bandwidth sensitivity: MAJOR CONCERN. </w:t>
      </w:r>
      <w:r>
        <w:rPr>
          <w:rFonts w:ascii="Arial" w:cs="Arial" w:eastAsia="Arial" w:hAnsi="Arial"/>
          <w:color w:val="333333"/>
          <w:sz w:val="22"/>
          <w:szCs w:val="22"/>
        </w:rPr>
        <w:t xml:space="preserve">The Andrews automatic bandwidth (B=2) yields HAC p=0.043. However, the Newey-West default (B=6) yields p=0.056, crossing the conventional 5% threshold. The choice of bandwidth selection rule materially affects whether the OOS result “survives.” The paper should report three bandwidth specifications in the main text (Andrews, Newey-West, rule-of-thumb) rather than relegating sensitivity to a table.</w:t>
      </w:r>
    </w:p>
    <w:p>
      <w:pPr>
        <w:spacing w:after="120"/>
      </w:pPr>
      <w:r>
        <w:rPr>
          <w:rFonts w:ascii="Arial" w:cs="Arial" w:eastAsia="Arial" w:hAnsi="Arial"/>
          <w:b/>
          <w:bCs/>
          <w:color w:val="333333"/>
          <w:sz w:val="22"/>
          <w:szCs w:val="22"/>
        </w:rPr>
        <w:t xml:space="preserve">Regime boundary handling: </w:t>
      </w:r>
      <w:r>
        <w:rPr>
          <w:rFonts w:ascii="Arial" w:cs="Arial" w:eastAsia="Arial" w:hAnsi="Arial"/>
          <w:color w:val="333333"/>
          <w:sz w:val="22"/>
          <w:szCs w:val="22"/>
        </w:rPr>
        <w:t xml:space="preserve">The 7.4% OOS exclusion rate (vs 0.67% in-sample) is concerning. This suggests the frozen classifier assigns frequent regime transitions to 2013–2024, indicating possible model drift. The paper should compare characteristics of excluded vs. included observations.</w:t>
      </w:r>
    </w:p>
    <w:p>
      <w:pPr>
        <w:spacing w:after="120"/>
      </w:pPr>
      <w:r>
        <w:rPr>
          <w:rFonts w:ascii="Arial" w:cs="Arial" w:eastAsia="Arial" w:hAnsi="Arial"/>
          <w:b/>
          <w:bCs/>
          <w:color w:val="333333"/>
          <w:sz w:val="22"/>
          <w:szCs w:val="22"/>
        </w:rPr>
        <w:t xml:space="preserve">Bivariate specification: </w:t>
      </w:r>
      <w:r>
        <w:rPr>
          <w:rFonts w:ascii="Arial" w:cs="Arial" w:eastAsia="Arial" w:hAnsi="Arial"/>
          <w:color w:val="333333"/>
          <w:sz w:val="22"/>
          <w:szCs w:val="22"/>
        </w:rPr>
        <w:t xml:space="preserve">Testing only pairwise HML→SMB without conditioning on MKT-RF leaves the common-driver explanation unaddressed. A trivariate Granger test (HML, SMB, MKT-RF) should be included, at minimum as a robustness check.</w:t>
      </w:r>
    </w:p>
    <w:p>
      <w:pPr>
        <w:pStyle w:val="Heading2"/>
      </w:pPr>
      <w:r>
        <w:rPr>
          <w:rFonts w:ascii="Arial" w:cs="Arial" w:eastAsia="Arial" w:hAnsi="Arial"/>
        </w:rPr>
        <w:t xml:space="preserve">1.3 Multiple Testing Framework</w:t>
      </w:r>
    </w:p>
    <w:p>
      <w:pPr>
        <w:spacing w:after="120"/>
      </w:pPr>
      <w:r>
        <w:rPr>
          <w:rFonts w:ascii="Arial" w:cs="Arial" w:eastAsia="Arial" w:hAnsi="Arial"/>
          <w:b/>
          <w:bCs/>
          <w:color w:val="CC0000"/>
          <w:sz w:val="22"/>
          <w:szCs w:val="22"/>
        </w:rPr>
        <w:t xml:space="preserve">Inconsistent correction levels: MAJOR CONCERN. </w:t>
      </w:r>
      <w:r>
        <w:rPr>
          <w:rFonts w:ascii="Arial" w:cs="Arial" w:eastAsia="Arial" w:hAnsi="Arial"/>
          <w:color w:val="333333"/>
          <w:sz w:val="22"/>
          <w:szCs w:val="22"/>
        </w:rPr>
        <w:t xml:space="preserve">The in-sample analysis correctly applies 30-pair Bonferroni (α/30 = 0.00033). The OOS analysis switches to 3-regime Bonferroni (α/3 = 0.0167). This inconsistency appears motivated by significance-seeking. Since HML→SMB was selected from screening 30 pairs in-sample, the OOS test inherits the 30-pair multiple testing burden. Under α/30 = 0.00167, the OOS result fails clearly. The paper should acknowledge this is the more appropriate correction and present the 3-regime framework as a sensitivity analysis.</w:t>
      </w:r>
    </w:p>
    <w:p>
      <w:pPr>
        <w:spacing w:after="120"/>
      </w:pPr>
      <w:r>
        <w:rPr>
          <w:rFonts w:ascii="Arial" w:cs="Arial" w:eastAsia="Arial" w:hAnsi="Arial"/>
          <w:b/>
          <w:bCs/>
          <w:color w:val="333333"/>
          <w:sz w:val="22"/>
          <w:szCs w:val="22"/>
        </w:rPr>
        <w:t xml:space="preserve">Permutation test precision: </w:t>
      </w:r>
      <w:r>
        <w:rPr>
          <w:rFonts w:ascii="Arial" w:cs="Arial" w:eastAsia="Arial" w:hAnsi="Arial"/>
          <w:color w:val="333333"/>
          <w:sz w:val="22"/>
          <w:szCs w:val="22"/>
        </w:rPr>
        <w:t xml:space="preserve">With 10,000 shuffles, the reported p=0.063 has a 95% CI of approximately [0.048, 0.078], straddling the 0.05 threshold. The dual reporting of p=0.022 (percentage-unit) and p=0.063 (decimal-unit) without a clear primary designation creates an impression of selective emphasis.</w:t>
      </w:r>
    </w:p>
    <w:p>
      <w:pPr>
        <w:pStyle w:val="Heading2"/>
      </w:pPr>
      <w:r>
        <w:rPr>
          <w:rFonts w:ascii="Arial" w:cs="Arial" w:eastAsia="Arial" w:hAnsi="Arial"/>
        </w:rPr>
        <w:t xml:space="preserve">1.4 Structural Break Analysis</w:t>
      </w:r>
    </w:p>
    <w:p>
      <w:pPr>
        <w:spacing w:after="120"/>
      </w:pPr>
      <w:r>
        <w:rPr>
          <w:rFonts w:ascii="Arial" w:cs="Arial" w:eastAsia="Arial" w:hAnsi="Arial"/>
          <w:b w:val="false"/>
          <w:bCs w:val="false"/>
          <w:color w:val="333333"/>
          <w:sz w:val="22"/>
          <w:szCs w:val="22"/>
        </w:rPr>
        <w:t xml:space="preserve">The sup-F test identifying June 1998 as the primary break (p = 1.23 × 10⁻¹³) is well-executed and the finding is robust. The secondary Chow test at January 2008 (p = 2.29 × 10⁻⁶) confirms further deterioration. Two minor concerns: (1) the paper should clarify whether the sup-F p-value uses the asymptotic sup-F distribution or standard Chow tables; (2) a formal Bai-Perron sequential break test allowing up to K=3 breaks would strengthen the multi-break narrative.</w:t>
      </w:r>
    </w:p>
    <w:p>
      <w:r>
        <w:br w:type="page"/>
      </w:r>
    </w:p>
    <w:p>
      <w:pPr>
        <w:pStyle w:val="Heading1"/>
      </w:pPr>
      <w:r>
        <w:rPr>
          <w:rFonts w:ascii="Arial" w:cs="Arial" w:eastAsia="Arial" w:hAnsi="Arial"/>
        </w:rPr>
        <w:t xml:space="preserve">Panel 2: Economic Contribution &amp; Novelty</w:t>
      </w:r>
    </w:p>
    <w:p>
      <w:pPr>
        <w:pStyle w:val="Heading2"/>
      </w:pPr>
      <w:r>
        <w:rPr>
          <w:rFonts w:ascii="Arial" w:cs="Arial" w:eastAsia="Arial" w:hAnsi="Arial"/>
        </w:rPr>
        <w:t xml:space="preserve">2.1 Novelty Assessment</w:t>
      </w:r>
    </w:p>
    <w:p>
      <w:pPr>
        <w:spacing w:after="120"/>
      </w:pPr>
      <w:r>
        <w:rPr>
          <w:rFonts w:ascii="Arial" w:cs="Arial" w:eastAsia="Arial" w:hAnsi="Arial"/>
          <w:b/>
          <w:bCs/>
          <w:color w:val="333333"/>
          <w:sz w:val="22"/>
          <w:szCs w:val="22"/>
        </w:rPr>
        <w:t xml:space="preserve">The contribution is incremental, not groundbreaking. </w:t>
      </w:r>
      <w:r>
        <w:rPr>
          <w:rFonts w:ascii="Arial" w:cs="Arial" w:eastAsia="Arial" w:hAnsi="Arial"/>
          <w:color w:val="333333"/>
          <w:sz w:val="22"/>
          <w:szCs w:val="22"/>
        </w:rPr>
        <w:t xml:space="preserve">Regime-switching models in finance are well-established (Hamilton 1989, Ang &amp; Bekaert 2002). Psaradakis et al. (2005) already combine Markov-switching with Granger causality. The paper’s claim that “no prior work examines regime-conditional Granger causality between Fama-French factors” is technically true but understates the narrow gap. The genuine contribution is the structural break timing narrative (June 1998, January 2008), not the methodological framework itself.</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Reposition contributions to emphasize the empirical finding (documented temporal decay) over the methodological framework (regime-conditional Granger, which is established).</w:t>
      </w:r>
    </w:p>
    <w:p>
      <w:pPr>
        <w:pStyle w:val="Heading2"/>
      </w:pPr>
      <w:r>
        <w:rPr>
          <w:rFonts w:ascii="Arial" w:cs="Arial" w:eastAsia="Arial" w:hAnsi="Arial"/>
        </w:rPr>
        <w:t xml:space="preserve">2.2 Economic Significance</w:t>
      </w:r>
    </w:p>
    <w:p>
      <w:pPr>
        <w:spacing w:after="120"/>
      </w:pPr>
      <w:r>
        <w:rPr>
          <w:rFonts w:ascii="Arial" w:cs="Arial" w:eastAsia="Arial" w:hAnsi="Arial"/>
          <w:b/>
          <w:bCs/>
          <w:color w:val="CC0000"/>
          <w:sz w:val="22"/>
          <w:szCs w:val="22"/>
        </w:rPr>
        <w:t xml:space="preserve">MAJOR CONCERN. </w:t>
      </w:r>
      <w:r>
        <w:rPr>
          <w:rFonts w:ascii="Arial" w:cs="Arial" w:eastAsia="Arial" w:hAnsi="Arial"/>
          <w:color w:val="333333"/>
          <w:sz w:val="22"/>
          <w:szCs w:val="22"/>
        </w:rPr>
        <w:t xml:space="preserve">The effect sizes are extremely small: ΔR² ≈ 2% pre-GFC (modest for daily data), Sharpe = -0.07 for the trading backtest (worse than no strategy). The OOS Elevated ΔR² &lt; 1%. The paper acknowledges “statistical predictability ≠ economic predictability” but doesn’t adequately explain why readers should care. For ICAIF 2026 specifically: no ML prediction is demonstrated, the VaR application fails (93.2% false-alarm rate), and no factor-timing improvement is shown.</w:t>
      </w:r>
    </w:p>
    <w:p>
      <w:pPr>
        <w:spacing w:after="120"/>
      </w:pPr>
      <w:r>
        <w:rPr>
          <w:rFonts w:ascii="Arial" w:cs="Arial" w:eastAsia="Arial" w:hAnsi="Arial"/>
          <w:b w:val="false"/>
          <w:bCs w:val="false"/>
          <w:color w:val="333333"/>
          <w:sz w:val="22"/>
          <w:szCs w:val="22"/>
        </w:rPr>
        <w:t xml:space="preserve">The academic value lies in understanding when factor relationships structurally change, not in generating tradable signals. This should be stated more clearly.</w:t>
      </w:r>
    </w:p>
    <w:p>
      <w:pPr>
        <w:pStyle w:val="Heading2"/>
      </w:pPr>
      <w:r>
        <w:rPr>
          <w:rFonts w:ascii="Arial" w:cs="Arial" w:eastAsia="Arial" w:hAnsi="Arial"/>
        </w:rPr>
        <w:t xml:space="preserve">2.3 Multi-Break Decay Narrative</w:t>
      </w:r>
    </w:p>
    <w:p>
      <w:pPr>
        <w:spacing w:after="120"/>
      </w:pPr>
      <w:r>
        <w:rPr>
          <w:rFonts w:ascii="Arial" w:cs="Arial" w:eastAsia="Arial" w:hAnsi="Arial"/>
          <w:b w:val="false"/>
          <w:bCs w:val="false"/>
          <w:color w:val="333333"/>
          <w:sz w:val="22"/>
          <w:szCs w:val="22"/>
        </w:rPr>
        <w:t xml:space="preserve">The multi-break finding is real but the interpretation is post-hoc. The June 1998 break is 10⁷× more significant than the January 2008 break, suggesting a single primary break with subsequent confirmation rather than independent “multi-break decay.” The post-2008 coefficient (95% CI [-0.049, 0.073]) simply shows the relationship stayed broken. Alternative explanations (increased HML–SMB correlation absorbing the lag, Volcker Rule reducing proprietary trading, factor crowding) are acknowledged as post-hoc but are not ruled out.</w:t>
      </w:r>
    </w:p>
    <w:p>
      <w:pPr>
        <w:pStyle w:val="Heading2"/>
      </w:pPr>
      <w:r>
        <w:rPr>
          <w:rFonts w:ascii="Arial" w:cs="Arial" w:eastAsia="Arial" w:hAnsi="Arial"/>
        </w:rPr>
        <w:t xml:space="preserve">2.4 Deleveraging Hypothesis</w:t>
      </w:r>
    </w:p>
    <w:p>
      <w:pPr>
        <w:spacing w:after="120"/>
      </w:pPr>
      <w:r>
        <w:rPr>
          <w:rFonts w:ascii="Arial" w:cs="Arial" w:eastAsia="Arial" w:hAnsi="Arial"/>
          <w:b/>
          <w:bCs/>
          <w:color w:val="333333"/>
          <w:sz w:val="22"/>
          <w:szCs w:val="22"/>
        </w:rPr>
        <w:t xml:space="preserve">The hypothesis is plausible but not convincingly tested. </w:t>
      </w:r>
      <w:r>
        <w:rPr>
          <w:rFonts w:ascii="Arial" w:cs="Arial" w:eastAsia="Arial" w:hAnsi="Arial"/>
          <w:color w:val="333333"/>
          <w:sz w:val="22"/>
          <w:szCs w:val="22"/>
        </w:rPr>
        <w:t xml:space="preserve">The FF25 overlap evidence (ρs = 0.35, permutation p = 0.046) uses only the sensitivity fit (seed 42, not the primary fit). Event-level validation confirms the expected pattern in only 2 of 6 events. Most critically, the paper explicitly states it cannot rule out common-driver confounding (e.g., funding liquidity affecting both factors with different lags). This leaves Granger “causality” as purely predictive precedence with no mechanistic verification.</w:t>
      </w:r>
    </w:p>
    <w:p>
      <w:pPr>
        <w:pStyle w:val="Heading2"/>
      </w:pPr>
      <w:r>
        <w:rPr>
          <w:rFonts w:ascii="Arial" w:cs="Arial" w:eastAsia="Arial" w:hAnsi="Arial"/>
        </w:rPr>
        <w:t xml:space="preserve">2.5 Transfer Entropy Asymmetry</w:t>
      </w:r>
    </w:p>
    <w:p>
      <w:pPr>
        <w:spacing w:after="120"/>
      </w:pPr>
      <w:r>
        <w:rPr>
          <w:rFonts w:ascii="Arial" w:cs="Arial" w:eastAsia="Arial" w:hAnsi="Arial"/>
          <w:b w:val="false"/>
          <w:bCs w:val="false"/>
          <w:color w:val="333333"/>
          <w:sz w:val="22"/>
          <w:szCs w:val="22"/>
        </w:rPr>
        <w:t xml:space="preserve">This is the most genuinely novel subsidiary finding: the reverse SMB→HML channel is nonlinear and substantially stronger (z=5.37 vs z=2.45 in Normal). However, it’s underdeveloped. The paper doesn’t test robustness across kNN parameters (k=3,4,5,6,7), doesn’t distinguish nonlinear causality from confounder detection, and awkwardly positions it as a “diagnostic” rather than a co-equal finding. Either promote this with proper development or demote to appendix.</w:t>
      </w:r>
    </w:p>
    <w:p>
      <w:pPr>
        <w:pStyle w:val="Heading2"/>
      </w:pPr>
      <w:r>
        <w:rPr>
          <w:rFonts w:ascii="Arial" w:cs="Arial" w:eastAsia="Arial" w:hAnsi="Arial"/>
        </w:rPr>
        <w:t xml:space="preserve">2.6 ICAIF Fit</w:t>
      </w:r>
    </w:p>
    <w:p>
      <w:pPr>
        <w:spacing w:after="120"/>
      </w:pPr>
      <w:r>
        <w:rPr>
          <w:rFonts w:ascii="Arial" w:cs="Arial" w:eastAsia="Arial" w:hAnsi="Arial"/>
          <w:b w:val="false"/>
          <w:bCs w:val="false"/>
          <w:color w:val="333333"/>
          <w:sz w:val="22"/>
          <w:szCs w:val="22"/>
        </w:rPr>
        <w:t xml:space="preserve">The ML validation section (LSTM attention, RF importance, MLP, transfer entropy) uses ML as a diagnostic lens rather than a predictive tool. For ICAIF, this is a missed opportunity. An LSTM trained on 1990–2012 with frozen parameters applied to 2013–2024 would directly test whether regime-conditional structure enables ML-based factor timing. Without this, the paper reads as an empirical finance study with ML garnish rather than a genuine AI+Finance contribution.</w:t>
      </w:r>
    </w:p>
    <w:p>
      <w:r>
        <w:br w:type="page"/>
      </w:r>
    </w:p>
    <w:p>
      <w:pPr>
        <w:pStyle w:val="Heading1"/>
      </w:pPr>
      <w:r>
        <w:rPr>
          <w:rFonts w:ascii="Arial" w:cs="Arial" w:eastAsia="Arial" w:hAnsi="Arial"/>
        </w:rPr>
        <w:t xml:space="preserve">Panel 3: Writing &amp; Presentation</w:t>
      </w:r>
    </w:p>
    <w:p>
      <w:pPr>
        <w:pStyle w:val="Heading2"/>
      </w:pPr>
      <w:r>
        <w:rPr>
          <w:rFonts w:ascii="Arial" w:cs="Arial" w:eastAsia="Arial" w:hAnsi="Arial"/>
        </w:rPr>
        <w:t xml:space="preserve">3.1 Abstract</w:t>
      </w:r>
    </w:p>
    <w:p>
      <w:pPr>
        <w:spacing w:after="120"/>
      </w:pPr>
      <w:r>
        <w:rPr>
          <w:rFonts w:ascii="Arial" w:cs="Arial" w:eastAsia="Arial" w:hAnsi="Arial"/>
          <w:b w:val="false"/>
          <w:bCs w:val="false"/>
          <w:color w:val="333333"/>
          <w:sz w:val="22"/>
          <w:szCs w:val="22"/>
        </w:rPr>
        <w:t xml:space="preserve">The abstract is too dense with numerical results (six p-values, multiple acronyms). It should lead with the narrative finding (“predictive relationships vanish and re-emerge across market regimes”), state the primary contribution (structural break timing), and defer precise statistics to the main text. The OOS result mixing raw vs. bootstrap p-values creates confusion about its status.</w:t>
      </w:r>
    </w:p>
    <w:p>
      <w:pPr>
        <w:pStyle w:val="Heading2"/>
      </w:pPr>
      <w:r>
        <w:rPr>
          <w:rFonts w:ascii="Arial" w:cs="Arial" w:eastAsia="Arial" w:hAnsi="Arial"/>
        </w:rPr>
        <w:t xml:space="preserve">3.2 Paper Organization</w:t>
      </w:r>
    </w:p>
    <w:p>
      <w:pPr>
        <w:spacing w:after="120"/>
      </w:pPr>
      <w:r>
        <w:rPr>
          <w:rFonts w:ascii="Arial" w:cs="Arial" w:eastAsia="Arial" w:hAnsi="Arial"/>
          <w:b/>
          <w:bCs/>
          <w:color w:val="CC0000"/>
          <w:sz w:val="22"/>
          <w:szCs w:val="22"/>
        </w:rPr>
        <w:t xml:space="preserve">MAJOR CONCERN. </w:t>
      </w:r>
      <w:r>
        <w:rPr>
          <w:rFonts w:ascii="Arial" w:cs="Arial" w:eastAsia="Arial" w:hAnsi="Arial"/>
          <w:color w:val="333333"/>
          <w:sz w:val="22"/>
          <w:szCs w:val="22"/>
        </w:rPr>
        <w:t xml:space="preserve">The paper covers 7 major analyses (structural break, OOS re-emergence, transfer entropy, ML diagnostics, FF25 overlap, event validation, VaR) with weak thematic coherence. The Methods section is over-detailed (~180 lines for standard techniques). The frozen OOS validation appears too late (Section 3.5), after the structural break and its robustness—it should come immediately after regime characteristics. The Discussion mixes robustness checks, local optima, and limitations without clear structure.</w:t>
      </w:r>
    </w:p>
    <w:p>
      <w:pPr>
        <w:spacing w:after="120"/>
      </w:pPr>
      <w:r>
        <w:rPr>
          <w:rFonts w:ascii="Arial" w:cs="Arial" w:eastAsia="Arial" w:hAnsi="Arial"/>
          <w:b w:val="false"/>
          <w:bCs w:val="false"/>
          <w:color w:val="333333"/>
          <w:sz w:val="22"/>
          <w:szCs w:val="22"/>
        </w:rPr>
        <w:t xml:space="preserve">Recommended restructuring: (1) Regime characteristics, (2) In-sample structural break, (3) Frozen OOS validation, (4) Robustness, (5) Mechanisms and extensions, (6) Discussion of local optima and limitations.</w:t>
      </w:r>
    </w:p>
    <w:p>
      <w:pPr>
        <w:pStyle w:val="Heading2"/>
      </w:pPr>
      <w:r>
        <w:rPr>
          <w:rFonts w:ascii="Arial" w:cs="Arial" w:eastAsia="Arial" w:hAnsi="Arial"/>
        </w:rPr>
        <w:t xml:space="preserve">3.3 Excessive Hedging</w:t>
      </w:r>
    </w:p>
    <w:p>
      <w:pPr>
        <w:spacing w:after="120"/>
      </w:pPr>
      <w:r>
        <w:rPr>
          <w:rFonts w:ascii="Arial" w:cs="Arial" w:eastAsia="Arial" w:hAnsi="Arial"/>
          <w:b/>
          <w:bCs/>
          <w:color w:val="CC0000"/>
          <w:sz w:val="22"/>
          <w:szCs w:val="22"/>
        </w:rPr>
        <w:t xml:space="preserve">MAJOR CONCERN. </w:t>
      </w:r>
      <w:r>
        <w:rPr>
          <w:rFonts w:ascii="Arial" w:cs="Arial" w:eastAsia="Arial" w:hAnsi="Arial"/>
          <w:color w:val="333333"/>
          <w:sz w:val="22"/>
          <w:szCs w:val="22"/>
        </w:rPr>
        <w:t xml:space="preserve">The paper’s extreme transparency actively harms readability. “Exploratory” appears 8 times, “secondary” 6 times, “modest” 4 times. The OOS result’s status is repeated identically in the abstract, introduction, contributions, methodology, and results. Readers learn the OOS result is exploratory five times before reaching the actual analysis. The structural break finding—which is Bonferroni-significant and genuinely robust—should be stated with confidence. State causal scope and limitations once clearly, then reference them rather than repeating disclaimers.</w:t>
      </w:r>
    </w:p>
    <w:p>
      <w:pPr>
        <w:pStyle w:val="Heading2"/>
      </w:pPr>
      <w:r>
        <w:rPr>
          <w:rFonts w:ascii="Arial" w:cs="Arial" w:eastAsia="Arial" w:hAnsi="Arial"/>
        </w:rPr>
        <w:t xml:space="preserve">3.4 Primary vs. Secondary Hierarchy</w:t>
      </w:r>
    </w:p>
    <w:p>
      <w:pPr>
        <w:spacing w:after="120"/>
      </w:pPr>
      <w:r>
        <w:rPr>
          <w:rFonts w:ascii="Arial" w:cs="Arial" w:eastAsia="Arial" w:hAnsi="Arial"/>
          <w:b w:val="false"/>
          <w:bCs w:val="false"/>
          <w:color w:val="333333"/>
          <w:sz w:val="22"/>
          <w:szCs w:val="22"/>
        </w:rPr>
        <w:t xml:space="preserve">The primary finding (structural break, ~15% of narrative) is overshadowed by the secondary finding (OOS re-emergence, ~25%). The local optima discussion receives nearly as much space as the main result. The conclusion allocates roughly equal text to both findings despite vastly different statistical status. Text should be allocated proportionally: ~60% structural break, ~25% OOS validation, ~15% mechanisms/exploration.</w:t>
      </w:r>
    </w:p>
    <w:p>
      <w:pPr>
        <w:pStyle w:val="Heading2"/>
      </w:pPr>
      <w:r>
        <w:rPr>
          <w:rFonts w:ascii="Arial" w:cs="Arial" w:eastAsia="Arial" w:hAnsi="Arial"/>
        </w:rPr>
        <w:t xml:space="preserve">3.5 Specific Writing Issues</w:t>
      </w:r>
    </w:p>
    <w:p>
      <w:pPr>
        <w:pStyle w:val="ListParagraph"/>
        <w:numPr>
          <w:ilvl w:val="0"/>
          <w:numId w:val="2"/>
        </w:numPr>
        <w:spacing w:after="80"/>
      </w:pPr>
      <w:r>
        <w:rPr>
          <w:rFonts w:ascii="Arial" w:cs="Arial" w:eastAsia="Arial" w:hAnsi="Arial"/>
          <w:color w:val="333333"/>
          <w:sz w:val="22"/>
          <w:szCs w:val="22"/>
        </w:rPr>
        <w:t xml:space="preserve">Nested parentheticals in the HMM model selection footnote (lines 237–246) are impenetrable—extract to separate paragraph.</w:t>
      </w:r>
    </w:p>
    <w:p>
      <w:pPr>
        <w:pStyle w:val="ListParagraph"/>
        <w:numPr>
          <w:ilvl w:val="0"/>
          <w:numId w:val="2"/>
        </w:numPr>
        <w:spacing w:after="80"/>
      </w:pPr>
      <w:r>
        <w:rPr>
          <w:rFonts w:ascii="Arial" w:cs="Arial" w:eastAsia="Arial" w:hAnsi="Arial"/>
          <w:color w:val="333333"/>
          <w:sz w:val="22"/>
          <w:szCs w:val="22"/>
        </w:rPr>
        <w:t xml:space="preserve">Forward references interrupt flow (e.g., “see Section X for causal scope” in the Introduction before Section X exists).</w:t>
      </w:r>
    </w:p>
    <w:p>
      <w:pPr>
        <w:pStyle w:val="ListParagraph"/>
        <w:numPr>
          <w:ilvl w:val="0"/>
          <w:numId w:val="2"/>
        </w:numPr>
        <w:spacing w:after="80"/>
      </w:pPr>
      <w:r>
        <w:rPr>
          <w:rFonts w:ascii="Arial" w:cs="Arial" w:eastAsia="Arial" w:hAnsi="Arial"/>
          <w:color w:val="333333"/>
          <w:sz w:val="22"/>
          <w:szCs w:val="22"/>
        </w:rPr>
        <w:t xml:space="preserve">Mixed metaphors: “resolve the timing” should be “characterize the timing.”</w:t>
      </w:r>
    </w:p>
    <w:p>
      <w:pPr>
        <w:pStyle w:val="ListParagraph"/>
        <w:numPr>
          <w:ilvl w:val="0"/>
          <w:numId w:val="2"/>
        </w:numPr>
        <w:spacing w:after="80"/>
      </w:pPr>
      <w:r>
        <w:rPr>
          <w:rFonts w:ascii="Arial" w:cs="Arial" w:eastAsia="Arial" w:hAnsi="Arial"/>
          <w:color w:val="333333"/>
          <w:sz w:val="22"/>
          <w:szCs w:val="22"/>
        </w:rPr>
        <w:t xml:space="preserve">“Suggestive evidence” paired with p=0.014 is contradictory at conventional thresholds.</w:t>
      </w:r>
    </w:p>
    <w:p>
      <w:pPr>
        <w:pStyle w:val="ListParagraph"/>
        <w:numPr>
          <w:ilvl w:val="0"/>
          <w:numId w:val="2"/>
        </w:numPr>
        <w:spacing w:after="80"/>
      </w:pPr>
      <w:r>
        <w:rPr>
          <w:rFonts w:ascii="Arial" w:cs="Arial" w:eastAsia="Arial" w:hAnsi="Arial"/>
          <w:color w:val="333333"/>
          <w:sz w:val="22"/>
          <w:szCs w:val="22"/>
        </w:rPr>
        <w:t xml:space="preserve">Table captions lack self-contained context; readers must read surrounding text to interpret tables.</w:t>
      </w:r>
    </w:p>
    <w:p>
      <w:pPr>
        <w:pStyle w:val="ListParagraph"/>
        <w:numPr>
          <w:ilvl w:val="0"/>
          <w:numId w:val="2"/>
        </w:numPr>
        <w:spacing w:after="80"/>
      </w:pPr>
      <w:r>
        <w:rPr>
          <w:rFonts w:ascii="Arial" w:cs="Arial" w:eastAsia="Arial" w:hAnsi="Arial"/>
          <w:color w:val="333333"/>
          <w:sz w:val="22"/>
          <w:szCs w:val="22"/>
        </w:rPr>
        <w:t xml:space="preserve">Important material (local optima taxonomy, FF25 evidence) is buried in appendices and should be promoted to main text.</w:t>
      </w:r>
    </w:p>
    <w:p>
      <w:r>
        <w:br w:type="page"/>
      </w:r>
    </w:p>
    <w:p>
      <w:pPr>
        <w:pStyle w:val="Heading1"/>
      </w:pPr>
      <w:r>
        <w:rPr>
          <w:rFonts w:ascii="Arial" w:cs="Arial" w:eastAsia="Arial" w:hAnsi="Arial"/>
        </w:rPr>
        <w:t xml:space="preserve">Panel 4: Robustness &amp; Reproducibility</w:t>
      </w:r>
    </w:p>
    <w:p>
      <w:pPr>
        <w:pStyle w:val="Heading2"/>
      </w:pPr>
      <w:r>
        <w:rPr>
          <w:rFonts w:ascii="Arial" w:cs="Arial" w:eastAsia="Arial" w:hAnsi="Arial"/>
        </w:rPr>
        <w:t xml:space="preserve">4.1 Local Optima Problem</w:t>
      </w:r>
    </w:p>
    <w:p>
      <w:pPr>
        <w:spacing w:after="120"/>
      </w:pPr>
      <w:r>
        <w:rPr>
          <w:rFonts w:ascii="Arial" w:cs="Arial" w:eastAsia="Arial" w:hAnsi="Arial"/>
          <w:b/>
          <w:bCs/>
          <w:color w:val="CC0000"/>
          <w:sz w:val="22"/>
          <w:szCs w:val="22"/>
        </w:rPr>
        <w:t xml:space="preserve">MAJOR CONCERN. </w:t>
      </w:r>
      <w:r>
        <w:rPr>
          <w:rFonts w:ascii="Arial" w:cs="Arial" w:eastAsia="Arial" w:hAnsi="Arial"/>
          <w:color w:val="333333"/>
          <w:sz w:val="22"/>
          <w:szCs w:val="22"/>
        </w:rPr>
        <w:t xml:space="preserve">The ≥50% GFC detection criterion is post-hoc. BIC-optimal (Cluster 1, BIC=75,587) assigns 0% of 2008 to Crisis; economically valid fits (Clusters 5–7) sacrifice ΔBIC = 218–550 to achieve crisis detection. This is defensible as pragmatic model selection but should be framed as a sensitivity analysis, not a selection criterion. The paper should report full results under both BIC-optimal (Cluster 1) and economically valid (Cluster 5) fits with equal prominence.</w:t>
      </w:r>
    </w:p>
    <w:p>
      <w:pPr>
        <w:pStyle w:val="Heading2"/>
      </w:pPr>
      <w:r>
        <w:rPr>
          <w:rFonts w:ascii="Arial" w:cs="Arial" w:eastAsia="Arial" w:hAnsi="Arial"/>
        </w:rPr>
        <w:t xml:space="preserve">4.2 Regime Expansion</w:t>
      </w:r>
    </w:p>
    <w:p>
      <w:pPr>
        <w:spacing w:after="120"/>
      </w:pPr>
      <w:r>
        <w:rPr>
          <w:rFonts w:ascii="Arial" w:cs="Arial" w:eastAsia="Arial" w:hAnsi="Arial"/>
          <w:b/>
          <w:bCs/>
          <w:color w:val="CC0000"/>
          <w:sz w:val="22"/>
          <w:szCs w:val="22"/>
        </w:rPr>
        <w:t xml:space="preserve">MAJOR CONCERN. </w:t>
      </w:r>
      <w:r>
        <w:rPr>
          <w:rFonts w:ascii="Arial" w:cs="Arial" w:eastAsia="Arial" w:hAnsi="Arial"/>
          <w:color w:val="333333"/>
          <w:sz w:val="22"/>
          <w:szCs w:val="22"/>
        </w:rPr>
        <w:t xml:space="preserve">The Elevated regime expands from 13.7% (training) to 30.7% (test), driving the entire OOS signal. Bootstrap reweighting to training-period prevalence yields median p = 0.153 (only 9.9% of subsamples significant). The paper presents raw p = 0.043 first and notes prevalence dependence later—this should be inverted. The more honest framing: “At training-period prevalence, the OOS result is null (p = 0.153). The raw significance (p = 0.043) is driven by a regime expansion that the paper does not explain.”</w:t>
      </w:r>
    </w:p>
    <w:p>
      <w:pPr>
        <w:spacing w:after="120"/>
      </w:pPr>
      <w:r>
        <w:rPr>
          <w:rFonts w:ascii="Arial" w:cs="Arial" w:eastAsia="Arial" w:hAnsi="Arial"/>
          <w:b w:val="false"/>
          <w:bCs w:val="false"/>
          <w:color w:val="333333"/>
          <w:sz w:val="22"/>
          <w:szCs w:val="22"/>
        </w:rPr>
        <w:t xml:space="preserve">Additionally, the paper should test whether the post-GFC Elevated regime has different distributional properties than the training-period Elevated (e.g., Hotelling T² test on means/covariances). If they differ significantly, the regime expansion may indicate a structural change rather than classifier consistency.</w:t>
      </w:r>
    </w:p>
    <w:p>
      <w:pPr>
        <w:pStyle w:val="Heading2"/>
      </w:pPr>
      <w:r>
        <w:rPr>
          <w:rFonts w:ascii="Arial" w:cs="Arial" w:eastAsia="Arial" w:hAnsi="Arial"/>
        </w:rPr>
        <w:t xml:space="preserve">4.3 Scale Convention</w:t>
      </w:r>
    </w:p>
    <w:p>
      <w:pPr>
        <w:spacing w:after="120"/>
      </w:pPr>
      <w:r>
        <w:rPr>
          <w:rFonts w:ascii="Arial" w:cs="Arial" w:eastAsia="Arial" w:hAnsi="Arial"/>
          <w:b w:val="false"/>
          <w:bCs w:val="false"/>
          <w:color w:val="333333"/>
          <w:sz w:val="22"/>
          <w:szCs w:val="22"/>
        </w:rPr>
        <w:t xml:space="preserve">Percentage vs. decimal units yield different regime assignments (86.3% agreement, n=953 vs. n=836). Both show F-p &lt; 0.05 but at different magnitudes. Permutation p ranges from 0.022 (percentage-unit) to 0.063 (decimal-unit). The paper should designate one convention as primary throughout and report the other as a sensitivity check only. Currently, different analyses use different conventions, creating an impression of selective reporting.</w:t>
      </w:r>
    </w:p>
    <w:p>
      <w:pPr>
        <w:pStyle w:val="Heading2"/>
      </w:pPr>
      <w:r>
        <w:rPr>
          <w:rFonts w:ascii="Arial" w:cs="Arial" w:eastAsia="Arial" w:hAnsi="Arial"/>
        </w:rPr>
        <w:t xml:space="preserve">4.4 Event-Based Validation</w:t>
      </w:r>
    </w:p>
    <w:p>
      <w:pPr>
        <w:spacing w:after="120"/>
      </w:pPr>
      <w:r>
        <w:rPr>
          <w:rFonts w:ascii="Arial" w:cs="Arial" w:eastAsia="Arial" w:hAnsi="Arial"/>
          <w:b w:val="false"/>
          <w:bCs w:val="false"/>
          <w:color w:val="333333"/>
          <w:sz w:val="22"/>
          <w:szCs w:val="22"/>
        </w:rPr>
        <w:t xml:space="preserve">Only 2 of 6 crisis events confirm the expected HML→SMB pattern. Two events (2018 Vol Shock, 2022 Rate Hikes) show reversed dynamics. Binomial p ≈ 0.11. The reversals are unexplained. While the paper correctly notes this is low-power, the 2/6 success rate should temper enthusiasm for the deleveraging narrative. If the mechanism is genuine, the 2018 and 2022 reversals need explanation.</w:t>
      </w:r>
    </w:p>
    <w:p>
      <w:pPr>
        <w:pStyle w:val="Heading2"/>
      </w:pPr>
      <w:r>
        <w:rPr>
          <w:rFonts w:ascii="Arial" w:cs="Arial" w:eastAsia="Arial" w:hAnsi="Arial"/>
        </w:rPr>
        <w:t xml:space="preserve">4.5 Pair Selection Bias</w:t>
      </w:r>
    </w:p>
    <w:p>
      <w:pPr>
        <w:spacing w:after="120"/>
      </w:pPr>
      <w:r>
        <w:rPr>
          <w:rFonts w:ascii="Arial" w:cs="Arial" w:eastAsia="Arial" w:hAnsi="Arial"/>
          <w:b w:val="false"/>
          <w:bCs w:val="false"/>
          <w:color w:val="333333"/>
          <w:sz w:val="22"/>
          <w:szCs w:val="22"/>
        </w:rPr>
        <w:t xml:space="preserve">HML→SMB was identified from screening all 30 directed factor pairs in-sample. While the economic prior (institutional crowding) provides some justification, the FDR analysis shows no pairs survive FDR correction on OOS data, and the rank-based max-statistic p = 2/30 = 0.067. MOM→SMB is actually the top-ranked pair by F-statistic. The paper’s focus on HML→SMB rests on the economic prior, not empirical strength, which is transparent but limits confirmatory power.</w:t>
      </w:r>
    </w:p>
    <w:p>
      <w:pPr>
        <w:pStyle w:val="Heading2"/>
      </w:pPr>
      <w:r>
        <w:rPr>
          <w:rFonts w:ascii="Arial" w:cs="Arial" w:eastAsia="Arial" w:hAnsi="Arial"/>
        </w:rPr>
        <w:t xml:space="preserve">4.6 Missing Robustness Checks</w:t>
      </w:r>
    </w:p>
    <w:p>
      <w:pPr>
        <w:pStyle w:val="ListParagraph"/>
        <w:numPr>
          <w:ilvl w:val="0"/>
          <w:numId w:val="3"/>
        </w:numPr>
        <w:spacing w:after="80"/>
      </w:pPr>
      <w:r>
        <w:rPr>
          <w:rFonts w:ascii="Arial" w:cs="Arial" w:eastAsia="Arial" w:hAnsi="Arial"/>
          <w:color w:val="333333"/>
          <w:sz w:val="22"/>
          <w:szCs w:val="22"/>
        </w:rPr>
        <w:t xml:space="preserve">Trivariate Granger test conditioning on MKT-RF (addresses common-driver concern).</w:t>
      </w:r>
    </w:p>
    <w:p>
      <w:pPr>
        <w:pStyle w:val="ListParagraph"/>
        <w:numPr>
          <w:ilvl w:val="0"/>
          <w:numId w:val="3"/>
        </w:numPr>
        <w:spacing w:after="80"/>
      </w:pPr>
      <w:r>
        <w:rPr>
          <w:rFonts w:ascii="Arial" w:cs="Arial" w:eastAsia="Arial" w:hAnsi="Arial"/>
          <w:color w:val="333333"/>
          <w:sz w:val="22"/>
          <w:szCs w:val="22"/>
        </w:rPr>
        <w:t xml:space="preserve">Comparison of training vs. test Elevated regime distributional properties.</w:t>
      </w:r>
    </w:p>
    <w:p>
      <w:pPr>
        <w:pStyle w:val="ListParagraph"/>
        <w:numPr>
          <w:ilvl w:val="0"/>
          <w:numId w:val="3"/>
        </w:numPr>
        <w:spacing w:after="80"/>
      </w:pPr>
      <w:r>
        <w:rPr>
          <w:rFonts w:ascii="Arial" w:cs="Arial" w:eastAsia="Arial" w:hAnsi="Arial"/>
          <w:color w:val="333333"/>
          <w:sz w:val="22"/>
          <w:szCs w:val="22"/>
        </w:rPr>
        <w:t xml:space="preserve">International replication (UK, Japan, or global factor data).</w:t>
      </w:r>
    </w:p>
    <w:p>
      <w:pPr>
        <w:pStyle w:val="ListParagraph"/>
        <w:numPr>
          <w:ilvl w:val="0"/>
          <w:numId w:val="3"/>
        </w:numPr>
        <w:spacing w:after="80"/>
      </w:pPr>
      <w:r>
        <w:rPr>
          <w:rFonts w:ascii="Arial" w:cs="Arial" w:eastAsia="Arial" w:hAnsi="Arial"/>
          <w:color w:val="333333"/>
          <w:sz w:val="22"/>
          <w:szCs w:val="22"/>
        </w:rPr>
        <w:t xml:space="preserve">Transfer entropy robustness across kNN parameter choices (k=3,4,5,6,7).</w:t>
      </w:r>
    </w:p>
    <w:p>
      <w:pPr>
        <w:pStyle w:val="ListParagraph"/>
        <w:numPr>
          <w:ilvl w:val="0"/>
          <w:numId w:val="3"/>
        </w:numPr>
        <w:spacing w:after="80"/>
      </w:pPr>
      <w:r>
        <w:rPr>
          <w:rFonts w:ascii="Arial" w:cs="Arial" w:eastAsia="Arial" w:hAnsi="Arial"/>
          <w:color w:val="333333"/>
          <w:sz w:val="22"/>
          <w:szCs w:val="22"/>
        </w:rPr>
        <w:t xml:space="preserve">OOS p-value distribution across all 50 seeds (not just “7/7 clusters p&lt;0.05”).</w:t>
      </w:r>
    </w:p>
    <w:p>
      <w:pPr>
        <w:pStyle w:val="ListParagraph"/>
        <w:numPr>
          <w:ilvl w:val="0"/>
          <w:numId w:val="3"/>
        </w:numPr>
        <w:spacing w:after="80"/>
      </w:pPr>
      <w:r>
        <w:rPr>
          <w:rFonts w:ascii="Arial" w:cs="Arial" w:eastAsia="Arial" w:hAnsi="Arial"/>
          <w:color w:val="333333"/>
          <w:sz w:val="22"/>
          <w:szCs w:val="22"/>
        </w:rPr>
        <w:t xml:space="preserve">Bai-Perron sequential break test for the multi-break narrative.</w:t>
      </w:r>
    </w:p>
    <w:p>
      <w:pPr>
        <w:pStyle w:val="Heading2"/>
      </w:pPr>
      <w:r>
        <w:rPr>
          <w:rFonts w:ascii="Arial" w:cs="Arial" w:eastAsia="Arial" w:hAnsi="Arial"/>
        </w:rPr>
        <w:t xml:space="preserve">4.7 Reproducibility</w:t>
      </w:r>
    </w:p>
    <w:p>
      <w:pPr>
        <w:spacing w:after="120"/>
      </w:pPr>
      <w:r>
        <w:rPr>
          <w:rFonts w:ascii="Arial" w:cs="Arial" w:eastAsia="Arial" w:hAnsi="Arial"/>
          <w:b w:val="false"/>
          <w:bCs w:val="false"/>
          <w:color w:val="333333"/>
          <w:sz w:val="22"/>
          <w:szCs w:val="22"/>
        </w:rPr>
        <w:t xml:space="preserve">Fixed seeds are documented, which is excellent. Code availability is deferred to “upon acceptance,” which is standard but limits pre-review verification. The 50-seed multistart with documented local optima taxonomy is a transparency strength. The main reproducibility concern is that different researchers using different seeds will obtain different local optima with materially different Crisis-regime assignments, though the paper’s detailed documentation mitigates this.</w:t>
      </w:r>
    </w:p>
    <w:p>
      <w:r>
        <w:br w:type="page"/>
      </w:r>
    </w:p>
    <w:p>
      <w:pPr>
        <w:pStyle w:val="Heading1"/>
      </w:pPr>
      <w:r>
        <w:rPr>
          <w:rFonts w:ascii="Arial" w:cs="Arial" w:eastAsia="Arial" w:hAnsi="Arial"/>
        </w:rPr>
        <w:t xml:space="preserve">Revision Priorities</w:t>
      </w:r>
    </w:p>
    <w:p>
      <w:pPr>
        <w:pStyle w:val="Heading2"/>
      </w:pPr>
      <w:r>
        <w:rPr>
          <w:rFonts w:ascii="Arial" w:cs="Arial" w:eastAsia="Arial" w:hAnsi="Arial"/>
        </w:rPr>
        <w:t xml:space="preserve">Tier 1: Must Address for Acceptance</w:t>
      </w:r>
    </w:p>
    <w:p>
      <w:pPr>
        <w:pStyle w:val="ListParagraph"/>
        <w:numPr>
          <w:ilvl w:val="0"/>
          <w:numId w:val="4"/>
        </w:numPr>
        <w:spacing w:after="80"/>
      </w:pPr>
      <w:r>
        <w:rPr>
          <w:rFonts w:ascii="Arial" w:cs="Arial" w:eastAsia="Arial" w:hAnsi="Arial"/>
          <w:b/>
          <w:bCs/>
          <w:sz w:val="22"/>
          <w:szCs w:val="22"/>
        </w:rPr>
        <w:t xml:space="preserve">Clarify K=3 selection. </w:t>
      </w:r>
      <w:r>
        <w:rPr>
          <w:rFonts w:ascii="Arial" w:cs="Arial" w:eastAsia="Arial" w:hAnsi="Arial"/>
          <w:color w:val="333333"/>
          <w:sz w:val="22"/>
          <w:szCs w:val="22"/>
        </w:rPr>
        <w:t xml:space="preserve">State explicitly whether K=3 was selected on 1990–2012 training data or the full 1990–2024 sample. If full-sample, re-estimate K on training data only and update all frozen OOS results.</w:t>
      </w:r>
    </w:p>
    <w:p>
      <w:pPr>
        <w:pStyle w:val="ListParagraph"/>
        <w:numPr>
          <w:ilvl w:val="0"/>
          <w:numId w:val="4"/>
        </w:numPr>
        <w:spacing w:after="80"/>
      </w:pPr>
      <w:r>
        <w:rPr>
          <w:rFonts w:ascii="Arial" w:cs="Arial" w:eastAsia="Arial" w:hAnsi="Arial"/>
          <w:b/>
          <w:bCs/>
          <w:sz w:val="22"/>
          <w:szCs w:val="22"/>
        </w:rPr>
        <w:t xml:space="preserve">Lead with prevalence-matched p-value. </w:t>
      </w:r>
      <w:r>
        <w:rPr>
          <w:rFonts w:ascii="Arial" w:cs="Arial" w:eastAsia="Arial" w:hAnsi="Arial"/>
          <w:color w:val="333333"/>
          <w:sz w:val="22"/>
          <w:szCs w:val="22"/>
        </w:rPr>
        <w:t xml:space="preserve">Present bootstrap p = 0.153 as the primary OOS statistic. Reframe raw p = 0.043 as driven by regime expansion (13.7%→30.7%). Downgrade OOS re-emergence from co-primary to exploratory evidence.</w:t>
      </w:r>
    </w:p>
    <w:p>
      <w:pPr>
        <w:pStyle w:val="ListParagraph"/>
        <w:numPr>
          <w:ilvl w:val="0"/>
          <w:numId w:val="4"/>
        </w:numPr>
        <w:spacing w:after="80"/>
      </w:pPr>
      <w:r>
        <w:rPr>
          <w:rFonts w:ascii="Arial" w:cs="Arial" w:eastAsia="Arial" w:hAnsi="Arial"/>
          <w:b/>
          <w:bCs/>
          <w:sz w:val="22"/>
          <w:szCs w:val="22"/>
        </w:rPr>
        <w:t xml:space="preserve">Fix multiple testing framework. </w:t>
      </w:r>
      <w:r>
        <w:rPr>
          <w:rFonts w:ascii="Arial" w:cs="Arial" w:eastAsia="Arial" w:hAnsi="Arial"/>
          <w:color w:val="333333"/>
          <w:sz w:val="22"/>
          <w:szCs w:val="22"/>
        </w:rPr>
        <w:t xml:space="preserve">Acknowledge that 30-pair Bonferroni is the appropriate OOS correction given in-sample pair screening. Present the 3-regime framework as a sensitivity analysis, not the primary threshold.</w:t>
      </w:r>
    </w:p>
    <w:p>
      <w:pPr>
        <w:pStyle w:val="ListParagraph"/>
        <w:numPr>
          <w:ilvl w:val="0"/>
          <w:numId w:val="4"/>
        </w:numPr>
        <w:spacing w:after="80"/>
      </w:pPr>
      <w:r>
        <w:rPr>
          <w:rFonts w:ascii="Arial" w:cs="Arial" w:eastAsia="Arial" w:hAnsi="Arial"/>
          <w:b/>
          <w:bCs/>
          <w:sz w:val="22"/>
          <w:szCs w:val="22"/>
        </w:rPr>
        <w:t xml:space="preserve">Designate a single scale convention. </w:t>
      </w:r>
      <w:r>
        <w:rPr>
          <w:rFonts w:ascii="Arial" w:cs="Arial" w:eastAsia="Arial" w:hAnsi="Arial"/>
          <w:color w:val="333333"/>
          <w:sz w:val="22"/>
          <w:szCs w:val="22"/>
        </w:rPr>
        <w:t xml:space="preserve">Choose either percentage-unit or decimal-unit as primary for all analyses. Report the other as a robustness check only.</w:t>
      </w:r>
    </w:p>
    <w:p>
      <w:pPr>
        <w:pStyle w:val="Heading2"/>
      </w:pPr>
      <w:r>
        <w:rPr>
          <w:rFonts w:ascii="Arial" w:cs="Arial" w:eastAsia="Arial" w:hAnsi="Arial"/>
        </w:rPr>
        <w:t xml:space="preserve">Tier 2: Strongly Recommended</w:t>
      </w:r>
    </w:p>
    <w:p>
      <w:pPr>
        <w:pStyle w:val="ListParagraph"/>
        <w:numPr>
          <w:ilvl w:val="0"/>
          <w:numId w:val="5"/>
        </w:numPr>
        <w:spacing w:after="80"/>
      </w:pPr>
      <w:r>
        <w:rPr>
          <w:rFonts w:ascii="Arial" w:cs="Arial" w:eastAsia="Arial" w:hAnsi="Arial"/>
          <w:color w:val="333333"/>
          <w:sz w:val="22"/>
          <w:szCs w:val="22"/>
        </w:rPr>
        <w:t xml:space="preserve">Reorganize paper: move frozen OOS immediately after regime characteristics; consolidate mechanisms section; reduce Methods to ~100 lines.</w:t>
      </w:r>
    </w:p>
    <w:p>
      <w:pPr>
        <w:pStyle w:val="ListParagraph"/>
        <w:numPr>
          <w:ilvl w:val="0"/>
          <w:numId w:val="5"/>
        </w:numPr>
        <w:spacing w:after="80"/>
      </w:pPr>
      <w:r>
        <w:rPr>
          <w:rFonts w:ascii="Arial" w:cs="Arial" w:eastAsia="Arial" w:hAnsi="Arial"/>
          <w:color w:val="333333"/>
          <w:sz w:val="22"/>
          <w:szCs w:val="22"/>
        </w:rPr>
        <w:t xml:space="preserve">Reduce excessive hedging: state causal scope once, affirm primary finding with confidence, remove repeated “exploratory/secondary” qualifiers.</w:t>
      </w:r>
    </w:p>
    <w:p>
      <w:pPr>
        <w:pStyle w:val="ListParagraph"/>
        <w:numPr>
          <w:ilvl w:val="0"/>
          <w:numId w:val="5"/>
        </w:numPr>
        <w:spacing w:after="80"/>
      </w:pPr>
      <w:r>
        <w:rPr>
          <w:rFonts w:ascii="Arial" w:cs="Arial" w:eastAsia="Arial" w:hAnsi="Arial"/>
          <w:color w:val="333333"/>
          <w:sz w:val="22"/>
          <w:szCs w:val="22"/>
        </w:rPr>
        <w:t xml:space="preserve">Add trivariate Granger test conditioning on MKT-RF to address common-driver confounding.</w:t>
      </w:r>
    </w:p>
    <w:p>
      <w:pPr>
        <w:pStyle w:val="ListParagraph"/>
        <w:numPr>
          <w:ilvl w:val="0"/>
          <w:numId w:val="5"/>
        </w:numPr>
        <w:spacing w:after="80"/>
      </w:pPr>
      <w:r>
        <w:rPr>
          <w:rFonts w:ascii="Arial" w:cs="Arial" w:eastAsia="Arial" w:hAnsi="Arial"/>
          <w:color w:val="333333"/>
          <w:sz w:val="22"/>
          <w:szCs w:val="22"/>
        </w:rPr>
        <w:t xml:space="preserve">Report HAC p-values under three bandwidth specifications in main text (Andrews, Newey-West, rule-of-thumb).</w:t>
      </w:r>
    </w:p>
    <w:p>
      <w:pPr>
        <w:pStyle w:val="ListParagraph"/>
        <w:numPr>
          <w:ilvl w:val="0"/>
          <w:numId w:val="5"/>
        </w:numPr>
        <w:spacing w:after="80"/>
      </w:pPr>
      <w:r>
        <w:rPr>
          <w:rFonts w:ascii="Arial" w:cs="Arial" w:eastAsia="Arial" w:hAnsi="Arial"/>
          <w:color w:val="333333"/>
          <w:sz w:val="22"/>
          <w:szCs w:val="22"/>
        </w:rPr>
        <w:t xml:space="preserve">Explain 2018 and 2022 event reversals or de-emphasize event-based validation.</w:t>
      </w:r>
    </w:p>
    <w:p>
      <w:pPr>
        <w:pStyle w:val="ListParagraph"/>
        <w:numPr>
          <w:ilvl w:val="0"/>
          <w:numId w:val="5"/>
        </w:numPr>
        <w:spacing w:after="80"/>
      </w:pPr>
      <w:r>
        <w:rPr>
          <w:rFonts w:ascii="Arial" w:cs="Arial" w:eastAsia="Arial" w:hAnsi="Arial"/>
          <w:color w:val="333333"/>
          <w:sz w:val="22"/>
          <w:szCs w:val="22"/>
        </w:rPr>
        <w:t xml:space="preserve">Promote local optima taxonomy and FF25 overlap from appendix to main text.</w:t>
      </w:r>
    </w:p>
    <w:p>
      <w:pPr>
        <w:pStyle w:val="Heading2"/>
      </w:pPr>
      <w:r>
        <w:rPr>
          <w:rFonts w:ascii="Arial" w:cs="Arial" w:eastAsia="Arial" w:hAnsi="Arial"/>
        </w:rPr>
        <w:t xml:space="preserve">Tier 3: Value-Add Improvements</w:t>
      </w:r>
    </w:p>
    <w:p>
      <w:pPr>
        <w:pStyle w:val="ListParagraph"/>
        <w:numPr>
          <w:ilvl w:val="0"/>
          <w:numId w:val="6"/>
        </w:numPr>
        <w:spacing w:after="80"/>
      </w:pPr>
      <w:r>
        <w:rPr>
          <w:rFonts w:ascii="Arial" w:cs="Arial" w:eastAsia="Arial" w:hAnsi="Arial"/>
          <w:color w:val="333333"/>
          <w:sz w:val="22"/>
          <w:szCs w:val="22"/>
        </w:rPr>
        <w:t xml:space="preserve">International replication on UK, Japan, or global factor data.</w:t>
      </w:r>
    </w:p>
    <w:p>
      <w:pPr>
        <w:pStyle w:val="ListParagraph"/>
        <w:numPr>
          <w:ilvl w:val="0"/>
          <w:numId w:val="6"/>
        </w:numPr>
        <w:spacing w:after="80"/>
      </w:pPr>
      <w:r>
        <w:rPr>
          <w:rFonts w:ascii="Arial" w:cs="Arial" w:eastAsia="Arial" w:hAnsi="Arial"/>
          <w:color w:val="333333"/>
          <w:sz w:val="22"/>
          <w:szCs w:val="22"/>
        </w:rPr>
        <w:t xml:space="preserve">OOS p-value distribution across all 50 seeds.</w:t>
      </w:r>
    </w:p>
    <w:p>
      <w:pPr>
        <w:pStyle w:val="ListParagraph"/>
        <w:numPr>
          <w:ilvl w:val="0"/>
          <w:numId w:val="6"/>
        </w:numPr>
        <w:spacing w:after="80"/>
      </w:pPr>
      <w:r>
        <w:rPr>
          <w:rFonts w:ascii="Arial" w:cs="Arial" w:eastAsia="Arial" w:hAnsi="Arial"/>
          <w:color w:val="333333"/>
          <w:sz w:val="22"/>
          <w:szCs w:val="22"/>
        </w:rPr>
        <w:t xml:space="preserve">Bai-Perron sequential break test for multi-break narrative.</w:t>
      </w:r>
    </w:p>
    <w:p>
      <w:pPr>
        <w:pStyle w:val="ListParagraph"/>
        <w:numPr>
          <w:ilvl w:val="0"/>
          <w:numId w:val="6"/>
        </w:numPr>
        <w:spacing w:after="80"/>
      </w:pPr>
      <w:r>
        <w:rPr>
          <w:rFonts w:ascii="Arial" w:cs="Arial" w:eastAsia="Arial" w:hAnsi="Arial"/>
          <w:color w:val="333333"/>
          <w:sz w:val="22"/>
          <w:szCs w:val="22"/>
        </w:rPr>
        <w:t xml:space="preserve">Compare training vs. test Elevated regime distributional properties (Hotelling T²).</w:t>
      </w:r>
    </w:p>
    <w:p>
      <w:pPr>
        <w:pStyle w:val="ListParagraph"/>
        <w:numPr>
          <w:ilvl w:val="0"/>
          <w:numId w:val="6"/>
        </w:numPr>
        <w:spacing w:after="80"/>
      </w:pPr>
      <w:r>
        <w:rPr>
          <w:rFonts w:ascii="Arial" w:cs="Arial" w:eastAsia="Arial" w:hAnsi="Arial"/>
          <w:color w:val="333333"/>
          <w:sz w:val="22"/>
          <w:szCs w:val="22"/>
        </w:rPr>
        <w:t xml:space="preserve">Transfer entropy robustness across kNN parameters.</w:t>
      </w:r>
    </w:p>
    <w:p>
      <w:pPr>
        <w:pStyle w:val="ListParagraph"/>
        <w:numPr>
          <w:ilvl w:val="0"/>
          <w:numId w:val="6"/>
        </w:numPr>
        <w:spacing w:after="80"/>
      </w:pPr>
      <w:r>
        <w:rPr>
          <w:rFonts w:ascii="Arial" w:cs="Arial" w:eastAsia="Arial" w:hAnsi="Arial"/>
          <w:color w:val="333333"/>
          <w:sz w:val="22"/>
          <w:szCs w:val="22"/>
        </w:rPr>
        <w:t xml:space="preserve">Either develop ML section (out-of-sample prediction + trading) or move to appendix.</w:t>
      </w:r>
    </w:p>
    <w:p>
      <w:r>
        <w:br w:type="page"/>
      </w:r>
    </w:p>
    <w:p>
      <w:pPr>
        <w:pStyle w:val="Heading1"/>
      </w:pPr>
      <w:r>
        <w:rPr>
          <w:rFonts w:ascii="Arial" w:cs="Arial" w:eastAsia="Arial" w:hAnsi="Arial"/>
        </w:rPr>
        <w:t xml:space="preserve">Key Strengths</w:t>
      </w:r>
    </w:p>
    <w:p>
      <w:pPr>
        <w:pStyle w:val="ListParagraph"/>
        <w:numPr>
          <w:ilvl w:val="0"/>
          <w:numId w:val="7"/>
        </w:numPr>
        <w:spacing w:after="80"/>
      </w:pPr>
      <w:r>
        <w:rPr>
          <w:rFonts w:ascii="Arial" w:cs="Arial" w:eastAsia="Arial" w:hAnsi="Arial"/>
          <w:color w:val="333333"/>
          <w:sz w:val="22"/>
          <w:szCs w:val="22"/>
        </w:rPr>
        <w:t xml:space="preserve">Frozen OOS design is genuinely rigorous and eliminates regime-identification circularity.</w:t>
      </w:r>
    </w:p>
    <w:p>
      <w:pPr>
        <w:pStyle w:val="ListParagraph"/>
        <w:numPr>
          <w:ilvl w:val="0"/>
          <w:numId w:val="7"/>
        </w:numPr>
        <w:spacing w:after="80"/>
      </w:pPr>
      <w:r>
        <w:rPr>
          <w:rFonts w:ascii="Arial" w:cs="Arial" w:eastAsia="Arial" w:hAnsi="Arial"/>
          <w:color w:val="333333"/>
          <w:sz w:val="22"/>
          <w:szCs w:val="22"/>
        </w:rPr>
        <w:t xml:space="preserve">The structural break finding (June 1998, January 2008) is statistically robust and economically interpretable.</w:t>
      </w:r>
    </w:p>
    <w:p>
      <w:pPr>
        <w:pStyle w:val="ListParagraph"/>
        <w:numPr>
          <w:ilvl w:val="0"/>
          <w:numId w:val="7"/>
        </w:numPr>
        <w:spacing w:after="80"/>
      </w:pPr>
      <w:r>
        <w:rPr>
          <w:rFonts w:ascii="Arial" w:cs="Arial" w:eastAsia="Arial" w:hAnsi="Arial"/>
          <w:color w:val="333333"/>
          <w:sz w:val="22"/>
          <w:szCs w:val="22"/>
        </w:rPr>
        <w:t xml:space="preserve">Exceptional transparency: 50-seed multistart with documented local optima, multiple correction frameworks, negative trading results all disclosed.</w:t>
      </w:r>
    </w:p>
    <w:p>
      <w:pPr>
        <w:pStyle w:val="ListParagraph"/>
        <w:numPr>
          <w:ilvl w:val="0"/>
          <w:numId w:val="7"/>
        </w:numPr>
        <w:spacing w:after="80"/>
      </w:pPr>
      <w:r>
        <w:rPr>
          <w:rFonts w:ascii="Arial" w:cs="Arial" w:eastAsia="Arial" w:hAnsi="Arial"/>
          <w:color w:val="333333"/>
          <w:sz w:val="22"/>
          <w:szCs w:val="22"/>
        </w:rPr>
        <w:t xml:space="preserve">Student-t HMM with heavy-tail accommodation is well-motivated for financial data.</w:t>
      </w:r>
    </w:p>
    <w:p>
      <w:pPr>
        <w:pStyle w:val="ListParagraph"/>
        <w:numPr>
          <w:ilvl w:val="0"/>
          <w:numId w:val="7"/>
        </w:numPr>
        <w:spacing w:after="80"/>
      </w:pPr>
      <w:r>
        <w:rPr>
          <w:rFonts w:ascii="Arial" w:cs="Arial" w:eastAsia="Arial" w:hAnsi="Arial"/>
          <w:color w:val="333333"/>
          <w:sz w:val="22"/>
          <w:szCs w:val="22"/>
        </w:rPr>
        <w:t xml:space="preserve">Transfer entropy asymmetry (linear forward, nonlinear reverse) is a genuinely novel subsidiary finding.</w:t>
      </w:r>
    </w:p>
    <w:p>
      <w:pPr>
        <w:pStyle w:val="ListParagraph"/>
        <w:numPr>
          <w:ilvl w:val="0"/>
          <w:numId w:val="7"/>
        </w:numPr>
        <w:spacing w:after="80"/>
      </w:pPr>
      <w:r>
        <w:rPr>
          <w:rFonts w:ascii="Arial" w:cs="Arial" w:eastAsia="Arial" w:hAnsi="Arial"/>
          <w:color w:val="333333"/>
          <w:sz w:val="22"/>
          <w:szCs w:val="22"/>
        </w:rPr>
        <w:t xml:space="preserve">Multi-model diagnostic (OLS, RF, MLP, LSTM) confirms linearity of forward channel.</w:t>
      </w:r>
    </w:p>
    <w:p>
      <w:pPr>
        <w:pStyle w:val="ListParagraph"/>
        <w:numPr>
          <w:ilvl w:val="0"/>
          <w:numId w:val="7"/>
        </w:numPr>
        <w:spacing w:after="80"/>
      </w:pPr>
      <w:r>
        <w:rPr>
          <w:rFonts w:ascii="Arial" w:cs="Arial" w:eastAsia="Arial" w:hAnsi="Arial"/>
          <w:color w:val="333333"/>
          <w:sz w:val="22"/>
          <w:szCs w:val="22"/>
        </w:rPr>
        <w:t xml:space="preserve">Honest about economic limitations: Sharpe = -0.07, VaR false-alarm rate 93.2%.</w:t>
      </w:r>
    </w:p>
    <w:p>
      <w:pPr>
        <w:pStyle w:val="Heading1"/>
      </w:pPr>
      <w:r>
        <w:rPr>
          <w:rFonts w:ascii="Arial" w:cs="Arial" w:eastAsia="Arial" w:hAnsi="Arial"/>
        </w:rPr>
        <w:t xml:space="preserve">Path to Acceptance</w:t>
      </w:r>
    </w:p>
    <w:p>
      <w:pPr>
        <w:spacing w:after="120"/>
      </w:pPr>
      <w:r>
        <w:rPr>
          <w:rFonts w:ascii="Arial" w:cs="Arial" w:eastAsia="Arial" w:hAnsi="Arial"/>
          <w:b w:val="false"/>
          <w:bCs w:val="false"/>
          <w:color w:val="333333"/>
          <w:sz w:val="22"/>
          <w:szCs w:val="22"/>
        </w:rPr>
        <w:t xml:space="preserve">The primary finding is publishable. The paper should be restructured to center the structural break narrative, demote the OOS re-emergence to exploratory evidence, fix the multiple testing framework, and reduce scope creep. With Tier 1 revisions, this becomes a solid empirical contribution to the factor investing literature. The methodological rigor and transparency—once freed from excessive hedging—are genuine assets.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Peer Review  |  ICAIF 2026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7"/>
    <w:lvlOverride w:ilvl="0">
      <w:startOverride w:val="1"/>
    </w:lvlOverride>
  </w:num>
  <w:num w:numId="5">
    <w:abstractNumId w:val="6"/>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2026-02-28T09:39:29.326Z</dcterms:created>
  <dcterms:modified xsi:type="dcterms:W3CDTF">2026-02-28T09:39:29.326Z</dcterms:modified>
</cp:coreProperties>
</file>

<file path=docProps/custom.xml><?xml version="1.0" encoding="utf-8"?>
<Properties xmlns="http://schemas.openxmlformats.org/officeDocument/2006/custom-properties" xmlns:vt="http://schemas.openxmlformats.org/officeDocument/2006/docPropsVTypes"/>
</file>