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B3A5C"/>
          <w:sz w:val="36"/>
          <w:szCs w:val="36"/>
        </w:rPr>
        <w:t xml:space="preserve">PEER REVIEW REPORT — ROUND 2</w:t>
      </w:r>
    </w:p>
    <w:p>
      <w:pPr>
        <w:spacing w:after="40"/>
        <w:jc w:val="center"/>
      </w:pPr>
      <w:r>
        <w:rPr>
          <w:color w:val="2E75B6"/>
          <w:sz w:val="22"/>
          <w:szCs w:val="22"/>
        </w:rPr>
        <w:t xml:space="preserve">ICAIF 2026 — ACM International Conference on AI in Finance</w:t>
      </w:r>
    </w:p>
    <w:p>
      <w:pPr>
        <w:spacing w:after="200"/>
        <w:jc w:val="center"/>
      </w:pPr>
      <w:r>
        <w:rPr>
          <w:color w:val="7F8C8D"/>
          <w:sz w:val="16"/>
          <w:szCs w:val="16"/>
        </w:rPr>
        <w:t xml:space="preserve">────────────────────────────────────────────────────────────</w:t>
      </w:r>
    </w:p>
    <w:p>
      <w:pPr>
        <w:spacing w:after="40"/>
      </w:pPr>
      <w:r>
        <w:rPr>
          <w:b/>
          <w:bCs/>
          <w:sz w:val="20"/>
          <w:szCs w:val="20"/>
        </w:rPr>
        <w:t xml:space="preserve">Paper: </w:t>
      </w:r>
      <w:r>
        <w:rPr>
          <w:i/>
          <w:iCs/>
          <w:sz w:val="20"/>
          <w:szCs w:val="20"/>
        </w:rPr>
        <w:t xml:space="preserve">The Rise and Fall of Cross-Factor Predictability: Regime-Dependent HML→SMB Granger Causality</w:t>
      </w:r>
    </w:p>
    <w:p>
      <w:pPr>
        <w:spacing w:after="40"/>
      </w:pPr>
      <w:r>
        <w:rPr>
          <w:b/>
          <w:bCs/>
          <w:sz w:val="20"/>
          <w:szCs w:val="20"/>
        </w:rPr>
        <w:t xml:space="preserve">Review Date: </w:t>
      </w:r>
      <w:r>
        <w:rPr>
          <w:sz w:val="20"/>
          <w:szCs w:val="20"/>
        </w:rPr>
        <w:t xml:space="preserve">February 27, 2026</w:t>
      </w:r>
    </w:p>
    <w:p>
      <w:pPr>
        <w:spacing w:after="40"/>
      </w:pPr>
      <w:r>
        <w:rPr>
          <w:b/>
          <w:bCs/>
          <w:sz w:val="20"/>
          <w:szCs w:val="20"/>
        </w:rPr>
        <w:t xml:space="preserve">Review Type: </w:t>
      </w:r>
      <w:r>
        <w:rPr>
          <w:sz w:val="20"/>
          <w:szCs w:val="20"/>
        </w:rPr>
        <w:t xml:space="preserve">Multi-Agent Review (4 Specialized Reviewers)</w:t>
      </w:r>
    </w:p>
    <w:p>
      <w:pPr>
        <w:spacing w:after="300"/>
      </w:pPr>
      <w:r>
        <w:rPr>
          <w:b/>
          <w:bCs/>
          <w:sz w:val="20"/>
          <w:szCs w:val="20"/>
        </w:rPr>
        <w:t xml:space="preserve">Recommendation: </w:t>
      </w:r>
      <w:r>
        <w:rPr>
          <w:b/>
          <w:bCs/>
          <w:color w:val="C0392B"/>
          <w:sz w:val="22"/>
          <w:szCs w:val="22"/>
        </w:rPr>
        <w:t xml:space="preserve">MAJOR REVISION</w:t>
      </w:r>
    </w:p>
    <w:p>
      <w:pPr>
        <w:pStyle w:val="Heading1"/>
      </w:pPr>
      <w:r>
        <w:t xml:space="preserve">1. Executive Summary</w:t>
      </w:r>
    </w:p>
    <w:p>
      <w:pPr>
        <w:spacing w:after="200"/>
      </w:pPr>
      <w:r>
        <w:t xml:space="preserve">This second-round review deployed four specialized subagents covering (A) statistical methodology, (B) computational reproducibility, (C) writing and presentation, and (D) novelty and contribution. The paper has improved substantially since Round 1: all seven previously identified issues have been addressed with varying degrees of success. However, three critical concerns remain that prevent acceptance in current form.</w:t>
      </w:r>
    </w:p>
    <w:p>
      <w:pPr>
        <w:spacing w:after="80"/>
      </w:pPr>
      <w:r>
        <w:rPr>
          <w:b/>
          <w:bCs/>
          <w:color w:val="C0392B"/>
        </w:rPr>
        <w:t xml:space="preserve">Remaining Major Concerns:</w:t>
      </w:r>
    </w:p>
    <w:p>
      <w:pPr>
        <w:pStyle w:val="ListParagraph"/>
        <w:numPr>
          <w:ilvl w:val="0"/>
          <w:numId w:val="2"/>
        </w:numPr>
        <w:spacing w:after="60"/>
      </w:pPr>
      <w:r>
        <w:rPr>
          <w:sz w:val="20"/>
          <w:szCs w:val="20"/>
        </w:rPr>
        <w:t xml:space="preserve">Structural Break Narrative: The sup-F test maximizes at June 1998 (F=21.2, p=1.23×10⁻¹³), not January 2008 (F=9.85, p=1.79×10⁻⁶). The title/abstract/conclusion all frame the paper around a GFC break that is not the primary data-driven breakpoint. This is the most significant remaining issue.</w:t>
      </w:r>
    </w:p>
    <w:p>
      <w:pPr>
        <w:pStyle w:val="ListParagraph"/>
        <w:numPr>
          <w:ilvl w:val="0"/>
          <w:numId w:val="2"/>
        </w:numPr>
        <w:spacing w:after="60"/>
      </w:pPr>
      <w:r>
        <w:rPr>
          <w:sz w:val="20"/>
          <w:szCs w:val="20"/>
        </w:rPr>
        <w:t xml:space="preserve">OOS Prevalence Fragility: The bootstrap reweighting shows only 9.9% of prevalence-matched subsamples achieve p&lt;0.05. The OOS Elevated result (HAC-p=0.041) is 90% attributable to regime expansion from 13.7% to 30.7% post-GFC. This finding is buried in the text when it should be prominent.</w:t>
      </w:r>
    </w:p>
    <w:p>
      <w:pPr>
        <w:pStyle w:val="ListParagraph"/>
        <w:numPr>
          <w:ilvl w:val="0"/>
          <w:numId w:val="2"/>
        </w:numPr>
        <w:spacing w:after="200"/>
      </w:pPr>
      <w:r>
        <w:rPr>
          <w:sz w:val="20"/>
          <w:szCs w:val="20"/>
        </w:rPr>
        <w:t xml:space="preserve">TOST Margin Calibration: The equivalence margin (δ=0.095, i.e., 50% of pre-GFC effect) is post-hoc. At δ=0.05, TOST fails (p=0.110). The abstract's claim of "TOST-confirmed absent" overstates what the evidence shows.</w:t>
      </w:r>
    </w:p>
    <w:p>
      <w:pPr>
        <w:pStyle w:val="Heading1"/>
      </w:pPr>
      <w:r>
        <w:t xml:space="preserve">2. Assessment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b/>
                <w:bCs/>
                <w:color w:val="FFFFFF"/>
                <w:sz w:val="18"/>
                <w:szCs w:val="18"/>
              </w:rPr>
              <w:t xml:space="preserve">Area</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b/>
                <w:bCs/>
                <w:color w:val="FFFFFF"/>
                <w:sz w:val="18"/>
                <w:szCs w:val="18"/>
              </w:rPr>
              <w:t xml:space="preserve">Rating</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b/>
                <w:bCs/>
                <w:color w:val="FFFFFF"/>
                <w:sz w:val="18"/>
                <w:szCs w:val="18"/>
              </w:rPr>
              <w:t xml:space="preserve">Key Issue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HMM Specification</w:t>
            </w:r>
          </w:p>
        </w:tc>
        <w:tc>
          <w:tcPr>
            <w:tcW w:type="dxa" w:w="18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jc w:val="center"/>
            </w:pPr>
            <w:r>
              <w:rPr>
                <w:rFonts w:ascii="Arial" w:cs="Arial" w:eastAsia="Arial" w:hAnsi="Arial"/>
                <w:b/>
                <w:bCs/>
                <w:sz w:val="18"/>
                <w:szCs w:val="18"/>
              </w:rPr>
              <w:t xml:space="preserve">MINOR CONCERN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K=3 BIC-sound; Student-t well-motivated; seed selection non-standard but disclosed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Granger Testing</w:t>
            </w:r>
          </w:p>
        </w:tc>
        <w:tc>
          <w:tcPr>
            <w:tcW w:type="dxa" w:w="1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sz w:val="18"/>
                <w:szCs w:val="18"/>
              </w:rPr>
              <w:t xml:space="preserve">SOUND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Lag selection, HAC, boundary exclusion all correct; frozen OOS exemplary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Structural Breaks</w:t>
            </w:r>
          </w:p>
        </w:tc>
        <w:tc>
          <w:tcPr>
            <w:tcW w:type="dxa" w:w="18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sz w:val="18"/>
                <w:szCs w:val="18"/>
              </w:rPr>
              <w:t xml:space="preserve">MAJOR CONCERN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June 1998 sup-F &gt;&gt; Jan 2008 Chow; title/abstract mislead; multi-break not formally modeled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Multiple Testing</w:t>
            </w:r>
          </w:p>
        </w:tc>
        <w:tc>
          <w:tcPr>
            <w:tcW w:type="dxa" w:w="18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jc w:val="center"/>
            </w:pPr>
            <w:r>
              <w:rPr>
                <w:rFonts w:ascii="Arial" w:cs="Arial" w:eastAsia="Arial" w:hAnsi="Arial"/>
                <w:b/>
                <w:bCs/>
                <w:sz w:val="18"/>
                <w:szCs w:val="18"/>
              </w:rPr>
              <w:t xml:space="preserve">MINOR CONCERN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Bonferroni/BH applied to 30 pairs; K/lag/seed multiplicity not corrected but mitigated by OOS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OOS Design</w:t>
            </w:r>
          </w:p>
        </w:tc>
        <w:tc>
          <w:tcPr>
            <w:tcW w:type="dxa" w:w="18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sz w:val="18"/>
                <w:szCs w:val="18"/>
              </w:rPr>
              <w:t xml:space="preserve">MAJOR CONCERN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Frozen design exemplary but 90% of significance driven by regime prevalence expansion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TOST Equivalence</w:t>
            </w:r>
          </w:p>
        </w:tc>
        <w:tc>
          <w:tcPr>
            <w:tcW w:type="dxa" w:w="18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sz w:val="18"/>
                <w:szCs w:val="18"/>
              </w:rPr>
              <w:t xml:space="preserve">MAJOR CONCERN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Margin calibration post-hoc; "TOST-confirmed absent" overstated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Transfer Entropy</w:t>
            </w:r>
          </w:p>
        </w:tc>
        <w:tc>
          <w:tcPr>
            <w:tcW w:type="dxa" w:w="1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sz w:val="18"/>
                <w:szCs w:val="18"/>
              </w:rPr>
              <w:t xml:space="preserve">SOUND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Frenzel-Pompe kNN appropriate; nonlinear reverse channel plausible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Reproducibility</w:t>
            </w:r>
          </w:p>
        </w:tc>
        <w:tc>
          <w:tcPr>
            <w:tcW w:type="dxa" w:w="18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jc w:val="center"/>
            </w:pPr>
            <w:r>
              <w:rPr>
                <w:rFonts w:ascii="Arial" w:cs="Arial" w:eastAsia="Arial" w:hAnsi="Arial"/>
                <w:b/>
                <w:bCs/>
                <w:sz w:val="18"/>
                <w:szCs w:val="18"/>
              </w:rPr>
              <w:t xml:space="preserve">MINOR CONCERN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Pre-GFC verified (95/100); OOS partially supported (55/100); sample size discrepancies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Writing/Clarity</w:t>
            </w:r>
          </w:p>
        </w:tc>
        <w:tc>
          <w:tcPr>
            <w:tcW w:type="dxa" w:w="1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sz w:val="18"/>
                <w:szCs w:val="18"/>
              </w:rPr>
              <w:t xml:space="preserve">STRONG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Clear confirmatory/exploratory distinction; minor figure/table improvements needed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Novelty</w:t>
            </w:r>
          </w:p>
        </w:tc>
        <w:tc>
          <w:tcPr>
            <w:tcW w:type="dxa" w:w="18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jc w:val="center"/>
            </w:pPr>
            <w:r>
              <w:rPr>
                <w:rFonts w:ascii="Arial" w:cs="Arial" w:eastAsia="Arial" w:hAnsi="Arial"/>
                <w:b/>
                <w:bCs/>
                <w:sz w:val="18"/>
                <w:szCs w:val="18"/>
              </w:rPr>
              <w:t xml:space="preserve">ADEQUATE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Narrow but genuine empirical novelty; methods standard; weak ICAIF/ML positioning</w:t>
            </w:r>
          </w:p>
        </w:tc>
      </w:tr>
    </w:tbl>
    <w:p>
      <w:pPr>
        <w:spacing w:after="100" w:before="100"/>
      </w:pPr>
      <w:r>
        <w:t xml:space="preserve"/>
      </w:r>
    </w:p>
    <w:p>
      <w:r>
        <w:br w:type="page"/>
      </w:r>
    </w:p>
    <w:p>
      <w:pPr>
        <w:pStyle w:val="Heading1"/>
      </w:pPr>
      <w:r>
        <w:t xml:space="preserve">3. Statistical Methodology Review</w:t>
      </w:r>
    </w:p>
    <w:p>
      <w:pPr>
        <w:pStyle w:val="Heading2"/>
      </w:pPr>
      <w:r>
        <w:t xml:space="preserve">3.1 HMM Specification (K=3, Student-t, Multistart)</w:t>
      </w:r>
    </w:p>
    <w:p>
      <w:pPr>
        <w:spacing w:after="80"/>
      </w:pPr>
      <w:r>
        <w:rPr>
          <w:b/>
          <w:bCs/>
        </w:rPr>
        <w:t xml:space="preserve">Rating: </w:t>
      </w:r>
      <w:r>
        <w:rPr>
          <w:b/>
          <w:bCs/>
          <w:color w:val="E67E22"/>
          <w:sz w:val="20"/>
          <w:szCs w:val="20"/>
        </w:rPr>
        <w:t xml:space="preserve">MINOR CONCERN</w:t>
      </w:r>
    </w:p>
    <w:p>
      <w:pPr>
        <w:spacing w:after="200"/>
      </w:pPr>
      <w:r>
        <w:t xml:space="preserve">BIC strongly selects K=3 (ΔBIC vs K=2: 847; vs K=4: 312). Student-t is well-motivated: estimated degrees of freedom (ν̂_Normal=6.2, ν̂_Elevated=3.9, ν̂_Crisis=5.5) confirm heavy tails. The 50-seed multistart with full disclosure of 7 local optima clusters is commendable. However, seed selection via "first in sorted order among tied LL" (seed 28) is somewhat arbitrary. The tension between "BIC-optimal" and "leakage-safe" is disclosed but could use stronger justification for why LL-maximization is preferred. The OOS results being robust across 5/7 clusters mitigates this concern.</w:t>
      </w:r>
    </w:p>
    <w:p>
      <w:pPr>
        <w:pStyle w:val="Heading2"/>
      </w:pPr>
      <w:r>
        <w:t xml:space="preserve">3.2 Granger Causality Testing</w:t>
      </w:r>
    </w:p>
    <w:p>
      <w:pPr>
        <w:spacing w:after="80"/>
      </w:pPr>
      <w:r>
        <w:rPr>
          <w:b/>
          <w:bCs/>
        </w:rPr>
        <w:t xml:space="preserve">Rating: </w:t>
      </w:r>
      <w:r>
        <w:rPr>
          <w:b/>
          <w:bCs/>
          <w:color w:val="27AE60"/>
          <w:sz w:val="20"/>
          <w:szCs w:val="20"/>
        </w:rPr>
        <w:t xml:space="preserve">SOUND</w:t>
      </w:r>
    </w:p>
    <w:p>
      <w:pPr>
        <w:spacing w:after="200"/>
      </w:pPr>
      <w:r>
        <w:t xml:space="preserve">Lag selection via BIC is standard. Regime-conditional testing on non-contiguous subsequences is properly handled: boundary exclusion requires all lags within the same regime (0.67% in-sample, 7.4% OOS exclusion rates). HAC corrections are applied consistently with Newey-West, and the bandwidth sensitivity across [1–30] shows stability. The Andrews (1991) automatic bandwidth addition from Round 1 revisions is a welcome improvement. The frozen OOS design using filtered probabilities (no future information) eliminates in-sample circularity—this is exemplary.</w:t>
      </w:r>
    </w:p>
    <w:p>
      <w:pPr>
        <w:pStyle w:val="Heading2"/>
      </w:pPr>
      <w:r>
        <w:t xml:space="preserve">3.3 Structural Break Testing</w:t>
      </w:r>
    </w:p>
    <w:p>
      <w:pPr>
        <w:spacing w:after="80"/>
      </w:pPr>
      <w:r>
        <w:rPr>
          <w:b/>
          <w:bCs/>
        </w:rPr>
        <w:t xml:space="preserve">Rating: </w:t>
      </w:r>
      <w:r>
        <w:rPr>
          <w:b/>
          <w:bCs/>
          <w:color w:val="C0392B"/>
          <w:sz w:val="20"/>
          <w:szCs w:val="20"/>
        </w:rPr>
        <w:t xml:space="preserve">MAJOR CONCERN</w:t>
      </w:r>
    </w:p>
    <w:p>
      <w:pPr>
        <w:spacing w:after="80"/>
      </w:pPr>
      <w:r>
        <w:t xml:space="preserve">This is the paper's most significant remaining methodological tension. The Quandt-Andrews sup-F maximizes at June 1998 (LTCM/Russia crisis) with F=21.2, p=1.23×10⁻¹³—an order of 10⁷ stronger than January 2008 (F=9.85, p=1.79×10⁻⁶). The top 5 data-driven break candidates all cluster in 1998–2003; January 2008 does not appear among them.</w:t>
      </w:r>
    </w:p>
    <w:p>
      <w:pPr>
        <w:spacing w:after="80"/>
      </w:pPr>
      <w:r>
        <w:t xml:space="preserve">The Round 1 revision added this disclosure (lines 455–464), which is honest. However, the paper's narrative—title, abstract, and conclusion—still frames January 2008 (GFC) as the primary structural break. This creates a disconnect: the data says 1998, the paper says 2008.</w:t>
      </w:r>
    </w:p>
    <w:p>
      <w:pPr>
        <w:spacing w:after="200"/>
      </w:pPr>
      <w:r>
        <w:rPr>
          <w:b/>
          <w:bCs/>
          <w:color w:val="2E75B6"/>
        </w:rPr>
        <w:t xml:space="preserve">Recommendation: </w:t>
      </w:r>
      <w:r>
        <w:t xml:space="preserve">Either (A) reframe the narrative as "multiple structural breaks, with the strongest at June 1998" and treat January 2008 as a secondary confirmation, or (B) pre-specify January 2008 as a theory-driven hypothesis test and clearly label June 1998 as a post-hoc sensitivity finding. The current hybrid framing is misleading.</w:t>
      </w:r>
    </w:p>
    <w:p>
      <w:pPr>
        <w:pStyle w:val="Heading2"/>
      </w:pPr>
      <w:r>
        <w:t xml:space="preserve">3.4 Multiple Testing Corrections</w:t>
      </w:r>
    </w:p>
    <w:p>
      <w:pPr>
        <w:spacing w:after="80"/>
      </w:pPr>
      <w:r>
        <w:rPr>
          <w:b/>
          <w:bCs/>
        </w:rPr>
        <w:t xml:space="preserve">Rating: </w:t>
      </w:r>
      <w:r>
        <w:rPr>
          <w:b/>
          <w:bCs/>
          <w:color w:val="E67E22"/>
          <w:sz w:val="20"/>
          <w:szCs w:val="20"/>
        </w:rPr>
        <w:t xml:space="preserve">MINOR CONCERN</w:t>
      </w:r>
    </w:p>
    <w:p>
      <w:pPr>
        <w:spacing w:after="200"/>
      </w:pPr>
      <w:r>
        <w:t xml:space="preserve">Bonferroni across 30 pairs at α_fam=0.01 is standard and correctly applied. The BH FDR addition from Round 1 is welcome. However, the corrections apply within the chosen (K=3, lag=1, seed=28, percentage-unit) specification. The paper does not formally correct for the broader specification search across K values, lag options, seeds, and scale conventions. This is mitigated by the economic prior and OOS design, but a sentence acknowledging this residual multiplicity would strengthen transparency.</w:t>
      </w:r>
    </w:p>
    <w:p>
      <w:pPr>
        <w:pStyle w:val="Heading2"/>
      </w:pPr>
      <w:r>
        <w:t xml:space="preserve">3.5 OOS Design and Prevalence Fragility</w:t>
      </w:r>
    </w:p>
    <w:p>
      <w:pPr>
        <w:spacing w:after="80"/>
      </w:pPr>
      <w:r>
        <w:rPr>
          <w:b/>
          <w:bCs/>
        </w:rPr>
        <w:t xml:space="preserve">Rating: </w:t>
      </w:r>
      <w:r>
        <w:rPr>
          <w:b/>
          <w:bCs/>
          <w:color w:val="C0392B"/>
          <w:sz w:val="20"/>
          <w:szCs w:val="20"/>
        </w:rPr>
        <w:t xml:space="preserve">MAJOR CONCERN</w:t>
      </w:r>
    </w:p>
    <w:p>
      <w:pPr>
        <w:spacing w:after="80"/>
      </w:pPr>
      <w:r>
        <w:t xml:space="preserve">The frozen OOS design (HMM trained 1990–2012, frozen parameters applied 2013–2024) is gold-standard for regime-switching validation. However, a critical finding from the Round 1 revision undermines the headline OOS result: the bootstrap prevalence reweighting shows that when the Elevated regime is subsampled to match training-period prevalence (13.7% instead of 30.7%), only 9.9% of bootstrap samples achieve p&lt;0.05 (median bootstrap p=0.153).</w:t>
      </w:r>
    </w:p>
    <w:p>
      <w:pPr>
        <w:spacing w:after="80"/>
      </w:pPr>
      <w:r>
        <w:t xml:space="preserve">This means the OOS Elevated result (HAC-p=0.041) is ~90% attributable to the mechanical expansion of the Elevated regime in the post-GFC period, not to genuine predictive content. The authors disclose this, which is commendable, but the finding is buried in a single paragraph. It should be prominently featured—ideally in the abstract or Discussion section.</w:t>
      </w:r>
    </w:p>
    <w:p>
      <w:pPr>
        <w:spacing w:after="200"/>
      </w:pPr>
      <w:r>
        <w:rPr>
          <w:b/>
          <w:bCs/>
          <w:color w:val="2E75B6"/>
        </w:rPr>
        <w:t xml:space="preserve">Recommendation: </w:t>
      </w:r>
      <w:r>
        <w:t xml:space="preserve">Present the OOS result as "fragile, prevalence-dependent evidence" and add the bootstrap reweighting p-value (0.153) alongside the primary p-value (0.041) wherever the OOS result is cited.</w:t>
      </w:r>
    </w:p>
    <w:p>
      <w:pPr>
        <w:pStyle w:val="Heading2"/>
      </w:pPr>
      <w:r>
        <w:t xml:space="preserve">3.6 TOST Equivalence Testing</w:t>
      </w:r>
    </w:p>
    <w:p>
      <w:pPr>
        <w:spacing w:after="80"/>
      </w:pPr>
      <w:r>
        <w:rPr>
          <w:b/>
          <w:bCs/>
        </w:rPr>
        <w:t xml:space="preserve">Rating: </w:t>
      </w:r>
      <w:r>
        <w:rPr>
          <w:b/>
          <w:bCs/>
          <w:color w:val="C0392B"/>
          <w:sz w:val="20"/>
          <w:szCs w:val="20"/>
        </w:rPr>
        <w:t xml:space="preserve">MAJOR CONCERN</w:t>
      </w:r>
    </w:p>
    <w:p>
      <w:pPr>
        <w:spacing w:after="80"/>
      </w:pPr>
      <w:r>
        <w:t xml:space="preserve">The TOST test is methodologically correct but the margin selection is problematic. The equivalence margin δ=0.095 (50% of pre-GFC ||β||) is chosen post-hoc to achieve significance. At δ=0.05, TOST fails (p=0.110). The correct workflow requires pre-specifying the margin on economic grounds (what coefficient is too small to matter for practitioners?), not calibrating it to the data.</w:t>
      </w:r>
    </w:p>
    <w:p>
      <w:pPr>
        <w:spacing w:after="200"/>
      </w:pPr>
      <w:r>
        <w:rPr>
          <w:b/>
          <w:bCs/>
          <w:color w:val="2E75B6"/>
        </w:rPr>
        <w:t xml:space="preserve">Recommendation: </w:t>
      </w:r>
      <w:r>
        <w:t xml:space="preserve">Either (A) pre-specify the margin on economic grounds with explicit justification, (B) report the 95% CI [−0.049, 0.073] and let readers judge equivalence at their own margin, or (C) replace "TOST-confirmed absent" with "consistent with zero" throughout. The current language creates false confidence about effect absence.</w:t>
      </w:r>
    </w:p>
    <w:p>
      <w:pPr>
        <w:pStyle w:val="Heading2"/>
      </w:pPr>
      <w:r>
        <w:t xml:space="preserve">3.7 Transfer Entropy</w:t>
      </w:r>
    </w:p>
    <w:p>
      <w:pPr>
        <w:spacing w:after="80"/>
      </w:pPr>
      <w:r>
        <w:rPr>
          <w:b/>
          <w:bCs/>
        </w:rPr>
        <w:t xml:space="preserve">Rating: </w:t>
      </w:r>
      <w:r>
        <w:rPr>
          <w:b/>
          <w:bCs/>
          <w:color w:val="27AE60"/>
          <w:sz w:val="20"/>
          <w:szCs w:val="20"/>
        </w:rPr>
        <w:t xml:space="preserve">SOUND</w:t>
      </w:r>
    </w:p>
    <w:p>
      <w:pPr>
        <w:spacing w:after="200"/>
      </w:pPr>
      <w:r>
        <w:t xml:space="preserve">The Frenzel-Pompe kNN estimator (k=5, 200 permutations) is standard and appropriate. The directional complexity asymmetry finding—linear forward HML→SMB but nonlinear reverse SMB→HML—is interesting and the reconciliation with Granger null (p=0.864 reverse) is plausible. Minor limitation: the reverse nonlinearity hypothesis is post-hoc and not directly tested with RF/MLP/LSTM (only the forward direction is tested). Running nonlinear models for the reverse direction would strengthen this claim.</w:t>
      </w:r>
    </w:p>
    <w:p>
      <w:r>
        <w:br w:type="page"/>
      </w:r>
    </w:p>
    <w:p>
      <w:pPr>
        <w:pStyle w:val="Heading1"/>
      </w:pPr>
      <w:r>
        <w:t xml:space="preserve">4. Computational Reproducibility Review</w:t>
      </w:r>
    </w:p>
    <w:p>
      <w:pPr>
        <w:pStyle w:val="Heading2"/>
      </w:pPr>
      <w:r>
        <w:t xml:space="preserve">4.1 Verified Claims</w:t>
      </w:r>
    </w:p>
    <w:p>
      <w:pPr>
        <w:spacing w:after="60"/>
      </w:pPr>
      <w:r>
        <w:rPr>
          <w:b/>
          <w:bCs/>
          <w:color w:val="27AE60"/>
        </w:rPr>
        <w:t xml:space="preserve">Pre-GFC Normal regime HML→SMB: </w:t>
      </w:r>
      <w:r>
        <w:t xml:space="preserve">Paper claims p=8.75×10⁻⁹; results JSON confirms p=8.749×10⁻⁹. VERIFIED.</w:t>
      </w:r>
    </w:p>
    <w:p>
      <w:pPr>
        <w:spacing w:after="60"/>
      </w:pPr>
      <w:r>
        <w:rPr>
          <w:b/>
          <w:bCs/>
          <w:color w:val="27AE60"/>
        </w:rPr>
        <w:t xml:space="preserve">Structural break Chow test: </w:t>
      </w:r>
      <w:r>
        <w:t xml:space="preserve">Paper claims p=2.29×10⁻⁶ at January 2008; results confirm p=2.288×10⁻⁶. VERIFIED.</w:t>
      </w:r>
    </w:p>
    <w:p>
      <w:pPr>
        <w:spacing w:after="60"/>
      </w:pPr>
      <w:r>
        <w:rPr>
          <w:b/>
          <w:bCs/>
          <w:color w:val="27AE60"/>
        </w:rPr>
        <w:t xml:space="preserve">Post-2008 Normal non-significance: </w:t>
      </w:r>
      <w:r>
        <w:t xml:space="preserve">Paper claims p=0.73; results confirm p=0.728. VERIFIED.</w:t>
      </w:r>
    </w:p>
    <w:p>
      <w:pPr>
        <w:spacing w:after="200"/>
      </w:pPr>
      <w:r>
        <w:rPr>
          <w:b/>
          <w:bCs/>
          <w:color w:val="27AE60"/>
        </w:rPr>
        <w:t xml:space="preserve">HML→SMB rank among 30 pairs: </w:t>
      </w:r>
      <w:r>
        <w:t xml:space="preserve">Paper claims rank 2/30 in OOS Elevated (percentage-unit); results confirm rank 2/30 with F=9.064, F-p=0.0027. VERIFIED.</w:t>
      </w:r>
    </w:p>
    <w:p>
      <w:pPr>
        <w:pStyle w:val="Heading2"/>
      </w:pPr>
      <w:r>
        <w:t xml:space="preserve">4.2 Discrepancies Found</w:t>
      </w:r>
    </w:p>
    <w:p>
      <w:pPr>
        <w:spacing w:after="80"/>
      </w:pPr>
      <w:r>
        <w:rPr>
          <w:b/>
          <w:bCs/>
          <w:color w:val="C0392B"/>
        </w:rPr>
        <w:t xml:space="preserve">Permutation p-value discrepancy: </w:t>
      </w:r>
      <w:r>
        <w:t xml:space="preserve">Paper reports p ∈ [0.063, 0.022] for permutation tests, but the primary code (frozen_oos_primary.py) documents 1,000 shuffles yielding p=0.049. The paper appears to cite results from 10,000–50,000 shuffles without documenting this in the primary code. Permutation seed (42) differs from HMM seed (28).</w:t>
      </w:r>
    </w:p>
    <w:p>
      <w:pPr>
        <w:spacing w:after="80"/>
      </w:pPr>
      <w:r>
        <w:rPr>
          <w:b/>
          <w:bCs/>
          <w:color w:val="E67E22"/>
        </w:rPr>
        <w:t xml:space="preserve">Sample size inconsistencies: </w:t>
      </w:r>
      <w:r>
        <w:t xml:space="preserve">Multiple implementations produce different sample sizes: frozen_oos_primary.json shows n=836 (decimal-unit Elevated), granger_30pairs_oos.json shows n=953 (percentage-unit), and review_fixes.py produces n=849. The differences arise from scale convention affecting regime boundaries (86.3% agreement), which the paper acknowledges, but the multiple implementations create confusion about the canonical specification.</w:t>
      </w:r>
    </w:p>
    <w:p>
      <w:pPr>
        <w:spacing w:after="200"/>
      </w:pPr>
      <w:r>
        <w:rPr>
          <w:b/>
          <w:bCs/>
          <w:color w:val="E67E22"/>
        </w:rPr>
        <w:t xml:space="preserve">FDR results vs. paper claims: </w:t>
      </w:r>
      <w:r>
        <w:t xml:space="preserve">The review_fixes.py analysis shows no pairs survive BH FDR correction at α=0.05. The paper now reports this (lines 332–341), which is an improvement from Round 1. However, HML→SMB ranks 8th/30 in the independent reimplementation vs. 2nd/30 in the paper's pipeline—consistent with local optima sensitivity.</w:t>
      </w:r>
    </w:p>
    <w:p>
      <w:pPr>
        <w:pStyle w:val="Heading2"/>
      </w:pPr>
      <w:r>
        <w:t xml:space="preserve">4.3 Design Verification</w:t>
      </w:r>
    </w:p>
    <w:p>
      <w:pPr>
        <w:spacing w:after="80"/>
      </w:pPr>
      <w:r>
        <w:rPr>
          <w:b/>
          <w:bCs/>
          <w:color w:val="27AE60"/>
        </w:rPr>
        <w:t xml:space="preserve">Frozen OOS design: </w:t>
      </w:r>
      <w:r>
        <w:t xml:space="preserve">No look-ahead bias detected. HMM trained only on 1990–2012; test regime labels use training-period relabeling order; predict_oos() uses filtered=True. Code inspection confirms proper implementation.</w:t>
      </w:r>
    </w:p>
    <w:p>
      <w:pPr>
        <w:spacing w:after="80"/>
      </w:pPr>
      <w:r>
        <w:rPr>
          <w:b/>
          <w:bCs/>
          <w:color w:val="27AE60"/>
        </w:rPr>
        <w:t xml:space="preserve">Permutation tests: </w:t>
      </w:r>
      <w:r>
        <w:t xml:space="preserve">Properly implemented: permutes regime labels while preserving counts, recomputes Granger F-statistic for each shuffle, uses predetermined regime assignments with no circularity.</w:t>
      </w:r>
    </w:p>
    <w:p>
      <w:pPr>
        <w:spacing w:after="80"/>
      </w:pPr>
      <w:r>
        <w:rPr>
          <w:b/>
          <w:bCs/>
          <w:color w:val="27AE60"/>
        </w:rPr>
        <w:t xml:space="preserve">Numerical stability: </w:t>
      </w:r>
      <w:r>
        <w:t xml:space="preserve">Log-space forward-backward algorithm prevents underflow. Cholesky decomposition with pseudoinverse fallback handles singular matrices. Covariance regularization (1e-6 ridge) applied consistently.</w:t>
      </w:r>
    </w:p>
    <w:p>
      <w:pPr>
        <w:spacing w:after="200"/>
      </w:pPr>
      <w:r>
        <w:rPr>
          <w:b/>
          <w:bCs/>
          <w:color w:val="E67E22"/>
        </w:rPr>
        <w:t xml:space="preserve">Code quality concern: </w:t>
      </w:r>
      <w:r>
        <w:t xml:space="preserve">Hardcoded user paths (/Users/i767700/Github/...) throughout codebase. Multiple duplicate implementations (frozen_oos_primary.py vs. review_fixes.py) producing different results. Recommend consolidating before public release.</w:t>
      </w:r>
    </w:p>
    <w:p>
      <w:pPr>
        <w:spacing w:after="200"/>
      </w:pPr>
      <w:r>
        <w:rPr>
          <w:b/>
          <w:bCs/>
          <w:sz w:val="22"/>
          <w:szCs w:val="22"/>
        </w:rPr>
        <w:t xml:space="preserve">Reproducibility Score: </w:t>
      </w:r>
      <w:r>
        <w:rPr>
          <w:i/>
          <w:iCs/>
          <w:sz w:val="20"/>
          <w:szCs w:val="20"/>
        </w:rPr>
        <w:t xml:space="preserve">Pre-GFC claims: 95/100. OOS Elevated claims: 55/100. Code quality: 70/100.</w:t>
      </w:r>
    </w:p>
    <w:p>
      <w:r>
        <w:br w:type="page"/>
      </w:r>
    </w:p>
    <w:p>
      <w:pPr>
        <w:pStyle w:val="Heading1"/>
      </w:pPr>
      <w:r>
        <w:t xml:space="preserve">5. Writing and Presentation Review</w:t>
      </w:r>
    </w:p>
    <w:p>
      <w:pPr>
        <w:pStyle w:val="Heading2"/>
      </w:pPr>
      <w:r>
        <w:t xml:space="preserve">5.1 Structure and Flow</w:t>
      </w:r>
    </w:p>
    <w:p>
      <w:pPr>
        <w:spacing w:after="80"/>
      </w:pPr>
      <w:r>
        <w:rPr>
          <w:b/>
          <w:bCs/>
        </w:rPr>
        <w:t xml:space="preserve">Rating: </w:t>
      </w:r>
      <w:r>
        <w:rPr>
          <w:b/>
          <w:bCs/>
          <w:color w:val="E67E22"/>
          <w:sz w:val="20"/>
          <w:szCs w:val="20"/>
        </w:rPr>
        <w:t xml:space="preserve">ADEQUATE</w:t>
      </w:r>
    </w:p>
    <w:p>
      <w:pPr>
        <w:spacing w:after="200"/>
      </w:pPr>
      <w:r>
        <w:t xml:space="preserve">The paper follows a logical arc from motivation through method to findings and robustness. The confirmatory/exploratory distinction is clearly maintained. However, the Crisis regime label is problematic: the primary fit (seed 28) assigns ~0% of 2008 to "Crisis," creating confusion. The VaR application and trading strategy sections (combined ~1.5 pages) add limited value given their negative results and could be compressed to free space for the prevalence reweighting discussion.</w:t>
      </w:r>
    </w:p>
    <w:p>
      <w:pPr>
        <w:pStyle w:val="Heading2"/>
      </w:pPr>
      <w:r>
        <w:t xml:space="preserve">5.2 Clarity of Claims</w:t>
      </w:r>
    </w:p>
    <w:p>
      <w:pPr>
        <w:spacing w:after="80"/>
      </w:pPr>
      <w:r>
        <w:rPr>
          <w:b/>
          <w:bCs/>
        </w:rPr>
        <w:t xml:space="preserve">Rating: </w:t>
      </w:r>
      <w:r>
        <w:rPr>
          <w:b/>
          <w:bCs/>
          <w:color w:val="27AE60"/>
          <w:sz w:val="20"/>
          <w:szCs w:val="20"/>
        </w:rPr>
        <w:t xml:space="preserve">STRONG</w:t>
      </w:r>
    </w:p>
    <w:p>
      <w:pPr>
        <w:spacing w:after="200"/>
      </w:pPr>
      <w:r>
        <w:t xml:space="preserve">The paper's greatest strength is its honest reporting. Contributions are explicitly labeled as confirmatory vs. exploratory. The "predictive precedence, not structural causality" qualifier (now reduced to one occurrence per Round 1 feedback) is appropriately placed. The rise-and-fall narrative is well-supported by the evidence for the in-sample portion. Minor improvement: state the economic prior before the data screening finding (currently reversed at lines 293–304) to avoid appearing post-hoc.</w:t>
      </w:r>
    </w:p>
    <w:p>
      <w:pPr>
        <w:pStyle w:val="Heading2"/>
      </w:pPr>
      <w:r>
        <w:t xml:space="preserve">5.3 Figures and Tables</w:t>
      </w:r>
    </w:p>
    <w:p>
      <w:pPr>
        <w:spacing w:after="80"/>
      </w:pPr>
      <w:r>
        <w:rPr>
          <w:b/>
          <w:bCs/>
        </w:rPr>
        <w:t xml:space="preserve">Rating: </w:t>
      </w:r>
      <w:r>
        <w:rPr>
          <w:b/>
          <w:bCs/>
          <w:color w:val="C0392B"/>
          <w:sz w:val="20"/>
          <w:szCs w:val="20"/>
        </w:rPr>
        <w:t xml:space="preserve">NEEDS WORK</w:t>
      </w:r>
    </w:p>
    <w:p>
      <w:pPr>
        <w:spacing w:after="200"/>
      </w:pPr>
      <w:r>
        <w:t xml:space="preserve">Several issues: (1) No figure shows effect sizes with confidence intervals—readers need to visualize the small ΔR² magnitudes (1–2%). (2) Figure 2 heatmap (30 pairs) uses lag=5 for visualization while main results use lag=1; this should be noted in the caption. (3) FF25 overlap heatmap (Figure 3) lacks a color scale legend. (4) Table 3 (Frozen OOS) should note that n=836 is decimal-unit with a footnote pointing to percentage-unit n=953. (5) K-sensitivity (Table 6) is critical robustness that deserves more prominence.</w:t>
      </w:r>
    </w:p>
    <w:p>
      <w:pPr>
        <w:pStyle w:val="Heading2"/>
      </w:pPr>
      <w:r>
        <w:t xml:space="preserve">5.4 Abstract Quality</w:t>
      </w:r>
    </w:p>
    <w:p>
      <w:pPr>
        <w:spacing w:after="80"/>
      </w:pPr>
      <w:r>
        <w:rPr>
          <w:b/>
          <w:bCs/>
        </w:rPr>
        <w:t xml:space="preserve">Rating: </w:t>
      </w:r>
      <w:r>
        <w:rPr>
          <w:b/>
          <w:bCs/>
          <w:color w:val="E67E22"/>
          <w:sz w:val="20"/>
          <w:szCs w:val="20"/>
        </w:rPr>
        <w:t xml:space="preserve">ADEQUATE</w:t>
      </w:r>
    </w:p>
    <w:p>
      <w:pPr>
        <w:spacing w:after="200"/>
      </w:pPr>
      <w:r>
        <w:t xml:space="preserve">Concise and well-structured at ~135 words. Core claims are quantified. Two issues: (1) "TOST-confirmed absent" is jargon that most readers won't parse—replace with "statistically equivalent to zero." (2) "Significant in 2 of 3 HMM optima" is unexplained jargon in the abstract context. Simplify to "though this does not survive correction for multiple factor pairs."</w:t>
      </w:r>
    </w:p>
    <w:p>
      <w:pPr>
        <w:pStyle w:val="Heading2"/>
      </w:pPr>
      <w:r>
        <w:t xml:space="preserve">5.5 ICAIF Fit and ML Positioning</w:t>
      </w:r>
    </w:p>
    <w:p>
      <w:pPr>
        <w:spacing w:after="80"/>
      </w:pPr>
      <w:r>
        <w:rPr>
          <w:b/>
          <w:bCs/>
        </w:rPr>
        <w:t xml:space="preserve">Rating: </w:t>
      </w:r>
      <w:r>
        <w:rPr>
          <w:b/>
          <w:bCs/>
          <w:color w:val="C0392B"/>
          <w:sz w:val="20"/>
          <w:szCs w:val="20"/>
        </w:rPr>
        <w:t xml:space="preserve">NEEDS WORK</w:t>
      </w:r>
    </w:p>
    <w:p>
      <w:pPr>
        <w:spacing w:after="200"/>
      </w:pPr>
      <w:r>
        <w:t xml:space="preserve">ICAIF values the intersection of AI/ML and finance. The paper's ML content—a four-model diagnostic (OLS, RF, MLP, LSTM) in the appendix showing no nonlinear improvement—is a negative result that supports the "predominantly linear" characterization. However, HMMs are 35-year-old methods, and the ML section is relegated to the appendix. For stronger ICAIF positioning, consider either: (A) front-loading the ML diagnostics as evidence that classical methods suffice, framed as "When Do HMMs Beat Deep Learning?", or (B) adding Neural Granger Causality (Tank et al. 2022, already cited) as a comparison method. The paper is currently positioned better for pure finance venues (JFE, QF) than for ICAIF.</w:t>
      </w:r>
    </w:p>
    <w:p>
      <w:r>
        <w:br w:type="page"/>
      </w:r>
    </w:p>
    <w:p>
      <w:pPr>
        <w:pStyle w:val="Heading1"/>
      </w:pPr>
      <w:r>
        <w:t xml:space="preserve">6. Novelty and Contribution Assessment</w:t>
      </w:r>
    </w:p>
    <w:p>
      <w:pPr>
        <w:pStyle w:val="Heading2"/>
      </w:pPr>
      <w:r>
        <w:t xml:space="preserve">6.1 Core Novelty</w:t>
      </w:r>
    </w:p>
    <w:p>
      <w:pPr>
        <w:spacing w:after="80"/>
      </w:pPr>
      <w:r>
        <w:rPr>
          <w:b/>
          <w:bCs/>
        </w:rPr>
        <w:t xml:space="preserve">Rating: </w:t>
      </w:r>
      <w:r>
        <w:rPr>
          <w:b/>
          <w:bCs/>
          <w:color w:val="E67E22"/>
          <w:sz w:val="20"/>
          <w:szCs w:val="20"/>
        </w:rPr>
        <w:t xml:space="preserve">ADEQUATE</w:t>
      </w:r>
    </w:p>
    <w:p>
      <w:pPr>
        <w:spacing w:after="200"/>
      </w:pPr>
      <w:r>
        <w:t xml:space="preserve">The paper occupies a genuinely empty intersection: no prior work examines regime-conditional Granger causality between Fama-French equity factors. Both components (regime-switching and Granger causality) are mature methods, so the novelty is "application + structural break timing" rather than methodological innovation. The structural break documentation (pre-GFC strong, post-GFC absent, OOS partial re-emergence) is a meaningful empirical contribution to the factor interactions literature.</w:t>
      </w:r>
    </w:p>
    <w:p>
      <w:pPr>
        <w:pStyle w:val="Heading2"/>
      </w:pPr>
      <w:r>
        <w:t xml:space="preserve">6.2 Methodological Contribution</w:t>
      </w:r>
    </w:p>
    <w:p>
      <w:pPr>
        <w:spacing w:after="200"/>
      </w:pPr>
      <w:r>
        <w:t xml:space="preserve">The two-stage approach (HMM then Granger) is standard practice, not a contribution. The frozen OOS design is gold-standard but routine post-Welch &amp; Goyal (2008). The paper's strength is rigorous execution—particularly the local optima taxonomy, prevalence reweighting, and multi-scale sensitivity—rather than methodological innovation.</w:t>
      </w:r>
    </w:p>
    <w:p>
      <w:pPr>
        <w:pStyle w:val="Heading2"/>
      </w:pPr>
      <w:r>
        <w:t xml:space="preserve">6.3 Practical Contribution</w:t>
      </w:r>
    </w:p>
    <w:p>
      <w:pPr>
        <w:spacing w:after="200"/>
      </w:pPr>
      <w:r>
        <w:t xml:space="preserve">The paper honestly reports that the finding has no practical trading value (Sharpe=-0.07) and the VaR improvement comes from regime architecture, not the Granger signal. The practical contribution is therefore limited to the academic insight that factor-timing models assuming regime-invariant cross-factor relationships may misspecify dynamics during structural transitions.</w:t>
      </w:r>
    </w:p>
    <w:p>
      <w:pPr>
        <w:pStyle w:val="Heading2"/>
      </w:pPr>
      <w:r>
        <w:t xml:space="preserve">6.4 Missing Analyses</w:t>
      </w:r>
    </w:p>
    <w:p>
      <w:pPr>
        <w:spacing w:after="80"/>
      </w:pPr>
      <w:r>
        <w:t xml:space="preserve">The following would strengthen the contribution:</w:t>
      </w:r>
    </w:p>
    <w:p>
      <w:pPr>
        <w:pStyle w:val="ListParagraph"/>
        <w:numPr>
          <w:ilvl w:val="0"/>
          <w:numId w:val="2"/>
        </w:numPr>
        <w:spacing w:after="60"/>
      </w:pPr>
      <w:r>
        <w:rPr>
          <w:b/>
          <w:bCs/>
        </w:rPr>
        <w:t xml:space="preserve">International factor data: </w:t>
      </w:r>
      <w:r>
        <w:t xml:space="preserve">US-only limits generalizability. Japanese, European, and emerging-market factors are available from Kenneth French's library.</w:t>
      </w:r>
    </w:p>
    <w:p>
      <w:pPr>
        <w:pStyle w:val="ListParagraph"/>
        <w:numPr>
          <w:ilvl w:val="0"/>
          <w:numId w:val="2"/>
        </w:numPr>
        <w:spacing w:after="60"/>
      </w:pPr>
      <w:r>
        <w:rPr>
          <w:b/>
          <w:bCs/>
        </w:rPr>
        <w:t xml:space="preserve">DCC-GARCH comparison: </w:t>
      </w:r>
      <w:r>
        <w:t xml:space="preserve">Is the "causal break" really just a correlation break? Time-varying correlations should be compared.</w:t>
      </w:r>
    </w:p>
    <w:p>
      <w:pPr>
        <w:pStyle w:val="ListParagraph"/>
        <w:numPr>
          <w:ilvl w:val="0"/>
          <w:numId w:val="2"/>
        </w:numPr>
        <w:spacing w:after="60"/>
      </w:pPr>
      <w:r>
        <w:rPr>
          <w:b/>
          <w:bCs/>
        </w:rPr>
        <w:t xml:space="preserve">Alternative factor models: </w:t>
      </w:r>
      <w:r>
        <w:t xml:space="preserve">q-factor model (Hou-Xue-Zhang 2015) and Stambaugh-Yuan mispricing factors would test cross-model robustness.</w:t>
      </w:r>
    </w:p>
    <w:p>
      <w:pPr>
        <w:pStyle w:val="ListParagraph"/>
        <w:numPr>
          <w:ilvl w:val="0"/>
          <w:numId w:val="2"/>
        </w:numPr>
        <w:spacing w:after="60"/>
      </w:pPr>
      <w:r>
        <w:rPr>
          <w:b/>
          <w:bCs/>
        </w:rPr>
        <w:t xml:space="preserve">Bayesian model averaging over K: </w:t>
      </w:r>
      <w:r>
        <w:t xml:space="preserve">Would resolve the K-sensitivity problem (K=2 null, K=3 significant, K=4 marginal).</w:t>
      </w:r>
    </w:p>
    <w:p>
      <w:pPr>
        <w:pStyle w:val="ListParagraph"/>
        <w:numPr>
          <w:ilvl w:val="0"/>
          <w:numId w:val="2"/>
        </w:numPr>
        <w:spacing w:after="200"/>
      </w:pPr>
      <w:r>
        <w:rPr>
          <w:b/>
          <w:bCs/>
        </w:rPr>
        <w:t xml:space="preserve">Neural Granger Causality: </w:t>
      </w:r>
      <w:r>
        <w:t xml:space="preserve">Tank et al. (2022, already cited) would strengthen ICAIF positioning.</w:t>
      </w:r>
    </w:p>
    <w:p>
      <w:pPr>
        <w:pStyle w:val="Heading2"/>
      </w:pPr>
      <w:r>
        <w:t xml:space="preserve">6.5 ICAIF Ranking Estimate</w:t>
      </w:r>
    </w:p>
    <w:p>
      <w:pPr>
        <w:spacing w:after="80"/>
      </w:pPr>
      <w:r>
        <w:rPr>
          <w:b/>
          <w:bCs/>
          <w:color w:val="E67E22"/>
          <w:sz w:val="22"/>
          <w:szCs w:val="22"/>
        </w:rPr>
        <w:t xml:space="preserve">Estimated percentile: 45–55th (borderline)</w:t>
      </w:r>
    </w:p>
    <w:p>
      <w:pPr>
        <w:spacing w:after="200"/>
      </w:pPr>
      <w:r>
        <w:t xml:space="preserve">Strong econometrics + honest reporting, but weak ML positioning and no practical value. Better positioned for Journal of Financial Econometrics or Quantitative Finance than for an AI-in-Finance venue.</w:t>
      </w:r>
    </w:p>
    <w:p>
      <w:r>
        <w:br w:type="page"/>
      </w:r>
    </w:p>
    <w:p>
      <w:pPr>
        <w:pStyle w:val="Heading1"/>
      </w:pPr>
      <w:r>
        <w:t xml:space="preserve">7. Round 1 Revision Verification</w:t>
      </w:r>
    </w:p>
    <w:p>
      <w:pPr>
        <w:spacing w:after="120"/>
      </w:pPr>
      <w:r>
        <w:t xml:space="preserve">All seven issues from Round 1 were addressed. Verification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b/>
                <w:bCs/>
                <w:color w:val="FFFFFF"/>
                <w:sz w:val="18"/>
                <w:szCs w:val="18"/>
              </w:rPr>
              <w:t xml:space="preserve">Issue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b/>
                <w:bCs/>
                <w:color w:val="FFFFFF"/>
                <w:sz w:val="18"/>
                <w:szCs w:val="18"/>
              </w:rPr>
              <w:t xml:space="preserve">Status</w:t>
            </w:r>
          </w:p>
        </w:tc>
        <w:tc>
          <w:tcPr>
            <w:tcW w:type="dxa" w:w="4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b/>
                <w:bCs/>
                <w:color w:val="FFFFFF"/>
                <w:sz w:val="18"/>
                <w:szCs w:val="18"/>
              </w:rPr>
              <w:t xml:space="preserve">Notes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1. Overcaveation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18"/>
                <w:szCs w:val="18"/>
              </w:rPr>
              <w:t xml:space="preserve">✅ Fixed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Reduced from 4 to 1 occurrence of "predictive precedence"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2. Scale Convention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18"/>
                <w:szCs w:val="18"/>
              </w:rPr>
              <w:t xml:space="preserve">✅ Fixed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Percentage-unit pre-specified at lines 187–193</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3. Breakpoint Contradiction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18"/>
                <w:szCs w:val="18"/>
              </w:rPr>
              <w:t xml:space="preserve">⚠️ Partial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June 1998 acknowledged but narrative still centers Jan 2008</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4. Prevalence Reweighting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18"/>
                <w:szCs w:val="18"/>
              </w:rPr>
              <w:t xml:space="preserve">✅ Added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Bootstrap shows 9.9% subsample significance—but needs more prominence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5. BH FDR Correction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18"/>
                <w:szCs w:val="18"/>
              </w:rPr>
              <w:t xml:space="preserve">✅ Added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No pairs survive FDR; honestly reported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6. TOST Margin Sensitivity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18"/>
                <w:szCs w:val="18"/>
              </w:rPr>
              <w:t xml:space="preserve">⚠️ Partial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Margin grid added but calibration still post-hoc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7. HAC Bandwidth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18"/>
                <w:szCs w:val="18"/>
              </w:rPr>
              <w:t xml:space="preserve">✅ Fixed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Andrews (1991) + NW + rule-of-thumb; consistent results</w:t>
            </w:r>
          </w:p>
        </w:tc>
      </w:tr>
    </w:tbl>
    <w:p>
      <w:pPr>
        <w:spacing w:after="100" w:before="100"/>
      </w:pPr>
      <w:r>
        <w:t xml:space="preserve"/>
      </w:r>
    </w:p>
    <w:p>
      <w:r>
        <w:br w:type="page"/>
      </w:r>
    </w:p>
    <w:p>
      <w:pPr>
        <w:pStyle w:val="Heading1"/>
      </w:pPr>
      <w:r>
        <w:t xml:space="preserve">8. Prioritized Recommendations</w:t>
      </w:r>
    </w:p>
    <w:p>
      <w:pPr>
        <w:spacing w:after="100"/>
      </w:pPr>
      <w:r>
        <w:rPr>
          <w:b/>
          <w:bCs/>
          <w:color w:val="C0392B"/>
          <w:sz w:val="22"/>
          <w:szCs w:val="22"/>
        </w:rPr>
        <w:t xml:space="preserve">Essential (must address for acceptance):</w:t>
      </w:r>
    </w:p>
    <w:p>
      <w:pPr>
        <w:pStyle w:val="ListParagraph"/>
        <w:numPr>
          <w:ilvl w:val="0"/>
          <w:numId w:val="3"/>
        </w:numPr>
        <w:spacing w:after="80"/>
      </w:pPr>
      <w:r>
        <w:rPr>
          <w:b/>
          <w:bCs/>
        </w:rPr>
        <w:t xml:space="preserve">Reframe structural break narrative. </w:t>
      </w:r>
      <w:r>
        <w:t xml:space="preserve">Acknowledge June 1998 as the primary data-driven break in the abstract and conclusion. Options: (A) multi-break framing or (B) explicit pre-specification of January 2008 as theory-driven.</w:t>
      </w:r>
    </w:p>
    <w:p>
      <w:pPr>
        <w:pStyle w:val="ListParagraph"/>
        <w:numPr>
          <w:ilvl w:val="0"/>
          <w:numId w:val="3"/>
        </w:numPr>
        <w:spacing w:after="80"/>
      </w:pPr>
      <w:r>
        <w:rPr>
          <w:b/>
          <w:bCs/>
        </w:rPr>
        <w:t xml:space="preserve">Prominently report prevalence fragility. </w:t>
      </w:r>
      <w:r>
        <w:t xml:space="preserve">The 9.9% bootstrap subsample significance rate and median p=0.153 should appear wherever the OOS p=0.041 is cited. Consider adding to Table 3 caption or as a separate robustness row.</w:t>
      </w:r>
    </w:p>
    <w:p>
      <w:pPr>
        <w:pStyle w:val="ListParagraph"/>
        <w:numPr>
          <w:ilvl w:val="0"/>
          <w:numId w:val="3"/>
        </w:numPr>
        <w:spacing w:after="200"/>
      </w:pPr>
      <w:r>
        <w:rPr>
          <w:b/>
          <w:bCs/>
        </w:rPr>
        <w:t xml:space="preserve">Fix TOST language. </w:t>
      </w:r>
      <w:r>
        <w:t xml:space="preserve">Replace "TOST-confirmed absent" with "consistent with zero" or "not significantly different from zero." If keeping TOST, pre-specify the margin on economic grounds (not post-hoc calibration).</w:t>
      </w:r>
    </w:p>
    <w:p>
      <w:pPr>
        <w:spacing w:after="100"/>
      </w:pPr>
      <w:r>
        <w:rPr>
          <w:b/>
          <w:bCs/>
          <w:color w:val="E67E22"/>
          <w:sz w:val="22"/>
          <w:szCs w:val="22"/>
        </w:rPr>
        <w:t xml:space="preserve">Important (strongly recommended):</w:t>
      </w:r>
    </w:p>
    <w:p>
      <w:pPr>
        <w:pStyle w:val="ListParagraph"/>
        <w:numPr>
          <w:ilvl w:val="0"/>
          <w:numId w:val="3"/>
        </w:numPr>
        <w:spacing w:after="80"/>
      </w:pPr>
      <w:r>
        <w:rPr>
          <w:b/>
          <w:bCs/>
        </w:rPr>
        <w:t xml:space="preserve">Add confidence intervals to effect-size visualizations. </w:t>
      </w:r>
      <w:r>
        <w:t xml:space="preserve">A figure showing Granger coefficients with 95% CIs by regime would help readers assess the small ΔR² magnitudes.</w:t>
      </w:r>
    </w:p>
    <w:p>
      <w:pPr>
        <w:pStyle w:val="ListParagraph"/>
        <w:numPr>
          <w:ilvl w:val="0"/>
          <w:numId w:val="3"/>
        </w:numPr>
        <w:spacing w:after="80"/>
      </w:pPr>
      <w:r>
        <w:rPr>
          <w:b/>
          <w:bCs/>
        </w:rPr>
        <w:t xml:space="preserve">Strengthen ICAIF positioning. </w:t>
      </w:r>
      <w:r>
        <w:t xml:space="preserve">Either front-load ML diagnostics ("Why HMMs Suffice") or add Neural Granger Causality comparison. Current ML content is appendix-only and reads as an afterthought.</w:t>
      </w:r>
    </w:p>
    <w:p>
      <w:pPr>
        <w:pStyle w:val="ListParagraph"/>
        <w:numPr>
          <w:ilvl w:val="0"/>
          <w:numId w:val="3"/>
        </w:numPr>
        <w:spacing w:after="80"/>
      </w:pPr>
      <w:r>
        <w:rPr>
          <w:b/>
          <w:bCs/>
        </w:rPr>
        <w:t xml:space="preserve">Consolidate code before release. </w:t>
      </w:r>
      <w:r>
        <w:t xml:space="preserve">Remove hardcoded paths, reconcile duplicate implementations, and document which specification is canonical. Current reproducibility score for OOS claims is 55/100.</w:t>
      </w:r>
    </w:p>
    <w:p>
      <w:pPr>
        <w:pStyle w:val="ListParagraph"/>
        <w:numPr>
          <w:ilvl w:val="0"/>
          <w:numId w:val="3"/>
        </w:numPr>
        <w:spacing w:after="200"/>
      </w:pPr>
      <w:r>
        <w:rPr>
          <w:b/>
          <w:bCs/>
        </w:rPr>
        <w:t xml:space="preserve">Clarify Crisis regime naming. </w:t>
      </w:r>
      <w:r>
        <w:t xml:space="preserve">The primary fit assigns 0% of 2008 to "Crisis." Either relabel (e.g., "High-Kurtosis") or provide clearer justification for the mismatch.</w:t>
      </w:r>
    </w:p>
    <w:p>
      <w:pPr>
        <w:spacing w:after="100"/>
      </w:pPr>
      <w:r>
        <w:rPr>
          <w:b/>
          <w:bCs/>
          <w:color w:val="2E75B6"/>
          <w:sz w:val="22"/>
          <w:szCs w:val="22"/>
        </w:rPr>
        <w:t xml:space="preserve">Desirable (would strengthen the paper):</w:t>
      </w:r>
    </w:p>
    <w:p>
      <w:pPr>
        <w:pStyle w:val="ListParagraph"/>
        <w:numPr>
          <w:ilvl w:val="0"/>
          <w:numId w:val="3"/>
        </w:numPr>
        <w:spacing w:after="80"/>
      </w:pPr>
      <w:r>
        <w:rPr>
          <w:b/>
          <w:bCs/>
        </w:rPr>
        <w:t xml:space="preserve">International replication. </w:t>
      </w:r>
      <w:r>
        <w:t xml:space="preserve">Japanese, European factor data from Kenneth French's library would test generalizability beyond US markets.</w:t>
      </w:r>
    </w:p>
    <w:p>
      <w:pPr>
        <w:pStyle w:val="ListParagraph"/>
        <w:numPr>
          <w:ilvl w:val="0"/>
          <w:numId w:val="3"/>
        </w:numPr>
        <w:spacing w:after="80"/>
      </w:pPr>
      <w:r>
        <w:rPr>
          <w:b/>
          <w:bCs/>
        </w:rPr>
        <w:t xml:space="preserve">DCC-GARCH comparison. </w:t>
      </w:r>
      <w:r>
        <w:t xml:space="preserve">Distinguish whether the structural break is in causal structure (Granger) vs. correlation structure (DCC).</w:t>
      </w:r>
    </w:p>
    <w:p>
      <w:pPr>
        <w:pStyle w:val="ListParagraph"/>
        <w:numPr>
          <w:ilvl w:val="0"/>
          <w:numId w:val="3"/>
        </w:numPr>
        <w:spacing w:after="200"/>
      </w:pPr>
      <w:r>
        <w:rPr>
          <w:b/>
          <w:bCs/>
        </w:rPr>
        <w:t xml:space="preserve">Bayesian model averaging over K. </w:t>
      </w:r>
      <w:r>
        <w:t xml:space="preserve">Would resolve K-sensitivity (K=2 null, K=3 sig, K=4 marginal) without ad-hoc selection.</w:t>
      </w:r>
    </w:p>
    <w:p>
      <w:pPr>
        <w:pStyle w:val="Heading1"/>
      </w:pPr>
      <w:r>
        <w:t xml:space="preserve">9. Final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200"/>
              <w:left w:type="dxa" w:w="300"/>
              <w:bottom w:type="dxa" w:w="200"/>
              <w:right w:type="dxa" w:w="300"/>
            </w:tcMar>
          </w:tcPr>
          <w:p>
            <w:pPr>
              <w:spacing w:after="120"/>
              <w:jc w:val="center"/>
            </w:pPr>
            <w:r>
              <w:rPr>
                <w:b/>
                <w:bCs/>
                <w:color w:val="C0392B"/>
                <w:sz w:val="28"/>
                <w:szCs w:val="28"/>
              </w:rPr>
              <w:t xml:space="preserve">RECOMMENDATION: MAJOR REVISION</w:t>
            </w:r>
          </w:p>
          <w:p>
            <w:pPr>
              <w:spacing w:after="100"/>
            </w:pPr>
            <w:r>
              <w:rPr>
                <w:sz w:val="20"/>
                <w:szCs w:val="20"/>
              </w:rPr>
              <w:t xml:space="preserve">The paper makes a genuine empirical contribution—documenting a structural break in regime-conditional factor predictability—with admirable transparency about limitations. The frozen OOS design is methodologically exemplary. However, three issues prevent acceptance: (1) the narrative misrepresents the data-driven breakpoint, (2) the OOS result is 90% prevalence-dependent, and (3) TOST equivalence language overstates the evidence.</w:t>
            </w:r>
          </w:p>
          <w:p>
            <w:pPr>
              <w:spacing w:after="100"/>
            </w:pPr>
            <w:r>
              <w:rPr>
                <w:sz w:val="20"/>
                <w:szCs w:val="20"/>
              </w:rPr>
              <w:t xml:space="preserve">These revisions are feasible. The underlying work is solid, and addressing these concerns would produce a strong paper. For ICAIF specifically, strengthening the ML positioning would further improve the fit.</w:t>
            </w:r>
          </w:p>
          <w:p>
            <w:pPr>
              <w:spacing w:after="60"/>
            </w:pPr>
            <w:r>
              <w:rPr>
                <w:b/>
                <w:bCs/>
                <w:sz w:val="20"/>
                <w:szCs w:val="20"/>
              </w:rPr>
              <w:t xml:space="preserve">Strengths: </w:t>
            </w:r>
            <w:r>
              <w:rPr>
                <w:sz w:val="20"/>
                <w:szCs w:val="20"/>
              </w:rPr>
              <w:t xml:space="preserve">Pre-GFC finding (p=8.75×10⁻⁹) is extremely robust; frozen OOS is gold-standard; local optima taxonomy is exemplary; transparency exceeds typical standards.</w:t>
            </w:r>
          </w:p>
          <w:p>
            <w:r>
              <w:rPr>
                <w:b/>
                <w:bCs/>
                <w:sz w:val="20"/>
                <w:szCs w:val="20"/>
              </w:rPr>
              <w:t xml:space="preserve">Weaknesses: </w:t>
            </w:r>
            <w:r>
              <w:rPr>
                <w:sz w:val="20"/>
                <w:szCs w:val="20"/>
              </w:rPr>
              <w:t xml:space="preserve">Narrative–data misalignment on breakpoint; OOS fragility to prevalence; no practical value (Sharpe=-0.07); limited scope (US-only, one primary pair); weak ICAIF/ML positioning.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8C8D"/>
        <w:sz w:val="16"/>
        <w:szCs w:val="16"/>
      </w:rPr>
      <w:t xml:space="preserve">Page </w:t>
    </w:r>
    <w:r>
      <w:rPr>
        <w:color w:val="7F8C8D"/>
        <w:sz w:val="16"/>
        <w:szCs w:val="16"/>
      </w:rPr>
      <w:fldChar w:fldCharType="begin"/>
      <w:instrText xml:space="preserve">PAGE</w:instrText>
      <w:fldChar w:fldCharType="separate"/>
      <w:fldChar w:fldCharType="end"/>
    </w:r>
    <w:r>
      <w:rPr>
        <w:color w:val="7F8C8D"/>
        <w:sz w:val="16"/>
        <w:szCs w:val="16"/>
      </w:rPr>
      <w:t xml:space="preserve"> — Confidential Review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8C8D"/>
        <w:sz w:val="16"/>
        <w:szCs w:val="16"/>
      </w:rPr>
      <w:t xml:space="preserve">ICAIF 2026 — Peer Review (Round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3A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2026-02-27T10:48:16.802Z</dcterms:created>
  <dcterms:modified xsi:type="dcterms:W3CDTF">2026-02-27T10:48:16.802Z</dcterms:modified>
</cp:coreProperties>
</file>

<file path=docProps/custom.xml><?xml version="1.0" encoding="utf-8"?>
<Properties xmlns="http://schemas.openxmlformats.org/officeDocument/2006/custom-properties" xmlns:vt="http://schemas.openxmlformats.org/officeDocument/2006/docPropsVTypes"/>
</file>