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65D"/>
          <w:sz w:val="40"/>
          <w:szCs w:val="40"/>
        </w:rPr>
        <w:t xml:space="preserve">COMPREHENSIVE PEER REVIEW</w:t>
      </w:r>
    </w:p>
    <w:p>
      <w:pPr>
        <w:spacing w:after="100"/>
        <w:jc w:val="center"/>
      </w:pPr>
      <w:r>
        <w:rPr>
          <w:rFonts w:ascii="Arial" w:cs="Arial" w:eastAsia="Arial" w:hAnsi="Arial"/>
          <w:color w:val="4A5568"/>
          <w:sz w:val="24"/>
          <w:szCs w:val="24"/>
        </w:rPr>
        <w:t xml:space="preserve">Multi-Dimensional Analysis with Parallel Expert Subagents</w:t>
      </w:r>
    </w:p>
    <w:p>
      <w:pPr>
        <w:spacing w:before="400"/>
        <w:jc w:val="center"/>
      </w:pPr>
      <w:r>
        <w:rPr>
          <w:rFonts w:ascii="Arial" w:cs="Arial" w:eastAsia="Arial" w:hAnsi="Arial"/>
          <w:color w:val="2D3748"/>
          <w:sz w:val="22"/>
          <w:szCs w:val="22"/>
        </w:rPr>
        <w:t xml:space="preserve">Paper: </w:t>
      </w:r>
      <w:r>
        <w:rPr>
          <w:rFonts w:ascii="Arial" w:cs="Arial" w:eastAsia="Arial" w:hAnsi="Arial"/>
          <w:i/>
          <w:iCs/>
          <w:color w:val="2D3748"/>
          <w:sz w:val="22"/>
          <w:szCs w:val="22"/>
        </w:rPr>
        <w:t xml:space="preserve">"The Rise and Fall of Cross-Factor Predictability:</w:t>
      </w:r>
    </w:p>
    <w:p>
      <w:pPr>
        <w:spacing w:after="200"/>
        <w:jc w:val="center"/>
      </w:pPr>
      <w:r>
        <w:rPr>
          <w:rFonts w:ascii="Arial" w:cs="Arial" w:eastAsia="Arial" w:hAnsi="Arial"/>
          <w:i/>
          <w:iCs/>
          <w:color w:val="2D3748"/>
          <w:sz w:val="22"/>
          <w:szCs w:val="22"/>
        </w:rPr>
        <w:t xml:space="preserve">Regime-Dependent HML→SMB Granger Causality"</w:t>
      </w:r>
    </w:p>
    <w:p>
      <w:pPr>
        <w:spacing w:after="100"/>
        <w:jc w:val="center"/>
      </w:pPr>
      <w:r>
        <w:rPr>
          <w:rFonts w:ascii="Arial" w:cs="Arial" w:eastAsia="Arial" w:hAnsi="Arial"/>
          <w:color w:val="4A5568"/>
          <w:sz w:val="20"/>
          <w:szCs w:val="20"/>
        </w:rPr>
        <w:t xml:space="preserve">Venue: ICAIF 2026 (ACM International Conference on AI in Finance)</w:t>
      </w:r>
    </w:p>
    <w:p>
      <w:pPr>
        <w:spacing w:after="100"/>
        <w:jc w:val="center"/>
      </w:pPr>
      <w:r>
        <w:rPr>
          <w:rFonts w:ascii="Arial" w:cs="Arial" w:eastAsia="Arial" w:hAnsi="Arial"/>
          <w:color w:val="4A5568"/>
          <w:sz w:val="20"/>
          <w:szCs w:val="20"/>
        </w:rPr>
        <w:t xml:space="preserve">Author: Chorok Lee (KAIST)</w:t>
      </w:r>
    </w:p>
    <w:p>
      <w:pPr>
        <w:spacing w:after="400"/>
        <w:jc w:val="center"/>
      </w:pPr>
      <w:r>
        <w:rPr>
          <w:rFonts w:ascii="Arial" w:cs="Arial" w:eastAsia="Arial" w:hAnsi="Arial"/>
          <w:color w:val="4A5568"/>
          <w:sz w:val="20"/>
          <w:szCs w:val="20"/>
        </w:rPr>
        <w:t xml:space="preserve">Review Date: February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2B6CB0" w:sz="3"/>
              <w:bottom w:val="single" w:color="2B6CB0" w:sz="3"/>
              <w:right w:val="single" w:color="2B6CB0" w:sz="3"/>
            </w:tcBorders>
            <w:shd w:fill="EBF8FF" w:val="clear"/>
            <w:tcMar>
              <w:top w:type="dxa" w:w="200"/>
              <w:left w:type="dxa" w:w="300"/>
              <w:bottom w:type="dxa" w:w="200"/>
              <w:right w:type="dxa" w:w="300"/>
            </w:tcMar>
          </w:tcPr>
          <w:p>
            <w:pPr>
              <w:spacing w:after="120"/>
              <w:jc w:val="center"/>
            </w:pPr>
            <w:r>
              <w:rPr>
                <w:rFonts w:ascii="Arial" w:cs="Arial" w:eastAsia="Arial" w:hAnsi="Arial"/>
                <w:b/>
                <w:bCs/>
                <w:color w:val="1A365D"/>
                <w:sz w:val="26"/>
                <w:szCs w:val="26"/>
              </w:rPr>
              <w:t xml:space="preserve">OVERALL RECOMMENDATION: ACCEPT WITH MAJOR REVISIONS</w:t>
            </w:r>
          </w:p>
          <w:p>
            <w:pPr>
              <w:jc w:val="center"/>
            </w:pPr>
            <w:r>
              <w:rPr>
                <w:rFonts w:ascii="Arial" w:cs="Arial" w:eastAsia="Arial" w:hAnsi="Arial"/>
                <w:color w:val="2D3748"/>
                <w:sz w:val="18"/>
                <w:szCs w:val="18"/>
              </w:rPr>
              <w:t xml:space="preserve">Statistical Rigor: 7.5/10  |  Economic Contribution: 6/10  |  Presentation: 7.5/10  |  ML/Robustness: 7/10</w:t>
            </w:r>
          </w:p>
        </w:tc>
      </w:tr>
    </w:tbl>
    <w:p>
      <w:r>
        <w:br w:type="page"/>
      </w:r>
    </w:p>
    <w:p>
      <w:pPr>
        <w:pStyle w:val="Heading1"/>
        <w:spacing w:after="200" w:before="360"/>
      </w:pPr>
      <w:r>
        <w:rPr>
          <w:rFonts w:ascii="Arial" w:cs="Arial" w:eastAsia="Arial" w:hAnsi="Arial"/>
          <w:b/>
          <w:bCs/>
          <w:color w:val="1A365D"/>
          <w:sz w:val="32"/>
          <w:szCs w:val="32"/>
        </w:rPr>
        <w:t xml:space="preserve">1. Executive Summary</w:t>
      </w:r>
    </w:p>
    <w:p>
      <w:pPr>
        <w:spacing w:after="120"/>
      </w:pPr>
      <w:r>
        <w:rPr>
          <w:rFonts w:ascii="Arial" w:cs="Arial" w:eastAsia="Arial" w:hAnsi="Arial"/>
          <w:sz w:val="20"/>
          <w:szCs w:val="20"/>
        </w:rPr>
        <w:t xml:space="preserve">This paper documents a regime-dependent Granger causality relationship between HML (value) and SMB (size) Fama-French factors using daily data from 1990–2024 and a Student-t Hidden Markov Model. The work was reviewed by four independent expert subagents examining statistical methodology, economic content, writing quality, and ML/robustness analysis.</w:t>
      </w:r>
    </w:p>
    <w:p>
      <w:pPr>
        <w:pStyle w:val="Heading2"/>
        <w:spacing w:after="160" w:before="280"/>
      </w:pPr>
      <w:r>
        <w:rPr>
          <w:rFonts w:ascii="Arial" w:cs="Arial" w:eastAsia="Arial" w:hAnsi="Arial"/>
          <w:b/>
          <w:bCs/>
          <w:color w:val="2C5282"/>
          <w:sz w:val="26"/>
          <w:szCs w:val="26"/>
        </w:rPr>
        <w:t xml:space="preserve">1.1 Core Findings of the Paper</w:t>
      </w:r>
    </w:p>
    <w:p>
      <w:pPr>
        <w:pStyle w:val="ListParagraph"/>
        <w:numPr>
          <w:ilvl w:val="0"/>
          <w:numId w:val="2"/>
        </w:numPr>
        <w:spacing w:after="80"/>
      </w:pPr>
      <w:r>
        <w:rPr>
          <w:rFonts w:ascii="Arial" w:cs="Arial" w:eastAsia="Arial" w:hAnsi="Arial"/>
          <w:b/>
          <w:bCs/>
          <w:sz w:val="20"/>
          <w:szCs w:val="20"/>
        </w:rPr>
        <w:t xml:space="preserve">Main finding (strong): </w:t>
      </w:r>
      <w:r>
        <w:rPr>
          <w:rFonts w:ascii="Arial" w:cs="Arial" w:eastAsia="Arial" w:hAnsi="Arial"/>
          <w:sz w:val="20"/>
          <w:szCs w:val="20"/>
        </w:rPr>
        <w:t xml:space="preserve">HML→SMB Granger causality is Bonferroni-significant in the pre-crisis Normal regime (p = 8.75 × 10⁻⁹), with a data-driven structural break at June 1998 (sup-F p = 1.23 × 10⁻¹³) and secondary deterioration at January 2008. Post-2008, the relationship is indistinguishable from zero for 16 years.</w:t>
      </w:r>
    </w:p>
    <w:p>
      <w:pPr>
        <w:pStyle w:val="ListParagraph"/>
        <w:numPr>
          <w:ilvl w:val="0"/>
          <w:numId w:val="2"/>
        </w:numPr>
        <w:spacing w:after="80"/>
      </w:pPr>
      <w:r>
        <w:rPr>
          <w:rFonts w:ascii="Arial" w:cs="Arial" w:eastAsia="Arial" w:hAnsi="Arial"/>
          <w:b/>
          <w:bCs/>
          <w:sz w:val="20"/>
          <w:szCs w:val="20"/>
        </w:rPr>
        <w:t xml:space="preserve">Secondary finding (fragile): </w:t>
      </w:r>
      <w:r>
        <w:rPr>
          <w:rFonts w:ascii="Arial" w:cs="Arial" w:eastAsia="Arial" w:hAnsi="Arial"/>
          <w:sz w:val="20"/>
          <w:szCs w:val="20"/>
        </w:rPr>
        <w:t xml:space="preserve">A frozen out-of-sample test detects prevalence-dependent re-emergence in the Elevated regime (HAC p = 0.041), but bootstrap reweighting yields median p = 0.153. Only 9.9% of subsamples achieve p &lt; 0.05. Does not survive Bonferroni correction.</w:t>
      </w:r>
    </w:p>
    <w:p>
      <w:pPr>
        <w:pStyle w:val="Heading2"/>
        <w:spacing w:after="160" w:before="280"/>
      </w:pPr>
      <w:r>
        <w:rPr>
          <w:rFonts w:ascii="Arial" w:cs="Arial" w:eastAsia="Arial" w:hAnsi="Arial"/>
          <w:b/>
          <w:bCs/>
          <w:color w:val="2C5282"/>
          <w:sz w:val="26"/>
          <w:szCs w:val="26"/>
        </w:rPr>
        <w:t xml:space="preserve">1.2 Consensus Verdict Across All Reviewers</w:t>
      </w:r>
    </w:p>
    <w:p>
      <w:pPr>
        <w:spacing w:after="120"/>
      </w:pPr>
      <w:r>
        <w:rPr>
          <w:rFonts w:ascii="Arial" w:cs="Arial" w:eastAsia="Arial" w:hAnsi="Arial"/>
          <w:sz w:val="20"/>
          <w:szCs w:val="20"/>
        </w:rPr>
        <w:t xml:space="preserve">All four reviewers agree: the in-sample structural break finding is robust and constitutes a genuine contribution. The OOS evidence is fragile and should be reframed as exploratory. The paper demonstrates exceptional transparency about limitations, which is rare and commendable. Major revisions focus on reframing OOS evidence, addressing HAC bandwidth choice, and clarifying the main/secondary contribution hierarchy.</w:t>
      </w:r>
    </w:p>
    <w:p>
      <w:r>
        <w:br w:type="page"/>
      </w:r>
    </w:p>
    <w:p>
      <w:pPr>
        <w:pStyle w:val="Heading1"/>
        <w:spacing w:after="200" w:before="360"/>
      </w:pPr>
      <w:r>
        <w:rPr>
          <w:rFonts w:ascii="Arial" w:cs="Arial" w:eastAsia="Arial" w:hAnsi="Arial"/>
          <w:b/>
          <w:bCs/>
          <w:color w:val="1A365D"/>
          <w:sz w:val="32"/>
          <w:szCs w:val="32"/>
        </w:rPr>
        <w:t xml:space="preserve">2. Statistical Methodology Review</w:t>
      </w:r>
    </w:p>
    <w:p>
      <w:pPr>
        <w:pStyle w:val="Heading2"/>
        <w:spacing w:after="160" w:before="280"/>
      </w:pPr>
      <w:r>
        <w:rPr>
          <w:rFonts w:ascii="Arial" w:cs="Arial" w:eastAsia="Arial" w:hAnsi="Arial"/>
          <w:b/>
          <w:bCs/>
          <w:color w:val="2C5282"/>
          <w:sz w:val="26"/>
          <w:szCs w:val="26"/>
        </w:rPr>
        <w:t xml:space="preserve">2.1 Strengths</w:t>
      </w:r>
    </w:p>
    <w:p>
      <w:pPr>
        <w:pStyle w:val="ListParagraph"/>
        <w:numPr>
          <w:ilvl w:val="0"/>
          <w:numId w:val="2"/>
        </w:numPr>
        <w:spacing w:after="80"/>
      </w:pPr>
      <w:r>
        <w:rPr>
          <w:rFonts w:ascii="Arial" w:cs="Arial" w:eastAsia="Arial" w:hAnsi="Arial"/>
          <w:b/>
          <w:bCs/>
          <w:sz w:val="20"/>
          <w:szCs w:val="20"/>
        </w:rPr>
        <w:t xml:space="preserve">Extraordinarily significant structural break: </w:t>
      </w:r>
      <w:r>
        <w:rPr>
          <w:rFonts w:ascii="Arial" w:cs="Arial" w:eastAsia="Arial" w:hAnsi="Arial"/>
          <w:sz w:val="20"/>
          <w:szCs w:val="20"/>
        </w:rPr>
        <w:t xml:space="preserve">The pre-crisis Normal-regime finding (p = 8.75 × 10⁻⁹) is robust across HAC bandwidths (1–30), lag specifications (1–15), and multiple HMM initializations. The sup-F identification of June 1998 as the primary break (p = 1.23 × 10⁻¹³) is compelling.</w:t>
      </w:r>
    </w:p>
    <w:p>
      <w:pPr>
        <w:pStyle w:val="ListParagraph"/>
        <w:numPr>
          <w:ilvl w:val="0"/>
          <w:numId w:val="2"/>
        </w:numPr>
        <w:spacing w:after="80"/>
      </w:pPr>
      <w:r>
        <w:rPr>
          <w:rFonts w:ascii="Arial" w:cs="Arial" w:eastAsia="Arial" w:hAnsi="Arial"/>
          <w:b/>
          <w:bCs/>
          <w:sz w:val="20"/>
          <w:szCs w:val="20"/>
        </w:rPr>
        <w:t xml:space="preserve">Principled OOS design: </w:t>
      </w:r>
      <w:r>
        <w:rPr>
          <w:rFonts w:ascii="Arial" w:cs="Arial" w:eastAsia="Arial" w:hAnsi="Arial"/>
          <w:sz w:val="20"/>
          <w:szCs w:val="20"/>
        </w:rPr>
        <w:t xml:space="preserve">The frozen-parameter approach (train 1990–2012, test 2013–2024 without refitting) follows Welch &amp; Goyal (2008) best practice and eliminates regime-identification circularity.</w:t>
      </w:r>
    </w:p>
    <w:p>
      <w:pPr>
        <w:pStyle w:val="ListParagraph"/>
        <w:numPr>
          <w:ilvl w:val="0"/>
          <w:numId w:val="2"/>
        </w:numPr>
        <w:spacing w:after="80"/>
      </w:pPr>
      <w:r>
        <w:rPr>
          <w:rFonts w:ascii="Arial" w:cs="Arial" w:eastAsia="Arial" w:hAnsi="Arial"/>
          <w:b/>
          <w:bCs/>
          <w:sz w:val="20"/>
          <w:szCs w:val="20"/>
        </w:rPr>
        <w:t xml:space="preserve">Comprehensive robustness: </w:t>
      </w:r>
      <w:r>
        <w:rPr>
          <w:rFonts w:ascii="Arial" w:cs="Arial" w:eastAsia="Arial" w:hAnsi="Arial"/>
          <w:sz w:val="20"/>
          <w:szCs w:val="20"/>
        </w:rPr>
        <w:t xml:space="preserve">50-seed multistart revealing 7 distinct local optima clusters, with the OOS Elevated result significant in all 7 clusters (F-p &lt; 0.05 in 7/7).</w:t>
      </w:r>
    </w:p>
    <w:p>
      <w:pPr>
        <w:pStyle w:val="ListParagraph"/>
        <w:numPr>
          <w:ilvl w:val="0"/>
          <w:numId w:val="2"/>
        </w:numPr>
        <w:spacing w:after="80"/>
      </w:pPr>
      <w:r>
        <w:rPr>
          <w:rFonts w:ascii="Arial" w:cs="Arial" w:eastAsia="Arial" w:hAnsi="Arial"/>
          <w:b/>
          <w:bCs/>
          <w:sz w:val="20"/>
          <w:szCs w:val="20"/>
        </w:rPr>
        <w:t xml:space="preserve">Multiple-testing discipline: </w:t>
      </w:r>
      <w:r>
        <w:rPr>
          <w:rFonts w:ascii="Arial" w:cs="Arial" w:eastAsia="Arial" w:hAnsi="Arial"/>
          <w:sz w:val="20"/>
          <w:szCs w:val="20"/>
        </w:rPr>
        <w:t xml:space="preserve">In-sample Bonferroni at α/30 = 0.00033 is stringent and appropriate. All three correction frameworks (uncorrected, 3-regime, 30-pair) are transparently reported.</w:t>
      </w:r>
    </w:p>
    <w:p>
      <w:pPr>
        <w:pStyle w:val="Heading2"/>
        <w:spacing w:after="160" w:before="280"/>
      </w:pPr>
      <w:r>
        <w:rPr>
          <w:rFonts w:ascii="Arial" w:cs="Arial" w:eastAsia="Arial" w:hAnsi="Arial"/>
          <w:b/>
          <w:bCs/>
          <w:color w:val="2C5282"/>
          <w:sz w:val="26"/>
          <w:szCs w:val="26"/>
        </w:rPr>
        <w:t xml:space="preserve">2.2 Critical Issues</w:t>
      </w:r>
    </w:p>
    <w:p>
      <w:pPr>
        <w:pStyle w:val="Heading3"/>
        <w:spacing w:after="120" w:before="200"/>
      </w:pPr>
      <w:r>
        <w:rPr>
          <w:rFonts w:ascii="Arial" w:cs="Arial" w:eastAsia="Arial" w:hAnsi="Arial"/>
          <w:b/>
          <w:bCs/>
          <w:color w:val="2D3748"/>
          <w:sz w:val="22"/>
          <w:szCs w:val="22"/>
        </w:rPr>
        <w:t xml:space="preserve">Issue 1: HAC Bandwidth Selection (Severity: HIGH)</w:t>
      </w:r>
    </w:p>
    <w:p>
      <w:pPr>
        <w:spacing w:after="120"/>
      </w:pPr>
      <w:r>
        <w:rPr>
          <w:rFonts w:ascii="Arial" w:cs="Arial" w:eastAsia="Arial" w:hAnsi="Arial"/>
          <w:sz w:val="20"/>
          <w:szCs w:val="20"/>
        </w:rPr>
        <w:t xml:space="preserve">The paper uses Newey-West bandwidth = 1 (matching Granger lag) as the primary specification. This is the narrowest possible choice and produces the most favorable p-value (0.041). Standard approaches (Andrews automatic plug-in: B ≈ 2; Newey-West default: B ≈ 6) yield less favorable results. The 4.2× variation across bandwidths 1–30 (p ranges from 0.041 to 0.173) indicates genuine sensitivity.</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Adopt the Andrews automatic plug-in bandwidth (B ≈ 2) as the primary specification. Report bandwidth sensitivity in the main text, not just in robustness checks.</w:t>
      </w:r>
    </w:p>
    <w:p>
      <w:pPr>
        <w:pStyle w:val="Heading3"/>
        <w:spacing w:after="120" w:before="200"/>
      </w:pPr>
      <w:r>
        <w:rPr>
          <w:rFonts w:ascii="Arial" w:cs="Arial" w:eastAsia="Arial" w:hAnsi="Arial"/>
          <w:b/>
          <w:bCs/>
          <w:color w:val="2D3748"/>
          <w:sz w:val="22"/>
          <w:szCs w:val="22"/>
        </w:rPr>
        <w:t xml:space="preserve">Issue 2: Prevalence Reweighting (Severity: CRITICAL)</w:t>
      </w:r>
    </w:p>
    <w:p>
      <w:pPr>
        <w:spacing w:after="120"/>
      </w:pPr>
      <w:r>
        <w:rPr>
          <w:rFonts w:ascii="Arial" w:cs="Arial" w:eastAsia="Arial" w:hAnsi="Arial"/>
          <w:sz w:val="20"/>
          <w:szCs w:val="20"/>
        </w:rPr>
        <w:t xml:space="preserve">The Elevated regime expands from 13.7% (training) to 30.7% (test). Bootstrap reweighting to match training-period prevalence yields median p = 0.153, with only 9.9% of subsamples significant. The OOS significance is primarily driven by regime expansion, not by a stronger underlying relationship.</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Report the prevalence-reweighted p = 0.153 as a co-primary OOS result. Add a column to Table 4 showing bootstrap prevalence-matched median p. Reframe as regime-expansion evidence, not relationship re-emergence.</w:t>
      </w:r>
    </w:p>
    <w:p>
      <w:pPr>
        <w:pStyle w:val="Heading3"/>
        <w:spacing w:after="120" w:before="200"/>
      </w:pPr>
      <w:r>
        <w:rPr>
          <w:rFonts w:ascii="Arial" w:cs="Arial" w:eastAsia="Arial" w:hAnsi="Arial"/>
          <w:b/>
          <w:bCs/>
          <w:color w:val="2D3748"/>
          <w:sz w:val="22"/>
          <w:szCs w:val="22"/>
        </w:rPr>
        <w:t xml:space="preserve">Issue 3: Local Optima Trade-Off (Severity: HIGH)</w:t>
      </w:r>
    </w:p>
    <w:p>
      <w:pPr>
        <w:spacing w:after="120"/>
      </w:pPr>
      <w:r>
        <w:rPr>
          <w:rFonts w:ascii="Arial" w:cs="Arial" w:eastAsia="Arial" w:hAnsi="Arial"/>
          <w:sz w:val="20"/>
          <w:szCs w:val="20"/>
        </w:rPr>
        <w:t xml:space="preserve">The BIC-optimal fit (Cluster 1, BIC = 75,587) assigns 0% of 2008 crisis days to the Crisis regime, while an economically sensible fit (Cluster 5, BIC = 75,805, ΔBIC = 218) assigns 90%. The two-stage selection criterion (≥50% GFC detection, then highest LL) is pragmatic but post-hoc.</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Elevate the 7-cluster local optima taxonomy to the main text. Acknowledge the BIC vs. economic-validity trade-off explicitly. Present both approaches as complementary.</w:t>
      </w:r>
    </w:p>
    <w:p>
      <w:pPr>
        <w:pStyle w:val="Heading3"/>
        <w:spacing w:after="120" w:before="200"/>
      </w:pPr>
      <w:r>
        <w:rPr>
          <w:rFonts w:ascii="Arial" w:cs="Arial" w:eastAsia="Arial" w:hAnsi="Arial"/>
          <w:b/>
          <w:bCs/>
          <w:color w:val="2D3748"/>
          <w:sz w:val="22"/>
          <w:szCs w:val="22"/>
        </w:rPr>
        <w:t xml:space="preserve">Issue 4: Pair Selection Bias (Severity: MEDIUM)</w:t>
      </w:r>
    </w:p>
    <w:p>
      <w:pPr>
        <w:spacing w:after="120"/>
      </w:pPr>
      <w:r>
        <w:rPr>
          <w:rFonts w:ascii="Arial" w:cs="Arial" w:eastAsia="Arial" w:hAnsi="Arial"/>
          <w:sz w:val="20"/>
          <w:szCs w:val="20"/>
        </w:rPr>
        <w:t xml:space="preserve">HML–SMB was identified via economic priors combined with in-sample screening of all 30 directed pairs. This was not pre-registered. MOM→SMB actually ranks 1st by OOS F-statistic (F = 20.3 vs. HML→SMB F = 9.06). No pairs survive FDR correction in the OOS Elevated window.</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Apply 3-regime Bonferroni (α/3 = 0.0167) to OOS results as primary multiple-testing framework. Explicitly state that pre-registered replication on international data is needed for confirmation.</w:t>
      </w:r>
    </w:p>
    <w:p>
      <w:pPr>
        <w:pStyle w:val="Heading3"/>
        <w:spacing w:after="120" w:before="200"/>
      </w:pPr>
      <w:r>
        <w:rPr>
          <w:rFonts w:ascii="Arial" w:cs="Arial" w:eastAsia="Arial" w:hAnsi="Arial"/>
          <w:b/>
          <w:bCs/>
          <w:color w:val="2D3748"/>
          <w:sz w:val="22"/>
          <w:szCs w:val="22"/>
        </w:rPr>
        <w:t xml:space="preserve">Issue 5: Regime Boundary Drift (Severity: MEDIUM)</w:t>
      </w:r>
    </w:p>
    <w:p>
      <w:pPr>
        <w:spacing w:after="120"/>
      </w:pPr>
      <w:r>
        <w:rPr>
          <w:rFonts w:ascii="Arial" w:cs="Arial" w:eastAsia="Arial" w:hAnsi="Arial"/>
          <w:sz w:val="20"/>
          <w:szCs w:val="20"/>
        </w:rPr>
        <w:t xml:space="preserve">OOS boundary exclusion (7.4%) is 11× higher than in-sample (0.67%), signaling distributional mismatch between training and test periods. Excluded observations are regime-switching dynamics—precisely the highest-interest data.</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Tabulate exclusions by regime and period. Conduct sensitivity analysis with relaxed boundary rules to assess whether conclusions change.</w:t>
      </w:r>
    </w:p>
    <w:p>
      <w:r>
        <w:br w:type="page"/>
      </w:r>
    </w:p>
    <w:p>
      <w:pPr>
        <w:pStyle w:val="Heading1"/>
        <w:spacing w:after="200" w:before="360"/>
      </w:pPr>
      <w:r>
        <w:rPr>
          <w:rFonts w:ascii="Arial" w:cs="Arial" w:eastAsia="Arial" w:hAnsi="Arial"/>
          <w:b/>
          <w:bCs/>
          <w:color w:val="1A365D"/>
          <w:sz w:val="32"/>
          <w:szCs w:val="32"/>
        </w:rPr>
        <w:t xml:space="preserve">3. Economic Content and Interpretation</w:t>
      </w:r>
    </w:p>
    <w:p>
      <w:pPr>
        <w:pStyle w:val="Heading2"/>
        <w:spacing w:after="160" w:before="280"/>
      </w:pPr>
      <w:r>
        <w:rPr>
          <w:rFonts w:ascii="Arial" w:cs="Arial" w:eastAsia="Arial" w:hAnsi="Arial"/>
          <w:b/>
          <w:bCs/>
          <w:color w:val="2C5282"/>
          <w:sz w:val="26"/>
          <w:szCs w:val="26"/>
        </w:rPr>
        <w:t xml:space="preserve">3.1 Strengths</w:t>
      </w:r>
    </w:p>
    <w:p>
      <w:pPr>
        <w:pStyle w:val="ListParagraph"/>
        <w:numPr>
          <w:ilvl w:val="0"/>
          <w:numId w:val="2"/>
        </w:numPr>
        <w:spacing w:after="80"/>
      </w:pPr>
      <w:r>
        <w:rPr>
          <w:rFonts w:ascii="Arial" w:cs="Arial" w:eastAsia="Arial" w:hAnsi="Arial"/>
          <w:b/>
          <w:bCs/>
          <w:sz w:val="20"/>
          <w:szCs w:val="20"/>
        </w:rPr>
        <w:t xml:space="preserve">Well-motivated hypothesis: </w:t>
      </w:r>
      <w:r>
        <w:rPr>
          <w:rFonts w:ascii="Arial" w:cs="Arial" w:eastAsia="Arial" w:hAnsi="Arial"/>
          <w:sz w:val="20"/>
          <w:szCs w:val="20"/>
        </w:rPr>
        <w:t xml:space="preserve">The deleveraging cascade channel (forced unwinding of value positions deleverages associated size exposures) is economically plausible and grounded in the crowding literature (Marks 2019, Chincarini 2026, Betermier 2025).</w:t>
      </w:r>
    </w:p>
    <w:p>
      <w:pPr>
        <w:pStyle w:val="ListParagraph"/>
        <w:numPr>
          <w:ilvl w:val="0"/>
          <w:numId w:val="2"/>
        </w:numPr>
        <w:spacing w:after="80"/>
      </w:pPr>
      <w:r>
        <w:rPr>
          <w:rFonts w:ascii="Arial" w:cs="Arial" w:eastAsia="Arial" w:hAnsi="Arial"/>
          <w:b/>
          <w:bCs/>
          <w:sz w:val="20"/>
          <w:szCs w:val="20"/>
        </w:rPr>
        <w:t xml:space="preserve">Honest about practical irrelevance: </w:t>
      </w:r>
      <w:r>
        <w:rPr>
          <w:rFonts w:ascii="Arial" w:cs="Arial" w:eastAsia="Arial" w:hAnsi="Arial"/>
          <w:sz w:val="20"/>
          <w:szCs w:val="20"/>
        </w:rPr>
        <w:t xml:space="preserve">The paper openly states that ΔR² &lt; 2%, Sharpe = −0.07, and statistical predictability ≠ economic predictability. This transparency is commendable.</w:t>
      </w:r>
    </w:p>
    <w:p>
      <w:pPr>
        <w:pStyle w:val="ListParagraph"/>
        <w:numPr>
          <w:ilvl w:val="0"/>
          <w:numId w:val="2"/>
        </w:numPr>
        <w:spacing w:after="80"/>
      </w:pPr>
      <w:r>
        <w:rPr>
          <w:rFonts w:ascii="Arial" w:cs="Arial" w:eastAsia="Arial" w:hAnsi="Arial"/>
          <w:b/>
          <w:bCs/>
          <w:sz w:val="20"/>
          <w:szCs w:val="20"/>
        </w:rPr>
        <w:t xml:space="preserve">FF25 overlap evidence: </w:t>
      </w:r>
      <w:r>
        <w:rPr>
          <w:rFonts w:ascii="Arial" w:cs="Arial" w:eastAsia="Arial" w:hAnsi="Arial"/>
          <w:sz w:val="20"/>
          <w:szCs w:val="20"/>
        </w:rPr>
        <w:t xml:space="preserve">The spatial gradient test (ρ_s = 0.35, permutation p = 0.046) provides suggestive evidence that Granger significance concentrates in small-cap portfolios with high overlap.</w:t>
      </w:r>
    </w:p>
    <w:p>
      <w:pPr>
        <w:pStyle w:val="Heading2"/>
        <w:spacing w:after="160" w:before="280"/>
      </w:pPr>
      <w:r>
        <w:rPr>
          <w:rFonts w:ascii="Arial" w:cs="Arial" w:eastAsia="Arial" w:hAnsi="Arial"/>
          <w:b/>
          <w:bCs/>
          <w:color w:val="2C5282"/>
          <w:sz w:val="26"/>
          <w:szCs w:val="26"/>
        </w:rPr>
        <w:t xml:space="preserve">3.2 Critical Issues</w:t>
      </w:r>
    </w:p>
    <w:p>
      <w:pPr>
        <w:pStyle w:val="Heading3"/>
        <w:spacing w:after="120" w:before="200"/>
      </w:pPr>
      <w:r>
        <w:rPr>
          <w:rFonts w:ascii="Arial" w:cs="Arial" w:eastAsia="Arial" w:hAnsi="Arial"/>
          <w:b/>
          <w:bCs/>
          <w:color w:val="2D3748"/>
          <w:sz w:val="22"/>
          <w:szCs w:val="22"/>
        </w:rPr>
        <w:t xml:space="preserve">The Dual-Mechanism Problem (Severity: HIGH)</w:t>
      </w:r>
    </w:p>
    <w:p>
      <w:pPr>
        <w:spacing w:after="120"/>
      </w:pPr>
      <w:r>
        <w:rPr>
          <w:rFonts w:ascii="Arial" w:cs="Arial" w:eastAsia="Arial" w:hAnsi="Arial"/>
          <w:sz w:val="20"/>
          <w:szCs w:val="20"/>
        </w:rPr>
        <w:t xml:space="preserve">The paper proposes different mechanisms for different regimes: Normal-regime effects attributed to "cross-factor inventory management," while Elevated/Crisis effects attributed to "deleveraging cascades." This ambiguity is explicitly acknowledged but not resolved. Without mechanism validation, the economic contribution is limited.</w:t>
      </w:r>
    </w:p>
    <w:p>
      <w:pPr>
        <w:spacing w:after="120"/>
      </w:pPr>
      <w:r>
        <w:rPr>
          <w:rFonts w:ascii="Arial" w:cs="Arial" w:eastAsia="Arial" w:hAnsi="Arial"/>
          <w:sz w:val="20"/>
          <w:szCs w:val="20"/>
        </w:rPr>
        <w:t xml:space="preserve">The transfer entropy finding further complicates interpretation: SMB→HML shows stronger nonlinear transfer entropy (z = 5.37) than HML→SMB forward direction (z = 2.45), contradicting the "HML unwinding drives SMB" narrative.</w:t>
      </w:r>
    </w:p>
    <w:p>
      <w:pPr>
        <w:pStyle w:val="Heading3"/>
        <w:spacing w:after="120" w:before="200"/>
      </w:pPr>
      <w:r>
        <w:rPr>
          <w:rFonts w:ascii="Arial" w:cs="Arial" w:eastAsia="Arial" w:hAnsi="Arial"/>
          <w:b/>
          <w:bCs/>
          <w:color w:val="2D3748"/>
          <w:sz w:val="22"/>
          <w:szCs w:val="22"/>
        </w:rPr>
        <w:t xml:space="preserve">Structural Break Interpretation</w:t>
      </w:r>
    </w:p>
    <w:p>
      <w:pPr>
        <w:spacing w:after="120"/>
      </w:pPr>
      <w:r>
        <w:rPr>
          <w:rFonts w:ascii="Arial" w:cs="Arial" w:eastAsia="Arial" w:hAnsi="Arial"/>
          <w:sz w:val="20"/>
          <w:szCs w:val="20"/>
        </w:rPr>
        <w:t xml:space="preserve">The June 1998 primary break (LTCM/Russia) being stronger than the January 2008 break (GFC) is surprising and under-explained. Post-GFC explanations (Volcker Rule, factor crowding absorption) are post-hoc and not empirically validated. Simpler explanations (increased crowding destroying predictability, changes in factor portfolio construction) deserve consideration.</w:t>
      </w:r>
    </w:p>
    <w:p>
      <w:pPr>
        <w:pStyle w:val="Heading3"/>
        <w:spacing w:after="120" w:before="200"/>
      </w:pPr>
      <w:r>
        <w:rPr>
          <w:rFonts w:ascii="Arial" w:cs="Arial" w:eastAsia="Arial" w:hAnsi="Arial"/>
          <w:b/>
          <w:bCs/>
          <w:color w:val="2D3748"/>
          <w:sz w:val="22"/>
          <w:szCs w:val="22"/>
        </w:rPr>
        <w:t xml:space="preserve">Practical Relevance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Pre-GFC ΔR²</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Modest but typical for daily factor predictability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Post-GFC ΔR²</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Negligible — relationship has vanished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OOS Elevated ΔR²</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Modest and prevalence-dependent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Sharpe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 worse than cash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false-alarm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Operationally unusable</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paper’s value is academic: it documents regime-dependent statistical structure. For practitioners, it offers no tradeable edge and no risk-management improvement over simpler alternatives.</w:t>
      </w:r>
    </w:p>
    <w:p>
      <w:r>
        <w:br w:type="page"/>
      </w:r>
    </w:p>
    <w:p>
      <w:pPr>
        <w:pStyle w:val="Heading1"/>
        <w:spacing w:after="200" w:before="360"/>
      </w:pPr>
      <w:r>
        <w:rPr>
          <w:rFonts w:ascii="Arial" w:cs="Arial" w:eastAsia="Arial" w:hAnsi="Arial"/>
          <w:b/>
          <w:bCs/>
          <w:color w:val="1A365D"/>
          <w:sz w:val="32"/>
          <w:szCs w:val="32"/>
        </w:rPr>
        <w:t xml:space="preserve">4. Writing, Structure, and Presentation</w:t>
      </w:r>
    </w:p>
    <w:p>
      <w:pPr>
        <w:pStyle w:val="Heading2"/>
        <w:spacing w:after="160" w:before="280"/>
      </w:pPr>
      <w:r>
        <w:rPr>
          <w:rFonts w:ascii="Arial" w:cs="Arial" w:eastAsia="Arial" w:hAnsi="Arial"/>
          <w:b/>
          <w:bCs/>
          <w:color w:val="2C5282"/>
          <w:sz w:val="26"/>
          <w:szCs w:val="26"/>
        </w:rPr>
        <w:t xml:space="preserve">4.1 Strengths</w:t>
      </w:r>
    </w:p>
    <w:p>
      <w:pPr>
        <w:pStyle w:val="ListParagraph"/>
        <w:numPr>
          <w:ilvl w:val="0"/>
          <w:numId w:val="2"/>
        </w:numPr>
        <w:spacing w:after="80"/>
      </w:pPr>
      <w:r>
        <w:rPr>
          <w:rFonts w:ascii="Arial" w:cs="Arial" w:eastAsia="Arial" w:hAnsi="Arial"/>
          <w:b/>
          <w:bCs/>
          <w:sz w:val="20"/>
          <w:szCs w:val="20"/>
        </w:rPr>
        <w:t xml:space="preserve">Exemplary transparency: </w:t>
      </w:r>
      <w:r>
        <w:rPr>
          <w:rFonts w:ascii="Arial" w:cs="Arial" w:eastAsia="Arial" w:hAnsi="Arial"/>
          <w:sz w:val="20"/>
          <w:szCs w:val="20"/>
        </w:rPr>
        <w:t xml:space="preserve">The paper sets a high bar for honest disclosure of limitations (prevalence dependence, local optima, no FDR survival, pair selection bias). This builds reader trust.</w:t>
      </w:r>
    </w:p>
    <w:p>
      <w:pPr>
        <w:pStyle w:val="ListParagraph"/>
        <w:numPr>
          <w:ilvl w:val="0"/>
          <w:numId w:val="2"/>
        </w:numPr>
        <w:spacing w:after="80"/>
      </w:pPr>
      <w:r>
        <w:rPr>
          <w:rFonts w:ascii="Arial" w:cs="Arial" w:eastAsia="Arial" w:hAnsi="Arial"/>
          <w:b/>
          <w:bCs/>
          <w:sz w:val="20"/>
          <w:szCs w:val="20"/>
        </w:rPr>
        <w:t xml:space="preserve">Strong main finding presentation: </w:t>
      </w:r>
      <w:r>
        <w:rPr>
          <w:rFonts w:ascii="Arial" w:cs="Arial" w:eastAsia="Arial" w:hAnsi="Arial"/>
          <w:sz w:val="20"/>
          <w:szCs w:val="20"/>
        </w:rPr>
        <w:t xml:space="preserve">The structural break is communicated clearly with multiple validation approaches and appropriate hedging.</w:t>
      </w:r>
    </w:p>
    <w:p>
      <w:pPr>
        <w:pStyle w:val="ListParagraph"/>
        <w:numPr>
          <w:ilvl w:val="0"/>
          <w:numId w:val="2"/>
        </w:numPr>
        <w:spacing w:after="80"/>
      </w:pPr>
      <w:r>
        <w:rPr>
          <w:rFonts w:ascii="Arial" w:cs="Arial" w:eastAsia="Arial" w:hAnsi="Arial"/>
          <w:b/>
          <w:bCs/>
          <w:sz w:val="20"/>
          <w:szCs w:val="20"/>
        </w:rPr>
        <w:t xml:space="preserve">Well-chosen figure package: </w:t>
      </w:r>
      <w:r>
        <w:rPr>
          <w:rFonts w:ascii="Arial" w:cs="Arial" w:eastAsia="Arial" w:hAnsi="Arial"/>
          <w:sz w:val="20"/>
          <w:szCs w:val="20"/>
        </w:rPr>
        <w:t xml:space="preserve">Seven figures effectively support the narrative: regime timeline, Granger heatmap, rolling Granger, lag sensitivity, ML diagnostics, TE asymmetry, and FF25 overlap.</w:t>
      </w:r>
    </w:p>
    <w:p>
      <w:pPr>
        <w:pStyle w:val="Heading2"/>
        <w:spacing w:after="160" w:before="280"/>
      </w:pPr>
      <w:r>
        <w:rPr>
          <w:rFonts w:ascii="Arial" w:cs="Arial" w:eastAsia="Arial" w:hAnsi="Arial"/>
          <w:b/>
          <w:bCs/>
          <w:color w:val="2C5282"/>
          <w:sz w:val="26"/>
          <w:szCs w:val="26"/>
        </w:rPr>
        <w:t xml:space="preserve">4.2 Issues</w:t>
      </w:r>
    </w:p>
    <w:p>
      <w:pPr>
        <w:pStyle w:val="Heading3"/>
        <w:spacing w:after="120" w:before="200"/>
      </w:pPr>
      <w:r>
        <w:rPr>
          <w:rFonts w:ascii="Arial" w:cs="Arial" w:eastAsia="Arial" w:hAnsi="Arial"/>
          <w:b/>
          <w:bCs/>
          <w:color w:val="2D3748"/>
          <w:sz w:val="22"/>
          <w:szCs w:val="22"/>
        </w:rPr>
        <w:t xml:space="preserve">Scope Creep</w:t>
      </w:r>
    </w:p>
    <w:p>
      <w:pPr>
        <w:spacing w:after="120"/>
      </w:pPr>
      <w:r>
        <w:rPr>
          <w:rFonts w:ascii="Arial" w:cs="Arial" w:eastAsia="Arial" w:hAnsi="Arial"/>
          <w:sz w:val="20"/>
          <w:szCs w:val="20"/>
        </w:rPr>
        <w:t xml:space="preserve">The paper tries to support too much: main structural break finding, OOS re-emergence, ML validation, transfer entropy, FF25 overlap, trading backtest, VaR application, and 7 appendices. This dilutes the strong main finding. The trading/VaR sections add length without insight and could be condensed to a single sentence.</w:t>
      </w:r>
    </w:p>
    <w:p>
      <w:pPr>
        <w:pStyle w:val="Heading3"/>
        <w:spacing w:after="120" w:before="200"/>
      </w:pPr>
      <w:r>
        <w:rPr>
          <w:rFonts w:ascii="Arial" w:cs="Arial" w:eastAsia="Arial" w:hAnsi="Arial"/>
          <w:b/>
          <w:bCs/>
          <w:color w:val="2D3748"/>
          <w:sz w:val="22"/>
          <w:szCs w:val="22"/>
        </w:rPr>
        <w:t xml:space="preserve">Contribution Hierarchy</w:t>
      </w:r>
    </w:p>
    <w:p>
      <w:pPr>
        <w:spacing w:after="120"/>
      </w:pPr>
      <w:r>
        <w:rPr>
          <w:rFonts w:ascii="Arial" w:cs="Arial" w:eastAsia="Arial" w:hAnsi="Arial"/>
          <w:sz w:val="20"/>
          <w:szCs w:val="20"/>
        </w:rPr>
        <w:t xml:space="preserve">The two contributions are of unequal weight, but the paper presents them with roughly equal emphasis. The OOS re-emergence (fragile, prevalence-dependent, exploratory) should be clearly subordinated to the structural break (bulletproof, Bonferroni-significant).</w:t>
      </w:r>
    </w:p>
    <w:p>
      <w:pPr>
        <w:pStyle w:val="Heading3"/>
        <w:spacing w:after="120" w:before="200"/>
      </w:pPr>
      <w:r>
        <w:rPr>
          <w:rFonts w:ascii="Arial" w:cs="Arial" w:eastAsia="Arial" w:hAnsi="Arial"/>
          <w:b/>
          <w:bCs/>
          <w:color w:val="2D3748"/>
          <w:sz w:val="22"/>
          <w:szCs w:val="22"/>
        </w:rPr>
        <w:t xml:space="preserve">Scale Convention Confusion</w:t>
      </w:r>
    </w:p>
    <w:p>
      <w:pPr>
        <w:spacing w:after="120"/>
      </w:pPr>
      <w:r>
        <w:rPr>
          <w:rFonts w:ascii="Arial" w:cs="Arial" w:eastAsia="Arial" w:hAnsi="Arial"/>
          <w:sz w:val="20"/>
          <w:szCs w:val="20"/>
        </w:rPr>
        <w:t xml:space="preserve">The main text uses percentage-unit convention while the frozen OOS table uses decimal-unit (n = 836 vs. n = 953 for Elevated). This inconsistency forces readers to toggle between conventions. One convention should be used throughout the main text.</w:t>
      </w:r>
    </w:p>
    <w:p>
      <w:pPr>
        <w:pStyle w:val="Heading3"/>
        <w:spacing w:after="120" w:before="200"/>
      </w:pPr>
      <w:r>
        <w:rPr>
          <w:rFonts w:ascii="Arial" w:cs="Arial" w:eastAsia="Arial" w:hAnsi="Arial"/>
          <w:b/>
          <w:bCs/>
          <w:color w:val="2D3748"/>
          <w:sz w:val="22"/>
          <w:szCs w:val="22"/>
        </w:rPr>
        <w:t xml:space="preserve">Causal Language</w:t>
      </w:r>
    </w:p>
    <w:p>
      <w:pPr>
        <w:spacing w:after="120"/>
      </w:pPr>
      <w:r>
        <w:rPr>
          <w:rFonts w:ascii="Arial" w:cs="Arial" w:eastAsia="Arial" w:hAnsi="Arial"/>
          <w:sz w:val="20"/>
          <w:szCs w:val="20"/>
        </w:rPr>
        <w:t xml:space="preserve">While Section 3.3 correctly defines Granger causality as "predictive precedence," the title and abstract use "causality" unqualified. Consider "Granger predictability" or "Granger precedence" to avoid reader misinterpretation. The causal scope disclaimer should be elevated to a prominent position in the introduction.</w:t>
      </w:r>
    </w:p>
    <w:p>
      <w:pPr>
        <w:pStyle w:val="Heading3"/>
        <w:spacing w:after="120" w:before="200"/>
      </w:pPr>
      <w:r>
        <w:rPr>
          <w:rFonts w:ascii="Arial" w:cs="Arial" w:eastAsia="Arial" w:hAnsi="Arial"/>
          <w:b/>
          <w:bCs/>
          <w:color w:val="2D3748"/>
          <w:sz w:val="22"/>
          <w:szCs w:val="22"/>
        </w:rPr>
        <w:t xml:space="preserve">Terminology Standardization</w:t>
      </w:r>
    </w:p>
    <w:p>
      <w:pPr>
        <w:spacing w:after="120"/>
      </w:pPr>
      <w:r>
        <w:rPr>
          <w:rFonts w:ascii="Arial" w:cs="Arial" w:eastAsia="Arial" w:hAnsi="Arial"/>
          <w:sz w:val="20"/>
          <w:szCs w:val="20"/>
        </w:rPr>
        <w:t xml:space="preserve">The paper alternates between "regime-dependent" and "regime-conditional." Standardize on "regime-conditional" (more precise) and note the finding is "regime-heterogeneous." The term "prevalence-dependent" should be rephrased as "regime-expansion-dependent" for clarity.</w:t>
      </w:r>
    </w:p>
    <w:p>
      <w:pPr>
        <w:pStyle w:val="Heading3"/>
        <w:spacing w:after="120" w:before="200"/>
      </w:pPr>
      <w:r>
        <w:rPr>
          <w:rFonts w:ascii="Arial" w:cs="Arial" w:eastAsia="Arial" w:hAnsi="Arial"/>
          <w:b/>
          <w:bCs/>
          <w:color w:val="2D3748"/>
          <w:sz w:val="22"/>
          <w:szCs w:val="22"/>
        </w:rPr>
        <w:t xml:space="preserve">Specific Editorial Suggestions</w:t>
      </w:r>
    </w:p>
    <w:p>
      <w:pPr>
        <w:pStyle w:val="ListParagraph"/>
        <w:numPr>
          <w:ilvl w:val="0"/>
          <w:numId w:val="2"/>
        </w:numPr>
        <w:spacing w:after="80"/>
      </w:pPr>
      <w:r>
        <w:rPr>
          <w:rFonts w:ascii="Arial" w:cs="Arial" w:eastAsia="Arial" w:hAnsi="Arial"/>
          <w:sz w:val="20"/>
          <w:szCs w:val="20"/>
        </w:rPr>
        <w:t xml:space="preserve">Abstract: Restructure to emphasize the main finding first, then contextualize the OOS result as secondary.</w:t>
      </w:r>
    </w:p>
    <w:p>
      <w:pPr>
        <w:pStyle w:val="ListParagraph"/>
        <w:numPr>
          <w:ilvl w:val="0"/>
          <w:numId w:val="2"/>
        </w:numPr>
        <w:spacing w:after="80"/>
      </w:pPr>
      <w:r>
        <w:rPr>
          <w:rFonts w:ascii="Arial" w:cs="Arial" w:eastAsia="Arial" w:hAnsi="Arial"/>
          <w:sz w:val="20"/>
          <w:szCs w:val="20"/>
        </w:rPr>
        <w:t xml:space="preserve">Section 1.3 Contributions: Redistribute emphasis (Contribution 1 primary ~100 words, Contribution 2 secondary ~50 words).</w:t>
      </w:r>
    </w:p>
    <w:p>
      <w:pPr>
        <w:pStyle w:val="ListParagraph"/>
        <w:numPr>
          <w:ilvl w:val="0"/>
          <w:numId w:val="2"/>
        </w:numPr>
        <w:spacing w:after="80"/>
      </w:pPr>
      <w:r>
        <w:rPr>
          <w:rFonts w:ascii="Arial" w:cs="Arial" w:eastAsia="Arial" w:hAnsi="Arial"/>
          <w:sz w:val="20"/>
          <w:szCs w:val="20"/>
        </w:rPr>
        <w:t xml:space="preserve">Add a brief "Regime Interpretation" subsection after Table 1 to orient readers before Granger tests.</w:t>
      </w:r>
    </w:p>
    <w:p>
      <w:pPr>
        <w:pStyle w:val="ListParagraph"/>
        <w:numPr>
          <w:ilvl w:val="0"/>
          <w:numId w:val="2"/>
        </w:numPr>
        <w:spacing w:after="80"/>
      </w:pPr>
      <w:r>
        <w:rPr>
          <w:rFonts w:ascii="Arial" w:cs="Arial" w:eastAsia="Arial" w:hAnsi="Arial"/>
          <w:sz w:val="20"/>
          <w:szCs w:val="20"/>
        </w:rPr>
        <w:t xml:space="preserve">Promote ML diagnostics (currently in appendix) to a full main-text subsection.</w:t>
      </w:r>
    </w:p>
    <w:p>
      <w:pPr>
        <w:pStyle w:val="ListParagraph"/>
        <w:numPr>
          <w:ilvl w:val="0"/>
          <w:numId w:val="2"/>
        </w:numPr>
        <w:spacing w:after="80"/>
      </w:pPr>
      <w:r>
        <w:rPr>
          <w:rFonts w:ascii="Arial" w:cs="Arial" w:eastAsia="Arial" w:hAnsi="Arial"/>
          <w:sz w:val="20"/>
          <w:szCs w:val="20"/>
        </w:rPr>
        <w:t xml:space="preserve">Condense trading/VaR to one sentence: "Sharpe = −0.07; statistical ≠ economic predictability."</w:t>
      </w:r>
    </w:p>
    <w:p>
      <w:pPr>
        <w:pStyle w:val="ListParagraph"/>
        <w:numPr>
          <w:ilvl w:val="0"/>
          <w:numId w:val="2"/>
        </w:numPr>
        <w:spacing w:after="80"/>
      </w:pPr>
      <w:r>
        <w:rPr>
          <w:rFonts w:ascii="Arial" w:cs="Arial" w:eastAsia="Arial" w:hAnsi="Arial"/>
          <w:sz w:val="20"/>
          <w:szCs w:val="20"/>
        </w:rPr>
        <w:t xml:space="preserve">Add a notation table in the appendix defining all symbols (z_t, A, μ_k, Σ_k, ν_k).</w:t>
      </w:r>
    </w:p>
    <w:p>
      <w:r>
        <w:br w:type="page"/>
      </w:r>
    </w:p>
    <w:p>
      <w:pPr>
        <w:pStyle w:val="Heading1"/>
        <w:spacing w:after="200" w:before="360"/>
      </w:pPr>
      <w:r>
        <w:rPr>
          <w:rFonts w:ascii="Arial" w:cs="Arial" w:eastAsia="Arial" w:hAnsi="Arial"/>
          <w:b/>
          <w:bCs/>
          <w:color w:val="1A365D"/>
          <w:sz w:val="32"/>
          <w:szCs w:val="32"/>
        </w:rPr>
        <w:t xml:space="preserve">5. Machine Learning and Robustness Analysis</w:t>
      </w:r>
    </w:p>
    <w:p>
      <w:pPr>
        <w:pStyle w:val="Heading2"/>
        <w:spacing w:after="160" w:before="280"/>
      </w:pPr>
      <w:r>
        <w:rPr>
          <w:rFonts w:ascii="Arial" w:cs="Arial" w:eastAsia="Arial" w:hAnsi="Arial"/>
          <w:b/>
          <w:bCs/>
          <w:color w:val="2C5282"/>
          <w:sz w:val="26"/>
          <w:szCs w:val="26"/>
        </w:rPr>
        <w:t xml:space="preserve">5.1 Strengths</w:t>
      </w:r>
    </w:p>
    <w:p>
      <w:pPr>
        <w:pStyle w:val="ListParagraph"/>
        <w:numPr>
          <w:ilvl w:val="0"/>
          <w:numId w:val="2"/>
        </w:numPr>
        <w:spacing w:after="80"/>
      </w:pPr>
      <w:r>
        <w:rPr>
          <w:rFonts w:ascii="Arial" w:cs="Arial" w:eastAsia="Arial" w:hAnsi="Arial"/>
          <w:b/>
          <w:bCs/>
          <w:sz w:val="20"/>
          <w:szCs w:val="20"/>
        </w:rPr>
        <w:t xml:space="preserve">Appropriate diagnostic framing: </w:t>
      </w:r>
      <w:r>
        <w:rPr>
          <w:rFonts w:ascii="Arial" w:cs="Arial" w:eastAsia="Arial" w:hAnsi="Arial"/>
          <w:sz w:val="20"/>
          <w:szCs w:val="20"/>
        </w:rPr>
        <w:t xml:space="preserve">The four-model gradient (OLS → RF → MLP → LSTM) as a "complexity boundary" diagnostic is philosophically sound. ML is used to characterize the signal, not to chase prediction.</w:t>
      </w:r>
    </w:p>
    <w:p>
      <w:pPr>
        <w:pStyle w:val="ListParagraph"/>
        <w:numPr>
          <w:ilvl w:val="0"/>
          <w:numId w:val="2"/>
        </w:numPr>
        <w:spacing w:after="80"/>
      </w:pPr>
      <w:r>
        <w:rPr>
          <w:rFonts w:ascii="Arial" w:cs="Arial" w:eastAsia="Arial" w:hAnsi="Arial"/>
          <w:b/>
          <w:bCs/>
          <w:sz w:val="20"/>
          <w:szCs w:val="20"/>
        </w:rPr>
        <w:t xml:space="preserve">LSTM attention diagnostics: </w:t>
      </w:r>
      <w:r>
        <w:rPr>
          <w:rFonts w:ascii="Arial" w:cs="Arial" w:eastAsia="Arial" w:hAnsi="Arial"/>
          <w:sz w:val="20"/>
          <w:szCs w:val="20"/>
        </w:rPr>
        <w:t xml:space="preserve">Lag-1 concentration decaying from 68.2% (Normal) to 44.2% (Crisis) provides a compelling visual complement to the Granger structural break.</w:t>
      </w:r>
    </w:p>
    <w:p>
      <w:pPr>
        <w:pStyle w:val="ListParagraph"/>
        <w:numPr>
          <w:ilvl w:val="0"/>
          <w:numId w:val="2"/>
        </w:numPr>
        <w:spacing w:after="80"/>
      </w:pPr>
      <w:r>
        <w:rPr>
          <w:rFonts w:ascii="Arial" w:cs="Arial" w:eastAsia="Arial" w:hAnsi="Arial"/>
          <w:b/>
          <w:bCs/>
          <w:sz w:val="20"/>
          <w:szCs w:val="20"/>
        </w:rPr>
        <w:t xml:space="preserve">Transfer entropy novelty: </w:t>
      </w:r>
      <w:r>
        <w:rPr>
          <w:rFonts w:ascii="Arial" w:cs="Arial" w:eastAsia="Arial" w:hAnsi="Arial"/>
          <w:sz w:val="20"/>
          <w:szCs w:val="20"/>
        </w:rPr>
        <w:t xml:space="preserve">The SMB→HML nonlinearity discovery (z = 5.37) is genuinely interesting and reveals structure invisible to linear Granger tests.</w:t>
      </w:r>
    </w:p>
    <w:p>
      <w:pPr>
        <w:pStyle w:val="ListParagraph"/>
        <w:numPr>
          <w:ilvl w:val="0"/>
          <w:numId w:val="2"/>
        </w:numPr>
        <w:spacing w:after="80"/>
      </w:pPr>
      <w:r>
        <w:rPr>
          <w:rFonts w:ascii="Arial" w:cs="Arial" w:eastAsia="Arial" w:hAnsi="Arial"/>
          <w:b/>
          <w:bCs/>
          <w:sz w:val="20"/>
          <w:szCs w:val="20"/>
        </w:rPr>
        <w:t xml:space="preserve">Frozen OOS eliminates look-ahead: </w:t>
      </w:r>
      <w:r>
        <w:rPr>
          <w:rFonts w:ascii="Arial" w:cs="Arial" w:eastAsia="Arial" w:hAnsi="Arial"/>
          <w:sz w:val="20"/>
          <w:szCs w:val="20"/>
        </w:rPr>
        <w:t xml:space="preserve">Forward-only (filtered) probabilities and train-period relabeling prevent information leakage.</w:t>
      </w:r>
    </w:p>
    <w:p>
      <w:pPr>
        <w:pStyle w:val="Heading2"/>
        <w:spacing w:after="160" w:before="280"/>
      </w:pPr>
      <w:r>
        <w:rPr>
          <w:rFonts w:ascii="Arial" w:cs="Arial" w:eastAsia="Arial" w:hAnsi="Arial"/>
          <w:b/>
          <w:bCs/>
          <w:color w:val="2C5282"/>
          <w:sz w:val="26"/>
          <w:szCs w:val="26"/>
        </w:rPr>
        <w:t xml:space="preserve">5.2 Critical Issues</w:t>
      </w:r>
    </w:p>
    <w:p>
      <w:pPr>
        <w:pStyle w:val="Heading3"/>
        <w:spacing w:after="120" w:before="200"/>
      </w:pPr>
      <w:r>
        <w:rPr>
          <w:rFonts w:ascii="Arial" w:cs="Arial" w:eastAsia="Arial" w:hAnsi="Arial"/>
          <w:b/>
          <w:bCs/>
          <w:color w:val="2D3748"/>
          <w:sz w:val="22"/>
          <w:szCs w:val="22"/>
        </w:rPr>
        <w:t xml:space="preserve">K-Sensitivity is Alarming</w:t>
      </w:r>
    </w:p>
    <w:p>
      <w:pPr>
        <w:spacing w:after="120"/>
      </w:pPr>
      <w:r>
        <w:rPr>
          <w:rFonts w:ascii="Arial" w:cs="Arial" w:eastAsia="Arial" w:hAnsi="Arial"/>
          <w:sz w:val="20"/>
          <w:szCs w:val="20"/>
        </w:rPr>
        <w:t xml:space="preserve">The non-monotonic model-selection landscape (K=2: null, K=3: significant, K=4: null) strongly suggests the result is sensitive to K. BIC selects K=3 (ΔBIC = 1,680 over K=2), but the frozen OOS result depends critically on the Elevated regime existing, which requires K ≥ 3. Bayesian model averaging over K ∈ {2,3,4} would reduce overconfidence.</w:t>
      </w:r>
    </w:p>
    <w:p>
      <w:pPr>
        <w:pStyle w:val="Heading3"/>
        <w:spacing w:after="120" w:before="200"/>
      </w:pPr>
      <w:r>
        <w:rPr>
          <w:rFonts w:ascii="Arial" w:cs="Arial" w:eastAsia="Arial" w:hAnsi="Arial"/>
          <w:b/>
          <w:bCs/>
          <w:color w:val="2D3748"/>
          <w:sz w:val="22"/>
          <w:szCs w:val="22"/>
        </w:rPr>
        <w:t xml:space="preserve">Sensitivity Fit Undermines Linearity Claim</w:t>
      </w:r>
    </w:p>
    <w:p>
      <w:pPr>
        <w:spacing w:after="120"/>
      </w:pPr>
      <w:r>
        <w:rPr>
          <w:rFonts w:ascii="Arial" w:cs="Arial" w:eastAsia="Arial" w:hAnsi="Arial"/>
          <w:sz w:val="20"/>
          <w:szCs w:val="20"/>
        </w:rPr>
        <w:t xml:space="preserve">Under seed 42 (sensitivity fit), Random Forest shows significant improvement in Transition (p = 0.010) and Crisis (p = 0.005), directly contradicting the "predominantly linear" conclusion from seed 28. The linearity characterization applies only to the primary fit, not universally. This should be framed as "nonlinearity is contingent on regime definition," not as a robustness check.</w:t>
      </w:r>
    </w:p>
    <w:p>
      <w:pPr>
        <w:pStyle w:val="Heading3"/>
        <w:spacing w:after="120" w:before="200"/>
      </w:pPr>
      <w:r>
        <w:rPr>
          <w:rFonts w:ascii="Arial" w:cs="Arial" w:eastAsia="Arial" w:hAnsi="Arial"/>
          <w:b/>
          <w:bCs/>
          <w:color w:val="2D3748"/>
          <w:sz w:val="22"/>
          <w:szCs w:val="22"/>
        </w:rPr>
        <w:t xml:space="preserve">Transfer Entropy Design Concerns</w:t>
      </w:r>
    </w:p>
    <w:p>
      <w:pPr>
        <w:pStyle w:val="ListParagraph"/>
        <w:numPr>
          <w:ilvl w:val="0"/>
          <w:numId w:val="2"/>
        </w:numPr>
        <w:spacing w:after="80"/>
      </w:pPr>
      <w:r>
        <w:rPr>
          <w:rFonts w:ascii="Arial" w:cs="Arial" w:eastAsia="Arial" w:hAnsi="Arial"/>
          <w:sz w:val="20"/>
          <w:szCs w:val="20"/>
        </w:rPr>
        <w:t xml:space="preserve">k=5 may be too small for 9-lag embeddings. Frenzel &amp; Pompe (2007) suggest k ≈ 0.4 × √N ≈ 30 for N ≈ 4,500.</w:t>
      </w:r>
    </w:p>
    <w:p>
      <w:pPr>
        <w:pStyle w:val="ListParagraph"/>
        <w:numPr>
          <w:ilvl w:val="0"/>
          <w:numId w:val="2"/>
        </w:numPr>
        <w:spacing w:after="80"/>
      </w:pPr>
      <w:r>
        <w:rPr>
          <w:rFonts w:ascii="Arial" w:cs="Arial" w:eastAsia="Arial" w:hAnsi="Arial"/>
          <w:sz w:val="20"/>
          <w:szCs w:val="20"/>
        </w:rPr>
        <w:t xml:space="preserve">200 permutations is borderline for p &lt; 0.01 claims (SE ≈ 0.007 at p = 0.01). Recommend 1,000+ permutations.</w:t>
      </w:r>
    </w:p>
    <w:p>
      <w:pPr>
        <w:pStyle w:val="ListParagraph"/>
        <w:numPr>
          <w:ilvl w:val="0"/>
          <w:numId w:val="2"/>
        </w:numPr>
        <w:spacing w:after="80"/>
      </w:pPr>
      <w:r>
        <w:rPr>
          <w:rFonts w:ascii="Arial" w:cs="Arial" w:eastAsia="Arial" w:hAnsi="Arial"/>
          <w:sz w:val="20"/>
          <w:szCs w:val="20"/>
        </w:rPr>
        <w:t xml:space="preserve">The reverse asymmetry (SMB→HML stronger than HML→SMB) is intriguing but mixes null distributions across methods, weakening the comparison.</w:t>
      </w:r>
    </w:p>
    <w:p>
      <w:pPr>
        <w:pStyle w:val="Heading3"/>
        <w:spacing w:after="120" w:before="200"/>
      </w:pPr>
      <w:r>
        <w:rPr>
          <w:rFonts w:ascii="Arial" w:cs="Arial" w:eastAsia="Arial" w:hAnsi="Arial"/>
          <w:b/>
          <w:bCs/>
          <w:color w:val="2D3748"/>
          <w:sz w:val="22"/>
          <w:szCs w:val="22"/>
        </w:rPr>
        <w:t xml:space="preserve">LSTM "Attention" Terminology</w:t>
      </w:r>
    </w:p>
    <w:p>
      <w:pPr>
        <w:spacing w:after="120"/>
      </w:pPr>
      <w:r>
        <w:rPr>
          <w:rFonts w:ascii="Arial" w:cs="Arial" w:eastAsia="Arial" w:hAnsi="Arial"/>
          <w:sz w:val="20"/>
          <w:szCs w:val="20"/>
        </w:rPr>
        <w:t xml:space="preserve">The paper describes temporal weight concentration as "attention," but this is not attention in the Vaswani et al. (2017) sense. The metric is architecture- and initialization-dependent. No stability analysis across random seeds is provided. The claim of "model-free confirmation" is too strong; "model-based diagnostic" would be more accurate.</w:t>
      </w:r>
    </w:p>
    <w:p>
      <w:pPr>
        <w:pStyle w:val="Heading3"/>
        <w:spacing w:after="120" w:before="200"/>
      </w:pPr>
      <w:r>
        <w:rPr>
          <w:rFonts w:ascii="Arial" w:cs="Arial" w:eastAsia="Arial" w:hAnsi="Arial"/>
          <w:b/>
          <w:bCs/>
          <w:color w:val="2D3748"/>
          <w:sz w:val="22"/>
          <w:szCs w:val="22"/>
        </w:rPr>
        <w:t xml:space="preserve">Cumulative Multiple Testing</w:t>
      </w:r>
    </w:p>
    <w:p>
      <w:pPr>
        <w:spacing w:after="120"/>
      </w:pPr>
      <w:r>
        <w:rPr>
          <w:rFonts w:ascii="Arial" w:cs="Arial" w:eastAsia="Arial" w:hAnsi="Arial"/>
          <w:sz w:val="20"/>
          <w:szCs w:val="20"/>
        </w:rPr>
        <w:t xml:space="preserve">Bonferroni correction based on 30 pairs understates total degrees of freedom consumed. The actual search space includes 3 regimes × 2 directions × multiple lags × 50 seeds × 2 scale conventions. Holm-Bonferroni or hierarchical FDR correction would be more honest.</w:t>
      </w:r>
    </w:p>
    <w:p>
      <w:r>
        <w:br w:type="page"/>
      </w:r>
    </w:p>
    <w:p>
      <w:pPr>
        <w:pStyle w:val="Heading1"/>
        <w:spacing w:after="200" w:before="360"/>
      </w:pPr>
      <w:r>
        <w:rPr>
          <w:rFonts w:ascii="Arial" w:cs="Arial" w:eastAsia="Arial" w:hAnsi="Arial"/>
          <w:b/>
          <w:bCs/>
          <w:color w:val="1A365D"/>
          <w:sz w:val="32"/>
          <w:szCs w:val="32"/>
        </w:rPr>
        <w:t xml:space="preserve">6. Methodological Quality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HMM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Student-t justified; local optima trade-off problematic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Granger Causality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Per-regime testing appropriate; HAC bandwidth too narrow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Break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Extraordinarily significant; multi-break structure evident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OOS Validation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Principled but compromised by prevalence reweighting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In-sample rigorous; OOS framework ambiguous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Diagnostics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diagnostic framing; seed sensitivity undermines linearity claim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Entropy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Novel asymmetry finding; design parameters borderline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Interpretation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Dual-mechanism ambiguity; no mechanism validation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Transparency &amp; Disclosure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Exceptional; openly discusses all limitations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 &amp; Presentation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Well-organized but scope creep dilutes main finding</w:t>
            </w:r>
          </w:p>
        </w:tc>
      </w:tr>
    </w:tbl>
    <w:p>
      <w:r>
        <w:br w:type="page"/>
      </w:r>
    </w:p>
    <w:p>
      <w:pPr>
        <w:pStyle w:val="Heading1"/>
        <w:spacing w:after="200" w:before="360"/>
      </w:pPr>
      <w:r>
        <w:rPr>
          <w:rFonts w:ascii="Arial" w:cs="Arial" w:eastAsia="Arial" w:hAnsi="Arial"/>
          <w:b/>
          <w:bCs/>
          <w:color w:val="1A365D"/>
          <w:sz w:val="32"/>
          <w:szCs w:val="32"/>
        </w:rPr>
        <w:t xml:space="preserve">7. Required Revisions for Acceptance</w:t>
      </w:r>
    </w:p>
    <w:p>
      <w:pPr>
        <w:pStyle w:val="Heading2"/>
        <w:spacing w:after="160" w:before="280"/>
      </w:pPr>
      <w:r>
        <w:rPr>
          <w:rFonts w:ascii="Arial" w:cs="Arial" w:eastAsia="Arial" w:hAnsi="Arial"/>
          <w:b/>
          <w:bCs/>
          <w:color w:val="2C5282"/>
          <w:sz w:val="26"/>
          <w:szCs w:val="26"/>
        </w:rPr>
        <w:t xml:space="preserve">7.1 Tier 1: Mandatory (All 5 Must Be Addressed)</w:t>
      </w:r>
    </w:p>
    <w:p>
      <w:pPr>
        <w:pStyle w:val="ListParagraph"/>
        <w:numPr>
          <w:ilvl w:val="0"/>
          <w:numId w:val="3"/>
        </w:numPr>
        <w:spacing w:after="120"/>
      </w:pPr>
      <w:r>
        <w:rPr>
          <w:rFonts w:ascii="Arial" w:cs="Arial" w:eastAsia="Arial" w:hAnsi="Arial"/>
          <w:b/>
          <w:bCs/>
          <w:sz w:val="20"/>
          <w:szCs w:val="20"/>
        </w:rPr>
        <w:t xml:space="preserve">Report prevalence-reweighted p = 0.153 as co-primary OOS result.</w:t>
      </w:r>
      <w:r>
        <w:rPr>
          <w:rFonts w:ascii="Arial" w:cs="Arial" w:eastAsia="Arial" w:hAnsi="Arial"/>
          <w:sz w:val="20"/>
          <w:szCs w:val="20"/>
        </w:rPr>
        <w:t xml:space="preserve"> Add a bootstrap prevalence-matched column to Table 4. Do not bury the reweighting result in discussion text.</w:t>
      </w:r>
    </w:p>
    <w:p>
      <w:pPr>
        <w:pStyle w:val="ListParagraph"/>
        <w:numPr>
          <w:ilvl w:val="0"/>
          <w:numId w:val="3"/>
        </w:numPr>
        <w:spacing w:after="120"/>
      </w:pPr>
      <w:r>
        <w:rPr>
          <w:rFonts w:ascii="Arial" w:cs="Arial" w:eastAsia="Arial" w:hAnsi="Arial"/>
          <w:b/>
          <w:bCs/>
          <w:sz w:val="20"/>
          <w:szCs w:val="20"/>
        </w:rPr>
        <w:t xml:space="preserve">Use automatic HAC bandwidth (B ≈ 2) as primary specification.</w:t>
      </w:r>
      <w:r>
        <w:rPr>
          <w:rFonts w:ascii="Arial" w:cs="Arial" w:eastAsia="Arial" w:hAnsi="Arial"/>
          <w:sz w:val="20"/>
          <w:szCs w:val="20"/>
        </w:rPr>
        <w:t xml:space="preserve"> Report bandwidth sensitivity table (B = 1, 2, 4, 6, 10, 15, 30) in the main text, not only in robustness checks.</w:t>
      </w:r>
    </w:p>
    <w:p>
      <w:pPr>
        <w:pStyle w:val="ListParagraph"/>
        <w:numPr>
          <w:ilvl w:val="0"/>
          <w:numId w:val="3"/>
        </w:numPr>
        <w:spacing w:after="120"/>
      </w:pPr>
      <w:r>
        <w:rPr>
          <w:rFonts w:ascii="Arial" w:cs="Arial" w:eastAsia="Arial" w:hAnsi="Arial"/>
          <w:b/>
          <w:bCs/>
          <w:sz w:val="20"/>
          <w:szCs w:val="20"/>
        </w:rPr>
        <w:t xml:space="preserve">Elevate 7-cluster local optima taxonomy to the main text.</w:t>
      </w:r>
      <w:r>
        <w:rPr>
          <w:rFonts w:ascii="Arial" w:cs="Arial" w:eastAsia="Arial" w:hAnsi="Arial"/>
          <w:sz w:val="20"/>
          <w:szCs w:val="20"/>
        </w:rPr>
        <w:t xml:space="preserve"> Include % of 2008 days assigned to Crisis for each cluster. Acknowledge BIC vs. economic-validity trade-off.</w:t>
      </w:r>
    </w:p>
    <w:p>
      <w:pPr>
        <w:pStyle w:val="ListParagraph"/>
        <w:numPr>
          <w:ilvl w:val="0"/>
          <w:numId w:val="3"/>
        </w:numPr>
        <w:spacing w:after="120"/>
      </w:pPr>
      <w:r>
        <w:rPr>
          <w:rFonts w:ascii="Arial" w:cs="Arial" w:eastAsia="Arial" w:hAnsi="Arial"/>
          <w:b/>
          <w:bCs/>
          <w:sz w:val="20"/>
          <w:szCs w:val="20"/>
        </w:rPr>
        <w:t xml:space="preserve">Apply 3-regime Bonferroni (α/3 = 0.0167) as primary OOS multiple-testing framework.</w:t>
      </w:r>
      <w:r>
        <w:rPr>
          <w:rFonts w:ascii="Arial" w:cs="Arial" w:eastAsia="Arial" w:hAnsi="Arial"/>
          <w:sz w:val="20"/>
          <w:szCs w:val="20"/>
        </w:rPr>
        <w:t xml:space="preserve"> Under this correction, HAC p = 0.041 does not survive. State this explicitly.</w:t>
      </w:r>
    </w:p>
    <w:p>
      <w:pPr>
        <w:pStyle w:val="ListParagraph"/>
        <w:numPr>
          <w:ilvl w:val="0"/>
          <w:numId w:val="3"/>
        </w:numPr>
        <w:spacing w:after="120"/>
      </w:pPr>
      <w:r>
        <w:rPr>
          <w:rFonts w:ascii="Arial" w:cs="Arial" w:eastAsia="Arial" w:hAnsi="Arial"/>
          <w:b/>
          <w:bCs/>
          <w:sz w:val="20"/>
          <w:szCs w:val="20"/>
        </w:rPr>
        <w:t xml:space="preserve">Restructure contributions to clearly distinguish main from secondary.</w:t>
      </w:r>
      <w:r>
        <w:rPr>
          <w:rFonts w:ascii="Arial" w:cs="Arial" w:eastAsia="Arial" w:hAnsi="Arial"/>
          <w:sz w:val="20"/>
          <w:szCs w:val="20"/>
        </w:rPr>
        <w:t xml:space="preserve"> The structural break is the main finding; OOS re-emergence is exploratory supporting evidence. Adjust emphasis in abstract, introduction, and conclusion accordingly.</w:t>
      </w:r>
    </w:p>
    <w:p>
      <w:pPr>
        <w:pStyle w:val="Heading2"/>
        <w:spacing w:after="160" w:before="280"/>
      </w:pPr>
      <w:r>
        <w:rPr>
          <w:rFonts w:ascii="Arial" w:cs="Arial" w:eastAsia="Arial" w:hAnsi="Arial"/>
          <w:b/>
          <w:bCs/>
          <w:color w:val="2C5282"/>
          <w:sz w:val="26"/>
          <w:szCs w:val="26"/>
        </w:rPr>
        <w:t xml:space="preserve">7.2 Tier 2: Strongly Recommended</w:t>
      </w:r>
    </w:p>
    <w:p>
      <w:pPr>
        <w:pStyle w:val="ListParagraph"/>
        <w:numPr>
          <w:ilvl w:val="0"/>
          <w:numId w:val="2"/>
        </w:numPr>
        <w:spacing w:after="80"/>
      </w:pPr>
      <w:r>
        <w:rPr>
          <w:rFonts w:ascii="Arial" w:cs="Arial" w:eastAsia="Arial" w:hAnsi="Arial"/>
          <w:sz w:val="20"/>
          <w:szCs w:val="20"/>
        </w:rPr>
        <w:t xml:space="preserve">Standardize scale convention: use one convention throughout the main text; relegate the alternative to a footnote.</w:t>
      </w:r>
    </w:p>
    <w:p>
      <w:pPr>
        <w:pStyle w:val="ListParagraph"/>
        <w:numPr>
          <w:ilvl w:val="0"/>
          <w:numId w:val="2"/>
        </w:numPr>
        <w:spacing w:after="80"/>
      </w:pPr>
      <w:r>
        <w:rPr>
          <w:rFonts w:ascii="Arial" w:cs="Arial" w:eastAsia="Arial" w:hAnsi="Arial"/>
          <w:sz w:val="20"/>
          <w:szCs w:val="20"/>
        </w:rPr>
        <w:t xml:space="preserve">Replace "causality" with "Granger precedence" or "Granger predictability" in title and abstract.</w:t>
      </w:r>
    </w:p>
    <w:p>
      <w:pPr>
        <w:pStyle w:val="ListParagraph"/>
        <w:numPr>
          <w:ilvl w:val="0"/>
          <w:numId w:val="2"/>
        </w:numPr>
        <w:spacing w:after="80"/>
      </w:pPr>
      <w:r>
        <w:rPr>
          <w:rFonts w:ascii="Arial" w:cs="Arial" w:eastAsia="Arial" w:hAnsi="Arial"/>
          <w:sz w:val="20"/>
          <w:szCs w:val="20"/>
        </w:rPr>
        <w:t xml:space="preserve">Condense trading/VaR sections to a single sentence each, or move to a supplementary appendix.</w:t>
      </w:r>
    </w:p>
    <w:p>
      <w:pPr>
        <w:pStyle w:val="ListParagraph"/>
        <w:numPr>
          <w:ilvl w:val="0"/>
          <w:numId w:val="2"/>
        </w:numPr>
        <w:spacing w:after="80"/>
      </w:pPr>
      <w:r>
        <w:rPr>
          <w:rFonts w:ascii="Arial" w:cs="Arial" w:eastAsia="Arial" w:hAnsi="Arial"/>
          <w:sz w:val="20"/>
          <w:szCs w:val="20"/>
        </w:rPr>
        <w:t xml:space="preserve">Add Normal-regime FF25 overlap analysis (currently only Crisis regime is tested).</w:t>
      </w:r>
    </w:p>
    <w:p>
      <w:pPr>
        <w:pStyle w:val="ListParagraph"/>
        <w:numPr>
          <w:ilvl w:val="0"/>
          <w:numId w:val="2"/>
        </w:numPr>
        <w:spacing w:after="80"/>
      </w:pPr>
      <w:r>
        <w:rPr>
          <w:rFonts w:ascii="Arial" w:cs="Arial" w:eastAsia="Arial" w:hAnsi="Arial"/>
          <w:sz w:val="20"/>
          <w:szCs w:val="20"/>
        </w:rPr>
        <w:t xml:space="preserve">Bootstrap the RF improvement under seed 42 and report confidence intervals.</w:t>
      </w:r>
    </w:p>
    <w:p>
      <w:pPr>
        <w:pStyle w:val="ListParagraph"/>
        <w:numPr>
          <w:ilvl w:val="0"/>
          <w:numId w:val="2"/>
        </w:numPr>
        <w:spacing w:after="80"/>
      </w:pPr>
      <w:r>
        <w:rPr>
          <w:rFonts w:ascii="Arial" w:cs="Arial" w:eastAsia="Arial" w:hAnsi="Arial"/>
          <w:sz w:val="20"/>
          <w:szCs w:val="20"/>
        </w:rPr>
        <w:t xml:space="preserve">Increase TE permutations to 1,000+ and test sensitivity to k ∈ {5, 10, 20, 30}.</w:t>
      </w:r>
    </w:p>
    <w:p>
      <w:pPr>
        <w:pStyle w:val="Heading2"/>
        <w:spacing w:after="160" w:before="280"/>
      </w:pPr>
      <w:r>
        <w:rPr>
          <w:rFonts w:ascii="Arial" w:cs="Arial" w:eastAsia="Arial" w:hAnsi="Arial"/>
          <w:b/>
          <w:bCs/>
          <w:color w:val="2C5282"/>
          <w:sz w:val="26"/>
          <w:szCs w:val="26"/>
        </w:rPr>
        <w:t xml:space="preserve">7.3 Tier 3: Suggested Improvements</w:t>
      </w:r>
    </w:p>
    <w:p>
      <w:pPr>
        <w:pStyle w:val="ListParagraph"/>
        <w:numPr>
          <w:ilvl w:val="0"/>
          <w:numId w:val="2"/>
        </w:numPr>
        <w:spacing w:after="80"/>
      </w:pPr>
      <w:r>
        <w:rPr>
          <w:rFonts w:ascii="Arial" w:cs="Arial" w:eastAsia="Arial" w:hAnsi="Arial"/>
          <w:sz w:val="20"/>
          <w:szCs w:val="20"/>
        </w:rPr>
        <w:t xml:space="preserve">Pre-register replication on international Fama-French factor data (Developed ex-US, Emerging Markets).</w:t>
      </w:r>
    </w:p>
    <w:p>
      <w:pPr>
        <w:pStyle w:val="ListParagraph"/>
        <w:numPr>
          <w:ilvl w:val="0"/>
          <w:numId w:val="2"/>
        </w:numPr>
        <w:spacing w:after="80"/>
      </w:pPr>
      <w:r>
        <w:rPr>
          <w:rFonts w:ascii="Arial" w:cs="Arial" w:eastAsia="Arial" w:hAnsi="Arial"/>
          <w:sz w:val="20"/>
          <w:szCs w:val="20"/>
        </w:rPr>
        <w:t xml:space="preserve">Implement Bayesian model averaging over K ∈ {2, 3, 4} to reduce model-selection dependence.</w:t>
      </w:r>
    </w:p>
    <w:p>
      <w:pPr>
        <w:pStyle w:val="ListParagraph"/>
        <w:numPr>
          <w:ilvl w:val="0"/>
          <w:numId w:val="2"/>
        </w:numPr>
        <w:spacing w:after="80"/>
      </w:pPr>
      <w:r>
        <w:rPr>
          <w:rFonts w:ascii="Arial" w:cs="Arial" w:eastAsia="Arial" w:hAnsi="Arial"/>
          <w:sz w:val="20"/>
          <w:szCs w:val="20"/>
        </w:rPr>
        <w:t xml:space="preserve">Add notation table to appendix defining all mathematical symbols.</w:t>
      </w:r>
    </w:p>
    <w:p>
      <w:pPr>
        <w:pStyle w:val="ListParagraph"/>
        <w:numPr>
          <w:ilvl w:val="0"/>
          <w:numId w:val="2"/>
        </w:numPr>
        <w:spacing w:after="80"/>
      </w:pPr>
      <w:r>
        <w:rPr>
          <w:rFonts w:ascii="Arial" w:cs="Arial" w:eastAsia="Arial" w:hAnsi="Arial"/>
          <w:sz w:val="20"/>
          <w:szCs w:val="20"/>
        </w:rPr>
        <w:t xml:space="preserve">Investigate June 1998 vs. GFC break timing more thoroughly (test robustness to sample start date).</w:t>
      </w:r>
    </w:p>
    <w:p>
      <w:pPr>
        <w:pStyle w:val="ListParagraph"/>
        <w:numPr>
          <w:ilvl w:val="0"/>
          <w:numId w:val="2"/>
        </w:numPr>
        <w:spacing w:after="80"/>
      </w:pPr>
      <w:r>
        <w:rPr>
          <w:rFonts w:ascii="Arial" w:cs="Arial" w:eastAsia="Arial" w:hAnsi="Arial"/>
          <w:sz w:val="20"/>
          <w:szCs w:val="20"/>
        </w:rPr>
        <w:t xml:space="preserve">Consider structural VAR or dynamic causal models to impose economic constraints beyond Granger.</w:t>
      </w:r>
    </w:p>
    <w:p>
      <w:r>
        <w:br w:type="page"/>
      </w:r>
    </w:p>
    <w:p>
      <w:pPr>
        <w:pStyle w:val="Heading1"/>
        <w:spacing w:after="200" w:before="360"/>
      </w:pPr>
      <w:r>
        <w:rPr>
          <w:rFonts w:ascii="Arial" w:cs="Arial" w:eastAsia="Arial" w:hAnsi="Arial"/>
          <w:b/>
          <w:bCs/>
          <w:color w:val="1A365D"/>
          <w:sz w:val="32"/>
          <w:szCs w:val="32"/>
        </w:rPr>
        <w:t xml:space="preserve">8. Confidence Assessment</w:t>
      </w:r>
    </w:p>
    <w:p>
      <w:pPr>
        <w:pStyle w:val="Heading2"/>
        <w:spacing w:after="160" w:before="280"/>
      </w:pPr>
      <w:r>
        <w:rPr>
          <w:rFonts w:ascii="Arial" w:cs="Arial" w:eastAsia="Arial" w:hAnsi="Arial"/>
          <w:b/>
          <w:bCs/>
          <w:color w:val="2C5282"/>
          <w:sz w:val="26"/>
          <w:szCs w:val="26"/>
        </w:rPr>
        <w:t xml:space="preserve">High Confidence (Robust, Accept)</w:t>
      </w:r>
    </w:p>
    <w:p>
      <w:pPr>
        <w:pStyle w:val="ListParagraph"/>
        <w:numPr>
          <w:ilvl w:val="0"/>
          <w:numId w:val="2"/>
        </w:numPr>
        <w:spacing w:after="80"/>
      </w:pPr>
      <w:r>
        <w:rPr>
          <w:rFonts w:ascii="Arial" w:cs="Arial" w:eastAsia="Arial" w:hAnsi="Arial"/>
          <w:sz w:val="20"/>
          <w:szCs w:val="20"/>
        </w:rPr>
        <w:t xml:space="preserve">HML→SMB exhibits a strong structural break c. June 1998–January 2008.</w:t>
      </w:r>
    </w:p>
    <w:p>
      <w:pPr>
        <w:pStyle w:val="ListParagraph"/>
        <w:numPr>
          <w:ilvl w:val="0"/>
          <w:numId w:val="2"/>
        </w:numPr>
        <w:spacing w:after="80"/>
      </w:pPr>
      <w:r>
        <w:rPr>
          <w:rFonts w:ascii="Arial" w:cs="Arial" w:eastAsia="Arial" w:hAnsi="Arial"/>
          <w:sz w:val="20"/>
          <w:szCs w:val="20"/>
        </w:rPr>
        <w:t xml:space="preserve">Pre-crisis Normal regime shows extraordinary Bonferroni significance (p = 8.75 × 10⁻⁹).</w:t>
      </w:r>
    </w:p>
    <w:p>
      <w:pPr>
        <w:pStyle w:val="ListParagraph"/>
        <w:numPr>
          <w:ilvl w:val="0"/>
          <w:numId w:val="2"/>
        </w:numPr>
        <w:spacing w:after="80"/>
      </w:pPr>
      <w:r>
        <w:rPr>
          <w:rFonts w:ascii="Arial" w:cs="Arial" w:eastAsia="Arial" w:hAnsi="Arial"/>
          <w:sz w:val="20"/>
          <w:szCs w:val="20"/>
        </w:rPr>
        <w:t xml:space="preserve">Post-2008, the relationship is statistically zero for 16 years (95% CI [−0.049, 0.073]).</w:t>
      </w:r>
    </w:p>
    <w:p>
      <w:pPr>
        <w:pStyle w:val="ListParagraph"/>
        <w:numPr>
          <w:ilvl w:val="0"/>
          <w:numId w:val="2"/>
        </w:numPr>
        <w:spacing w:after="80"/>
      </w:pPr>
      <w:r>
        <w:rPr>
          <w:rFonts w:ascii="Arial" w:cs="Arial" w:eastAsia="Arial" w:hAnsi="Arial"/>
          <w:sz w:val="20"/>
          <w:szCs w:val="20"/>
        </w:rPr>
        <w:t xml:space="preserve">Regime-conditional architecture successfully identifies the multi-break pattern.</w:t>
      </w:r>
    </w:p>
    <w:p>
      <w:pPr>
        <w:pStyle w:val="ListParagraph"/>
        <w:numPr>
          <w:ilvl w:val="0"/>
          <w:numId w:val="2"/>
        </w:numPr>
        <w:spacing w:after="80"/>
      </w:pPr>
      <w:r>
        <w:rPr>
          <w:rFonts w:ascii="Arial" w:cs="Arial" w:eastAsia="Arial" w:hAnsi="Arial"/>
          <w:sz w:val="20"/>
          <w:szCs w:val="20"/>
        </w:rPr>
        <w:t xml:space="preserve">Linear Granger captures the full predictive content in the forward HML→SMB direction (under primary fit).</w:t>
      </w:r>
    </w:p>
    <w:p>
      <w:pPr>
        <w:pStyle w:val="Heading2"/>
        <w:spacing w:after="160" w:before="280"/>
      </w:pPr>
      <w:r>
        <w:rPr>
          <w:rFonts w:ascii="Arial" w:cs="Arial" w:eastAsia="Arial" w:hAnsi="Arial"/>
          <w:b/>
          <w:bCs/>
          <w:color w:val="2C5282"/>
          <w:sz w:val="26"/>
          <w:szCs w:val="26"/>
        </w:rPr>
        <w:t xml:space="preserve">Medium Confidence (Suggestive, Needs Reframing)</w:t>
      </w:r>
    </w:p>
    <w:p>
      <w:pPr>
        <w:pStyle w:val="ListParagraph"/>
        <w:numPr>
          <w:ilvl w:val="0"/>
          <w:numId w:val="2"/>
        </w:numPr>
        <w:spacing w:after="80"/>
      </w:pPr>
      <w:r>
        <w:rPr>
          <w:rFonts w:ascii="Arial" w:cs="Arial" w:eastAsia="Arial" w:hAnsi="Arial"/>
          <w:sz w:val="20"/>
          <w:szCs w:val="20"/>
        </w:rPr>
        <w:t xml:space="preserve">OOS Elevated re-emergence is real but prevalence-dependent and does not survive strict correction.</w:t>
      </w:r>
    </w:p>
    <w:p>
      <w:pPr>
        <w:pStyle w:val="ListParagraph"/>
        <w:numPr>
          <w:ilvl w:val="0"/>
          <w:numId w:val="2"/>
        </w:numPr>
        <w:spacing w:after="80"/>
      </w:pPr>
      <w:r>
        <w:rPr>
          <w:rFonts w:ascii="Arial" w:cs="Arial" w:eastAsia="Arial" w:hAnsi="Arial"/>
          <w:sz w:val="20"/>
          <w:szCs w:val="20"/>
        </w:rPr>
        <w:t xml:space="preserve">Transfer entropy asymmetry (linear forward, nonlinear reverse) is intriguing but design parameters are borderline.</w:t>
      </w:r>
    </w:p>
    <w:p>
      <w:pPr>
        <w:pStyle w:val="ListParagraph"/>
        <w:numPr>
          <w:ilvl w:val="0"/>
          <w:numId w:val="2"/>
        </w:numPr>
        <w:spacing w:after="80"/>
      </w:pPr>
      <w:r>
        <w:rPr>
          <w:rFonts w:ascii="Arial" w:cs="Arial" w:eastAsia="Arial" w:hAnsi="Arial"/>
          <w:sz w:val="20"/>
          <w:szCs w:val="20"/>
        </w:rPr>
        <w:t xml:space="preserve">LSTM attention concentration decay mirrors the structural break, though the metric is initialization-dependent.</w:t>
      </w:r>
    </w:p>
    <w:p>
      <w:pPr>
        <w:pStyle w:val="ListParagraph"/>
        <w:numPr>
          <w:ilvl w:val="0"/>
          <w:numId w:val="2"/>
        </w:numPr>
        <w:spacing w:after="80"/>
      </w:pPr>
      <w:r>
        <w:rPr>
          <w:rFonts w:ascii="Arial" w:cs="Arial" w:eastAsia="Arial" w:hAnsi="Arial"/>
          <w:sz w:val="20"/>
          <w:szCs w:val="20"/>
        </w:rPr>
        <w:t xml:space="preserve">MOM→SMB secondary pair (permutation p = 0.010) corroborates the regime-conditional pattern.</w:t>
      </w:r>
    </w:p>
    <w:p>
      <w:pPr>
        <w:pStyle w:val="Heading2"/>
        <w:spacing w:after="160" w:before="280"/>
      </w:pPr>
      <w:r>
        <w:rPr>
          <w:rFonts w:ascii="Arial" w:cs="Arial" w:eastAsia="Arial" w:hAnsi="Arial"/>
          <w:b/>
          <w:bCs/>
          <w:color w:val="2C5282"/>
          <w:sz w:val="26"/>
          <w:szCs w:val="26"/>
        </w:rPr>
        <w:t xml:space="preserve">Low Confidence (Exploratory, Requires Future Validation)</w:t>
      </w:r>
    </w:p>
    <w:p>
      <w:pPr>
        <w:pStyle w:val="ListParagraph"/>
        <w:numPr>
          <w:ilvl w:val="0"/>
          <w:numId w:val="2"/>
        </w:numPr>
        <w:spacing w:after="80"/>
      </w:pPr>
      <w:r>
        <w:rPr>
          <w:rFonts w:ascii="Arial" w:cs="Arial" w:eastAsia="Arial" w:hAnsi="Arial"/>
          <w:sz w:val="20"/>
          <w:szCs w:val="20"/>
        </w:rPr>
        <w:t xml:space="preserve">Deleveraging cascade mechanism is unvalidated (no 13F holdings verification).</w:t>
      </w:r>
    </w:p>
    <w:p>
      <w:pPr>
        <w:pStyle w:val="ListParagraph"/>
        <w:numPr>
          <w:ilvl w:val="0"/>
          <w:numId w:val="2"/>
        </w:numPr>
        <w:spacing w:after="80"/>
      </w:pPr>
      <w:r>
        <w:rPr>
          <w:rFonts w:ascii="Arial" w:cs="Arial" w:eastAsia="Arial" w:hAnsi="Arial"/>
          <w:sz w:val="20"/>
          <w:szCs w:val="20"/>
        </w:rPr>
        <w:t xml:space="preserve">Regime definitions are not uniquely optimal (local optima trade-off unresolved between BIC and crisis alignment).</w:t>
      </w:r>
    </w:p>
    <w:p>
      <w:pPr>
        <w:pStyle w:val="ListParagraph"/>
        <w:numPr>
          <w:ilvl w:val="0"/>
          <w:numId w:val="2"/>
        </w:numPr>
        <w:spacing w:after="80"/>
      </w:pPr>
      <w:r>
        <w:rPr>
          <w:rFonts w:ascii="Arial" w:cs="Arial" w:eastAsia="Arial" w:hAnsi="Arial"/>
          <w:sz w:val="20"/>
          <w:szCs w:val="20"/>
        </w:rPr>
        <w:t xml:space="preserve">Pair selection was not pre-registered; effective degrees of freedom exceed the 30-pair Bonferroni correction.</w:t>
      </w:r>
    </w:p>
    <w:p>
      <w:pPr>
        <w:pStyle w:val="ListParagraph"/>
        <w:numPr>
          <w:ilvl w:val="0"/>
          <w:numId w:val="2"/>
        </w:numPr>
        <w:spacing w:after="80"/>
      </w:pPr>
      <w:r>
        <w:rPr>
          <w:rFonts w:ascii="Arial" w:cs="Arial" w:eastAsia="Arial" w:hAnsi="Arial"/>
          <w:sz w:val="20"/>
          <w:szCs w:val="20"/>
        </w:rPr>
        <w:t xml:space="preserve">FF25 overlap evidence is marginal (p = 0.046) and uses a different HMM fit than the main results.</w:t>
      </w:r>
    </w:p>
    <w:p>
      <w:pPr>
        <w:pStyle w:val="ListParagraph"/>
        <w:numPr>
          <w:ilvl w:val="0"/>
          <w:numId w:val="2"/>
        </w:numPr>
        <w:spacing w:after="80"/>
      </w:pPr>
      <w:r>
        <w:rPr>
          <w:rFonts w:ascii="Arial" w:cs="Arial" w:eastAsia="Arial" w:hAnsi="Arial"/>
          <w:sz w:val="20"/>
          <w:szCs w:val="20"/>
        </w:rPr>
        <w:t xml:space="preserve">"Predominantly linear" characterization is seed-dependent (RF significant under seed 42, not seed 28).</w:t>
      </w:r>
    </w:p>
    <w:p>
      <w:r>
        <w:br w:type="page"/>
      </w:r>
    </w:p>
    <w:p>
      <w:pPr>
        <w:pStyle w:val="Heading1"/>
        <w:spacing w:after="200" w:before="360"/>
      </w:pPr>
      <w:r>
        <w:rPr>
          <w:rFonts w:ascii="Arial" w:cs="Arial" w:eastAsia="Arial" w:hAnsi="Arial"/>
          <w:b/>
          <w:bCs/>
          <w:color w:val="1A365D"/>
          <w:sz w:val="32"/>
          <w:szCs w:val="32"/>
        </w:rPr>
        <w:t xml:space="preserve">9. Final Remarks</w:t>
      </w:r>
    </w:p>
    <w:p>
      <w:pPr>
        <w:spacing w:after="120"/>
      </w:pPr>
      <w:r>
        <w:rPr>
          <w:rFonts w:ascii="Arial" w:cs="Arial" w:eastAsia="Arial" w:hAnsi="Arial"/>
          <w:sz w:val="20"/>
          <w:szCs w:val="20"/>
        </w:rPr>
        <w:t xml:space="preserve">This paper makes a genuine contribution to empirical finance by documenting that cross-factor predictive structure is regime-dependent and can undergo multi-break decay. The in-sample structural break finding is among the most significant results we have seen in the regime-switching Granger causality literature, and the frozen OOS design represents methodological best practice.</w:t>
      </w:r>
    </w:p>
    <w:p>
      <w:pPr>
        <w:spacing w:after="120"/>
      </w:pPr>
      <w:r>
        <w:rPr>
          <w:rFonts w:ascii="Arial" w:cs="Arial" w:eastAsia="Arial" w:hAnsi="Arial"/>
          <w:sz w:val="20"/>
          <w:szCs w:val="20"/>
        </w:rPr>
        <w:t xml:space="preserve">The paper’s exceptional transparency—openly disclosing prevalence dependence, local optima sensitivity, negative trading results, and pair selection bias—sets a standard that other empirical finance papers should emulate. This honesty should be rewarded in the review process.</w:t>
      </w:r>
    </w:p>
    <w:p>
      <w:pPr>
        <w:spacing w:after="120"/>
      </w:pPr>
      <w:r>
        <w:rPr>
          <w:rFonts w:ascii="Arial" w:cs="Arial" w:eastAsia="Arial" w:hAnsi="Arial"/>
          <w:sz w:val="20"/>
          <w:szCs w:val="20"/>
        </w:rPr>
        <w:t xml:space="preserve">However, the OOS evidence is weaker than its current framing suggests, and the economic interpretation remains ambiguous (dual-mechanism problem, unvalidated deleveraging hypothesis). The paper would be substantially strengthened by: (1) clearly subordinating the OOS re-emergence to the structural break finding, (2) adopting more conservative statistical choices where alternatives exist (HAC bandwidth, multiple-testing framework), and (3) pursuing pre-registered international replication.</w:t>
      </w:r>
    </w:p>
    <w:p>
      <w:pPr>
        <w:spacing w:after="120"/>
      </w:pPr>
      <w:r>
        <w:rPr>
          <w:rFonts w:ascii="Arial" w:cs="Arial" w:eastAsia="Arial" w:hAnsi="Arial"/>
          <w:sz w:val="20"/>
          <w:szCs w:val="20"/>
        </w:rPr>
        <w:t xml:space="preserve">With the Tier 1 mandatory revisions addressed, this paper represents a solid contribution to ICAIF 2026 and the broader computational finance literature.</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7FAFC" w:val="clear"/>
            <w:tcMar>
              <w:top w:type="dxa" w:w="160"/>
              <w:left w:type="dxa" w:w="240"/>
              <w:bottom w:type="dxa" w:w="160"/>
              <w:right w:type="dxa" w:w="240"/>
            </w:tcMar>
          </w:tcPr>
          <w:p>
            <w:pPr>
              <w:spacing w:after="80"/>
            </w:pPr>
            <w:r>
              <w:rPr>
                <w:rFonts w:ascii="Arial" w:cs="Arial" w:eastAsia="Arial" w:hAnsi="Arial"/>
                <w:b/>
                <w:bCs/>
                <w:color w:val="4A5568"/>
                <w:sz w:val="18"/>
                <w:szCs w:val="18"/>
              </w:rPr>
              <w:t xml:space="preserve">Review Methodology Note</w:t>
            </w:r>
          </w:p>
          <w:p>
            <w:r>
              <w:rPr>
                <w:rFonts w:ascii="Arial" w:cs="Arial" w:eastAsia="Arial" w:hAnsi="Arial"/>
                <w:color w:val="718096"/>
                <w:sz w:val="18"/>
                <w:szCs w:val="18"/>
              </w:rPr>
              <w:t xml:space="preserve">This review was conducted using four parallel expert subagents, each independently analyzing a different dimension: (1) statistical methodology and inference, (2) economic content and interpretation, (3) writing quality and presentation, (4) ML validation and robustness analysis. Findings were synthesized into this unified report. Each subagent had full access to the complete LaTeX source of the paper.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Comprehensive Peer Review — ICAIF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2026-02-28T07:24:03.858Z</dcterms:created>
  <dcterms:modified xsi:type="dcterms:W3CDTF">2026-02-28T07:24:03.858Z</dcterms:modified>
</cp:coreProperties>
</file>

<file path=docProps/custom.xml><?xml version="1.0" encoding="utf-8"?>
<Properties xmlns="http://schemas.openxmlformats.org/officeDocument/2006/custom-properties" xmlns:vt="http://schemas.openxmlformats.org/officeDocument/2006/docPropsVTypes"/>
</file>