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FRESH PANEL REVIEW (NO PRIOR CONTEXT)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Regime-Conditional HML→SMB Granger Predictability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Four independent panels: Methodology, Contribution, Writing, Robustness  |  February 28, 2026</w:t>
      </w:r>
    </w:p>
    <w:p>
      <w:pPr>
        <w:pStyle w:val="Heading1"/>
      </w:pPr>
      <w:r>
        <w:rPr>
          <w:rFonts w:ascii="Arial" w:cs="Arial" w:eastAsia="Arial" w:hAnsi="Arial"/>
        </w:rPr>
        <w:t xml:space="preserve">Overall Verdict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Finding (Structural Break)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9/10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OOS Re-emergence (Exploratory)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4.5/10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 &amp; Statistical Rigor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7.5/10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 &amp; Presentation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6.5/10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Novelty &amp; ICAIF 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5.5/10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WEIGHTED 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6.9/10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CC7700"/>
          <w:sz w:val="22"/>
          <w:szCs w:val="22"/>
        </w:rPr>
        <w:t xml:space="preserve">Recommendation: MAJOR REVISION.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structural break finding is robust and publishable (9/10). The OOS re-emergence is fragile and correctly labeled exploratory. The main concern for ICAIF is insufficient ML/AI contribution: ML is used as diagnostic, not innovation. A focused paper on the structural break + nonlinear causal discovery would be stronger.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Consolidated Findings Across All Four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400"/>
        <w:gridCol w:w="14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OOS sample size discrepancy: text (661,836,1299) vs table (724,953,1119)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used as diagnostic only; insufficient AI/ML contribution for ICAIF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OOS HAC p=0.043 crosses 5% at NW default bandwidth (p=0.056)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testing: 30-pair Bonferroni nullifies all OOS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Regime expansion 13.7%→30.7% drives OOS; bootstrap p=0.153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K=3 non-monotonic: null at K=2 and K=4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optima: BIC-optimal assigns 0% of 2008 to Crisis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Bai-Perron not run; multi-break narrative unsupported formally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OOS result gets 30% of text vs 6% for primary structural break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"Suggestive" appears 5+ times for same OOS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Economic significance: ΔR²≈2% unquantified in VaR 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 entropy kNN k=5 not justified; no sensitivity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 creep: 7+ concurrent analyses dilute narrative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Deleveraging hypothesis unverified (no 13F 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Novelty limited: Psaradakis et al. (2005) precedent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benchmarks: DY connectedness, rolling-window comparison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MINOR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convention creates regime assignment ambiguity (86.3% agree)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MINOR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validation low power: 2/6 confirm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MINOR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Robustness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Panel 1: Methodology &amp; Statistical Rigor</w:t>
      </w:r>
    </w:p>
    <w:p>
      <w:pPr>
        <w:pStyle w:val="Heading2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K=3 confirmed on training data (1990-2012) with ΔBIC=1,680 — eliminates look-ahead bias.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50-seed multistart with 7 documented local optima clusters is thorough and transparent.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Trivariate MKT-RF confounder control included (Normal-regime HML→SMB survives, MKT-RF F-p &gt; 0.43).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 bandwidth sensitivity explicitly tabulated (Andrews B=2 through B=30).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Prevalence reweighting bootstrap (1,000 subsamples) directly addresses regime expansion.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Permutation tests with fixed seeds ensure reproducibility.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1. HAC bandwidth sensitivity crosses 5% (MAJOR).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Andrews automatic (B=2) yields p=0.043; Newey-West default (B=6) yields p=0.056. The choice of bandwidth selection rule determines whether the OOS result is “significant” at conventional levels. This is properly disclosed in-text but not in the abstract, which reports only p=0.043.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2. Multiple testing framework (MAJOR).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paper correctly applies 30-pair Bonferroni as the primary OOS correction (α/30=0.00033), under which no pair survives. However, raw statistics (F-p=0.003, HAC p=0.043) are still reported prominently. The framing is honest but could mislead readers who skim.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7700"/>
          <w:sz w:val="22"/>
          <w:szCs w:val="22"/>
        </w:rPr>
        <w:t xml:space="preserve">3. Multi-break narrative lacks formal support (MODERATE).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Only two breakpoints identified (June 1998, January 2008). The title claims “multi-break decay” but Bai-Perron sequential test is deferred to future work. Without formal testing, “two-break” is more accurate than “multi-break.”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7700"/>
          <w:sz w:val="22"/>
          <w:szCs w:val="22"/>
        </w:rPr>
        <w:t xml:space="preserve">4. Transfer entropy k=5 unjustified (MODERATE).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kNN estimator uses k=5 without cross-validation or sensitivity analysis. With sample sizes in thousands, k=5 is conservative. Sensitivity to k=3,4,5,6,7 should be reported.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Panel 2: Contribution &amp; ICAIF Fit</w:t>
      </w:r>
    </w:p>
    <w:p>
      <w:pPr>
        <w:pStyle w:val="Heading2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Structural break timing (June 1998, January 2008) is novel and economically interpretable.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Frozen OOS design is methodologically rigorous for eliminating regime-identification circularity.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Transfer entropy directional asymmetry (linear forward, nonlinear reverse) is genuinely novel.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Risk-model specification argument (VaR, stress tests) provides practical motivation.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1. Insufficient ML/AI content for ICAIF (MAJOR).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LSTM, RF, MLP are used as diagnostics (confirming linearity), not as predictive tools or methodological innovations. No ML method improves prediction. For ICAIF, this reads as robustness appendix rather than ML contribution. A neural Granger framework or nonlinear causal discovery approach would strengthen ICAIF fit.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7700"/>
          <w:sz w:val="22"/>
          <w:szCs w:val="22"/>
        </w:rPr>
        <w:t xml:space="preserve">2. Economic significance weakly quantified (MODERATE).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$100B portfolio argument is directionally correct but unquantified. How much does 2% ΔR² change VaR? The VaR application itself shows 93.2% false-alarm rate. Trading backtest gives Sharpe = -0.07. The practical value proposition is asserted but not demonstrated.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7700"/>
          <w:sz w:val="22"/>
          <w:szCs w:val="22"/>
        </w:rPr>
        <w:t xml:space="preserve">3. Scope creep (MODERATE).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paper attempts 7+ analyses (structural break, OOS, ML diagnostics, transfer entropy, FF25 overlap, event validation, VaR, trading). Each is underdeveloped. A focused paper on structural break + transfer entropy asymmetry would be stronger.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7700"/>
          <w:sz w:val="22"/>
          <w:szCs w:val="22"/>
        </w:rPr>
        <w:t xml:space="preserve">4. Novelty limited vs. Psaradakis et al. 2005 (MODERATE).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Regime-switching Granger causality was established 20 years ago. The novelty is application domain (FF factors) and structural break timing, not methodology. For ICAIF, methodological novelty is expected.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Panel 3: Writing &amp; Presentation</w:t>
      </w:r>
    </w:p>
    <w:p>
      <w:pPr>
        <w:pStyle w:val="Heading2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Abstract leads with clear thesis: “cross-factor predictive relationships structurally break down.”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captions are generally self-contained with methodological notes.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Limitations section is forthright about causality caveats and effect size modesty.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Consistent percentage-unit convention designated as “sole primary.”</w:t>
      </w:r>
    </w:p>
    <w:p>
      <w:pPr>
        <w:pStyle w:val="Heading2"/>
      </w:pPr>
      <w:r>
        <w:rPr>
          <w:rFonts w:ascii="Arial" w:cs="Arial" w:eastAsia="Arial" w:hAnsi="Arial"/>
        </w:rPr>
        <w:t xml:space="preserve">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7700"/>
          <w:sz w:val="22"/>
          <w:szCs w:val="22"/>
        </w:rPr>
        <w:t xml:space="preserve">1. Disproportionate secondary emphasis (MODERATE).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OOS re-emergence receives ~30% of text despite not surviving Bonferroni, being bandwidth-sensitive, and having bootstrap p=0.153. The primary structural break receives ~6% of dedicated text. Text allocation should be proportional to evidential weight.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7700"/>
          <w:sz w:val="22"/>
          <w:szCs w:val="22"/>
        </w:rPr>
        <w:t xml:space="preserve">2. “Suggestive” overuse (MODERATE).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Appears 5+ times for the same OOS result (abstract, introduction, contributions, results, conclusion). Creates defensive tone. Use once in Results definition, then reference with specific statistics.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3. Crisis regime mislabeling not addressed upfront (MINOR).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BIC-optimal fit assigns 0% of 2008 GFC to “Crisis” regime. Readers encounter “Crisis” label before learning it doesn’t correspond to calendar crises. Earlier disclosure would prevent confusion.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4. Figures 3, 6, 7 are partially redundant (MINOR).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Three sequential figures all depict HML→SMB in different regimes. Could consolidate into 2-3 panel figure showing regime architecture.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Panel 4: Robustness &amp; Reproducibility</w:t>
      </w:r>
    </w:p>
    <w:p>
      <w:pPr>
        <w:pStyle w:val="Heading2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numerical consistency verified: regime counts, percentages, exclusion rates, BIC differences all check out.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50-seed multistart with fixed seeds enables exact replication of primary fit.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7 local optima clusters documented with per-cluster Elevated prevalence and HAC p-values.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Prevalence reweighting bootstrap directly addresses the regime expansion concern.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Distributional stability of OOS Elevated regime assessed (training vs test means compared).</w:t>
      </w:r>
    </w:p>
    <w:p>
      <w:pPr>
        <w:pStyle w:val="Heading2"/>
      </w:pPr>
      <w:r>
        <w:rPr>
          <w:rFonts w:ascii="Arial" w:cs="Arial" w:eastAsia="Arial" w:hAnsi="Arial"/>
        </w:rPr>
        <w:t xml:space="preserve">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1. OOS sample size discrepancy (MAJOR).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Text (line 657) states frozen OOS retains 661+836+1,299=2,796 days. Table shows Normal=724, Elevated=953, Crisis=1,119. These differ by 9-14% per regime. The discrepancy likely reflects a stale reference from a prior convention (decimal-unit vs percentage-unit), but must be resolved for reproducibility.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7700"/>
          <w:sz w:val="22"/>
          <w:szCs w:val="22"/>
        </w:rPr>
        <w:t xml:space="preserve">2. OOS trivariate control missing (MODERATE).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Trivariate MKT-RF confounder control is reported for in-sample only. The same control should be applied to the OOS Elevated sample to confirm the signal is not MKT-RF-driven post-GFC.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3. No OOS subperiod stability (MINOR).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OOS period spans 2013-2024 (12 years). Is the Elevated signal concentrated in a specific subperiod (e.g., post-COVID)? A rolling or split analysis within the OOS window would clarify.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Critical Actions for Acceptance</w:t>
      </w:r>
    </w:p>
    <w:p>
      <w:pPr>
        <w:pStyle w:val="Heading2"/>
      </w:pPr>
      <w:r>
        <w:rPr>
          <w:rFonts w:ascii="Arial" w:cs="Arial" w:eastAsia="Arial" w:hAnsi="Arial"/>
        </w:rPr>
        <w:t xml:space="preserve">Must Fix (Blocks Acceptance)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Resolve OOS sample size discrepancy.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Text says 661+836+1,299; table shows 724+953+1,119. One is a stale decimal-unit reference. Fix and ensure F-statistics match stated n values.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abstract note on bandwidth sensitivity.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Abstract reports HAC p=0.043 without noting NW default yields p=0.056. Add: "bandwidth-sensitive (Andrews p=0.043, NW p=0.056)."</w:t>
      </w:r>
    </w:p>
    <w:p>
      <w:pPr>
        <w:pStyle w:val="Heading2"/>
      </w:pPr>
      <w:r>
        <w:rPr>
          <w:rFonts w:ascii="Arial" w:cs="Arial" w:eastAsia="Arial" w:hAnsi="Arial"/>
        </w:rPr>
        <w:t xml:space="preserve">Strongly Recommended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Rebalance text: allocate 40-50% to structural break (primary), 15-20% to OOS (exploratory).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“suggestive” to 1-2 uses; replace with specific statistics.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OOS trivariate MKT-RF control.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Justify transfer entropy k=5 or report sensitivity across k=3-7.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 ML section for ICAIF: either neural Granger prediction or nonlinear causal discovery.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Bai-Perron test or change “multi-break” to “two-break.”</w:t>
      </w:r>
    </w:p>
    <w:p>
      <w:pPr>
        <w:pStyle w:val="Heading2"/>
      </w:pPr>
      <w:r>
        <w:rPr>
          <w:rFonts w:ascii="Arial" w:cs="Arial" w:eastAsia="Arial" w:hAnsi="Arial"/>
        </w:rPr>
        <w:t xml:space="preserve">Value-Add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International replication (UK, Japan, global factors).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Quantify VaR impact of 2% ΔR² for the $100B portfolio argument.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Consolidate redundant figures into 2-3 panel composite.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OOS subperiod stability analysis (2013-2018 vs 2019-2024).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Key Strengths (Across All Panels)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Structural break finding is statistically robust (p = 8.75 × 10⁻⁹, Bonferroni-corrected) and novel in timing characterization (June 1998, January 2008).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Frozen OOS design eliminates regime-identification circularity — a genuine methodological contribution to the regime-switching literature.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K=3 selected on training data only (ΔBIC=1,680), eliminating look-ahead bias in model selection.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Exceptional transparency: 50-seed multistart, 7 local optima clusters documented, negative trading results disclosed, prevalence dependence acknowledged.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Transfer entropy directional asymmetry (linear forward, nonlinear reverse) is a genuinely novel finding with implications for factor risk models.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30-pair Bonferroni applied as primary OOS correction — more conservative than most factor-timing studies.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testing and prevalence sensitivity analyses exceed typical disclosure standards.</w:t>
      </w:r>
    </w:p>
    <w:p>
      <w:pPr>
        <w:pStyle w:val="Heading1"/>
      </w:pPr>
      <w:r>
        <w:rPr>
          <w:rFonts w:ascii="Arial" w:cs="Arial" w:eastAsia="Arial" w:hAnsi="Arial"/>
        </w:rPr>
        <w:t xml:space="preserve">Path Forward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paper has a strong core in the structural break finding. For ICAIF specifically, the ML/AI component needs strengthening — either developing the transfer entropy asymmetry into a nonlinear causal discovery framework, or using neural Granger methods as primary tools rather than diagnostics. For a pure finance venue (JFE, RFS), the paper is closer to acceptance as-is. The OOS re-emergence is correctly labeled exploratory but still receives disproportionate attention. The sample size discrepancy is a fixable error that must be resolved before any submission.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Fresh Panel Review  |  ICAIF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2026-02-28T10:12:39.586Z</dcterms:created>
  <dcterms:modified xsi:type="dcterms:W3CDTF">2026-02-28T10:12:39.587Z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