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70C0"/>
          <w:sz w:val="36"/>
        </w:rPr>
        <w:t>ASSET Project</w:t>
      </w:r>
    </w:p>
    <w:p>
      <w:pPr>
        <w:spacing w:before="0" w:after="360"/>
        <w:jc w:val="center"/>
      </w:pPr>
      <w:r>
        <w:rPr>
          <w:rFonts w:ascii="Calibri" w:hAnsi="Calibri"/>
          <w:b w:val="0"/>
          <w:color w:val="4472C4"/>
          <w:sz w:val="22"/>
        </w:rPr>
        <w:t>Accelerating &amp; Strengthening Skills for Economic Transformation</w:t>
      </w:r>
    </w:p>
    <w:p>
      <w:pPr>
        <w:jc w:val="center"/>
        <w:pBdr>
          <w:bottom w:val="single" w:sz="6" w:space="1" w:color="2E75B6"/>
        </w:pBdr>
      </w:pPr>
    </w:p>
    <w:p>
      <w:pPr>
        <w:spacing w:before="280" w:after="120"/>
        <w:jc w:val="center"/>
      </w:pPr>
      <w:r>
        <w:rPr>
          <w:rFonts w:ascii="Calibri" w:hAnsi="Calibri"/>
          <w:b/>
          <w:color w:val="1F497D"/>
          <w:sz w:val="44"/>
        </w:rPr>
        <w:t>Accelerating and Strengthening Skills for Economic Transformation (ASSET)</w:t>
      </w:r>
    </w:p>
    <w:p>
      <w:pPr>
        <w:spacing w:before="80" w:after="360"/>
        <w:jc w:val="center"/>
      </w:pPr>
      <w:r>
        <w:rPr>
          <w:rFonts w:ascii="Calibri" w:hAnsi="Calibri"/>
          <w:b w:val="0"/>
          <w:color w:val="4472C4"/>
          <w:sz w:val="30"/>
        </w:rPr>
        <w:t>A Comprehensive Research Report</w:t>
      </w:r>
    </w:p>
    <w:p>
      <w:pPr>
        <w:jc w:val="center"/>
        <w:pBdr>
          <w:bottom w:val="single" w:sz="6" w:space="1" w:color="2E75B6"/>
        </w:pBdr>
      </w:pPr>
    </w:p>
    <w:p/>
    <w:tbl>
      <w:tblPr>
        <w:tblStyle w:val="TableGrid"/>
        <w:tblW w:type="auto" w:w="0"/>
        <w:tblLook w:firstColumn="1" w:firstRow="1" w:lastColumn="0" w:lastRow="0" w:noHBand="0" w:noVBand="1" w:val="04A0"/>
      </w:tblPr>
      <w:tblGrid>
        <w:gridCol w:w="3402"/>
        <w:gridCol w:w="5102"/>
      </w:tblGrid>
      <w:tr>
        <w:tc>
          <w:tcPr>
            <w:tcW w:type="dxa" w:w="3402"/>
          </w:tcPr>
          <w:p>
            <w:r>
              <w:rPr>
                <w:rFonts w:ascii="Calibri" w:hAnsi="Calibri"/>
                <w:b/>
                <w:sz w:val="22"/>
              </w:rPr>
              <w:t>Subject</w:t>
            </w:r>
          </w:p>
        </w:tc>
        <w:tc>
          <w:tcPr>
            <w:tcW w:type="dxa" w:w="5102"/>
          </w:tcPr>
          <w:p>
            <w:r>
              <w:rPr>
                <w:rFonts w:ascii="Calibri" w:hAnsi="Calibri"/>
                <w:b w:val="0"/>
                <w:sz w:val="22"/>
              </w:rPr>
              <w:t>Skills Development for Economic Transformation</w:t>
            </w:r>
          </w:p>
        </w:tc>
      </w:tr>
      <w:tr>
        <w:tc>
          <w:tcPr>
            <w:tcW w:type="dxa" w:w="3402"/>
          </w:tcPr>
          <w:p>
            <w:r>
              <w:rPr>
                <w:rFonts w:ascii="Calibri" w:hAnsi="Calibri"/>
                <w:b/>
                <w:sz w:val="22"/>
              </w:rPr>
              <w:t>Training Institution</w:t>
            </w:r>
          </w:p>
        </w:tc>
        <w:tc>
          <w:tcPr>
            <w:tcW w:type="dxa" w:w="5102"/>
          </w:tcPr>
          <w:p>
            <w:r>
              <w:rPr>
                <w:rFonts w:ascii="Calibri" w:hAnsi="Calibri"/>
                <w:b w:val="0"/>
                <w:sz w:val="22"/>
              </w:rPr>
              <w:t>ASSET Partner Training Center</w:t>
            </w:r>
          </w:p>
        </w:tc>
      </w:tr>
      <w:tr>
        <w:tc>
          <w:tcPr>
            <w:tcW w:type="dxa" w:w="3402"/>
          </w:tcPr>
          <w:p>
            <w:r>
              <w:rPr>
                <w:rFonts w:ascii="Calibri" w:hAnsi="Calibri"/>
                <w:b/>
                <w:sz w:val="22"/>
              </w:rPr>
              <w:t>Training Period</w:t>
            </w:r>
          </w:p>
        </w:tc>
        <w:tc>
          <w:tcPr>
            <w:tcW w:type="dxa" w:w="5102"/>
          </w:tcPr>
          <w:p>
            <w:r>
              <w:rPr>
                <w:rFonts w:ascii="Calibri" w:hAnsi="Calibri"/>
                <w:b w:val="0"/>
                <w:sz w:val="22"/>
              </w:rPr>
              <w:t>25/02/2026 to 02/04/2026</w:t>
            </w:r>
          </w:p>
        </w:tc>
      </w:tr>
      <w:tr>
        <w:tc>
          <w:tcPr>
            <w:tcW w:type="dxa" w:w="3402"/>
          </w:tcPr>
          <w:p>
            <w:r>
              <w:rPr>
                <w:rFonts w:ascii="Calibri" w:hAnsi="Calibri"/>
                <w:b/>
                <w:sz w:val="22"/>
              </w:rPr>
              <w:t>Student Name</w:t>
            </w:r>
          </w:p>
        </w:tc>
        <w:tc>
          <w:tcPr>
            <w:tcW w:type="dxa" w:w="5102"/>
          </w:tcPr>
          <w:p>
            <w:r>
              <w:rPr>
                <w:rFonts w:ascii="Calibri" w:hAnsi="Calibri"/>
                <w:b w:val="0"/>
                <w:sz w:val="22"/>
              </w:rPr>
              <w:t>Md. Al-Amin Bhuiyan</w:t>
            </w:r>
          </w:p>
        </w:tc>
      </w:tr>
      <w:tr>
        <w:tc>
          <w:tcPr>
            <w:tcW w:type="dxa" w:w="3402"/>
          </w:tcPr>
          <w:p>
            <w:r>
              <w:rPr>
                <w:rFonts w:ascii="Calibri" w:hAnsi="Calibri"/>
                <w:b/>
                <w:sz w:val="22"/>
              </w:rPr>
              <w:t>Position / Roll</w:t>
            </w:r>
          </w:p>
        </w:tc>
        <w:tc>
          <w:tcPr>
            <w:tcW w:type="dxa" w:w="5102"/>
          </w:tcPr>
          <w:p>
            <w:r>
              <w:rPr>
                <w:rFonts w:ascii="Calibri" w:hAnsi="Calibri"/>
                <w:b w:val="0"/>
                <w:sz w:val="22"/>
              </w:rPr>
              <w:t>Junior Instructor</w:t>
            </w:r>
          </w:p>
        </w:tc>
      </w:tr>
      <w:tr>
        <w:tc>
          <w:tcPr>
            <w:tcW w:type="dxa" w:w="3402"/>
          </w:tcPr>
          <w:p>
            <w:r>
              <w:rPr>
                <w:rFonts w:ascii="Calibri" w:hAnsi="Calibri"/>
                <w:b/>
                <w:sz w:val="22"/>
              </w:rPr>
              <w:t>Department</w:t>
            </w:r>
          </w:p>
        </w:tc>
        <w:tc>
          <w:tcPr>
            <w:tcW w:type="dxa" w:w="5102"/>
          </w:tcPr>
          <w:p>
            <w:r>
              <w:rPr>
                <w:rFonts w:ascii="Calibri" w:hAnsi="Calibri"/>
                <w:b w:val="0"/>
                <w:sz w:val="22"/>
              </w:rPr>
              <w:t>Power / Electrical Engineering</w:t>
            </w:r>
          </w:p>
        </w:tc>
      </w:tr>
      <w:tr>
        <w:tc>
          <w:tcPr>
            <w:tcW w:type="dxa" w:w="3402"/>
          </w:tcPr>
          <w:p>
            <w:r>
              <w:rPr>
                <w:rFonts w:ascii="Calibri" w:hAnsi="Calibri"/>
                <w:b/>
                <w:sz w:val="22"/>
              </w:rPr>
              <w:t>Institution</w:t>
            </w:r>
          </w:p>
        </w:tc>
        <w:tc>
          <w:tcPr>
            <w:tcW w:type="dxa" w:w="5102"/>
          </w:tcPr>
          <w:p>
            <w:r>
              <w:rPr>
                <w:rFonts w:ascii="Calibri" w:hAnsi="Calibri"/>
                <w:b w:val="0"/>
                <w:sz w:val="22"/>
              </w:rPr>
              <w:t>Cumilla Polytechnic Institute</w:t>
            </w:r>
          </w:p>
        </w:tc>
      </w:tr>
      <w:tr>
        <w:tc>
          <w:tcPr>
            <w:tcW w:type="dxa" w:w="3402"/>
          </w:tcPr>
          <w:p>
            <w:r>
              <w:rPr>
                <w:rFonts w:ascii="Calibri" w:hAnsi="Calibri"/>
                <w:b/>
                <w:sz w:val="22"/>
              </w:rPr>
              <w:t>Supervised By</w:t>
            </w:r>
          </w:p>
        </w:tc>
        <w:tc>
          <w:tcPr>
            <w:tcW w:type="dxa" w:w="5102"/>
          </w:tcPr>
          <w:p>
            <w:r>
              <w:rPr>
                <w:rFonts w:ascii="Calibri" w:hAnsi="Calibri"/>
                <w:b w:val="0"/>
                <w:sz w:val="22"/>
              </w:rPr>
              <w:t>Engineer Md. Shariful Islam</w:t>
            </w:r>
          </w:p>
        </w:tc>
      </w:tr>
      <w:tr>
        <w:tc>
          <w:tcPr>
            <w:tcW w:type="dxa" w:w="3402"/>
          </w:tcPr>
          <w:p>
            <w:r>
              <w:rPr>
                <w:rFonts w:ascii="Calibri" w:hAnsi="Calibri"/>
                <w:b/>
                <w:sz w:val="22"/>
              </w:rPr>
              <w:t>Submitted To</w:t>
            </w:r>
          </w:p>
        </w:tc>
        <w:tc>
          <w:tcPr>
            <w:tcW w:type="dxa" w:w="5102"/>
          </w:tcPr>
          <w:p>
            <w:r>
              <w:rPr>
                <w:rFonts w:ascii="Calibri" w:hAnsi="Calibri"/>
                <w:b w:val="0"/>
                <w:sz w:val="22"/>
              </w:rPr>
              <w:t>Cumilla Polytechnic Institute</w:t>
            </w:r>
          </w:p>
        </w:tc>
      </w:tr>
      <w:tr>
        <w:tc>
          <w:tcPr>
            <w:tcW w:type="dxa" w:w="3402"/>
          </w:tcPr>
          <w:p>
            <w:r>
              <w:rPr>
                <w:rFonts w:ascii="Calibri" w:hAnsi="Calibri"/>
                <w:b/>
                <w:sz w:val="22"/>
              </w:rPr>
              <w:t>Submission Date</w:t>
            </w:r>
          </w:p>
        </w:tc>
        <w:tc>
          <w:tcPr>
            <w:tcW w:type="dxa" w:w="5102"/>
          </w:tcPr>
          <w:p>
            <w:r>
              <w:rPr>
                <w:rFonts w:ascii="Calibri" w:hAnsi="Calibri"/>
                <w:b w:val="0"/>
                <w:sz w:val="22"/>
              </w:rPr>
              <w:t>06/04/2026</w:t>
            </w:r>
          </w:p>
        </w:tc>
      </w:tr>
    </w:tbl>
    <w:p/>
    <w:p>
      <w:pPr>
        <w:jc w:val="center"/>
        <w:pBdr>
          <w:bottom w:val="single" w:sz="6" w:space="1" w:color="2E75B6"/>
        </w:pBdr>
      </w:pPr>
    </w:p>
    <w:p>
      <w:pPr>
        <w:spacing w:before="160" w:after="0"/>
        <w:jc w:val="center"/>
      </w:pPr>
      <w:r>
        <w:rPr>
          <w:rFonts w:ascii="Calibri" w:hAnsi="Calibri"/>
          <w:b w:val="0"/>
          <w:color w:val="7F7F7F"/>
          <w:sz w:val="18"/>
        </w:rPr>
        <w:t>© 2026  |  ASSET Project  |  All Rights Reserved</w:t>
      </w:r>
    </w:p>
    <w:p>
      <w:r>
        <w:br w:type="page"/>
      </w:r>
    </w:p>
    <w:p>
      <w:pPr>
        <w:spacing w:before="0" w:after="160"/>
        <w:jc w:val="center"/>
      </w:pPr>
      <w:r>
        <w:rPr>
          <w:rFonts w:ascii="Calibri" w:hAnsi="Calibri"/>
          <w:b/>
          <w:color w:val="1F497D"/>
          <w:sz w:val="32"/>
        </w:rPr>
        <w:t>TABLE OF CONTENTS</w:t>
      </w:r>
    </w:p>
    <w:p>
      <w:pPr>
        <w:jc w:val="center"/>
        <w:pBdr>
          <w:bottom w:val="single" w:sz="6" w:space="1" w:color="2E75B6"/>
        </w:pBdr>
      </w:pPr>
    </w:p>
    <w:p/>
    <w:tbl>
      <w:tblPr>
        <w:tblW w:type="auto" w:w="0"/>
        <w:tblLook w:firstColumn="1" w:firstRow="1" w:lastColumn="0" w:lastRow="0" w:noHBand="0" w:noVBand="1" w:val="04A0"/>
      </w:tblPr>
      <w:tblGrid>
        <w:gridCol w:w="4394"/>
        <w:gridCol w:w="4394"/>
      </w:tblGrid>
      <w:tr>
        <w:tc>
          <w:tcPr>
            <w:tcW w:type="dxa" w:w="4394"/>
          </w:tcPr>
          <w:p>
            <w:r>
              <w:rPr>
                <w:rFonts w:ascii="Calibri" w:hAnsi="Calibri"/>
                <w:sz w:val="22"/>
              </w:rPr>
              <w:t>Executive Summary</w:t>
            </w:r>
          </w:p>
        </w:tc>
        <w:tc>
          <w:tcPr>
            <w:tcW w:type="dxa" w:w="4394"/>
          </w:tcPr>
          <w:p>
            <w:pPr>
              <w:jc w:val="right"/>
            </w:pPr>
            <w:r>
              <w:rPr>
                <w:rFonts w:ascii="Calibri" w:hAnsi="Calibri"/>
                <w:sz w:val="22"/>
              </w:rPr>
              <w:t>3</w:t>
            </w:r>
          </w:p>
        </w:tc>
      </w:tr>
      <w:tr>
        <w:tc>
          <w:tcPr>
            <w:tcW w:type="dxa" w:w="4394"/>
          </w:tcPr>
          <w:p>
            <w:r>
              <w:rPr>
                <w:rFonts w:ascii="Calibri" w:hAnsi="Calibri"/>
                <w:sz w:val="22"/>
              </w:rPr>
              <w:t>Chapter 1:  Introduction and Background</w:t>
            </w:r>
          </w:p>
        </w:tc>
        <w:tc>
          <w:tcPr>
            <w:tcW w:type="dxa" w:w="4394"/>
          </w:tcPr>
          <w:p>
            <w:pPr>
              <w:jc w:val="right"/>
            </w:pPr>
            <w:r>
              <w:rPr>
                <w:rFonts w:ascii="Calibri" w:hAnsi="Calibri"/>
                <w:sz w:val="22"/>
              </w:rPr>
              <w:t>4</w:t>
            </w:r>
          </w:p>
        </w:tc>
      </w:tr>
      <w:tr>
        <w:tc>
          <w:tcPr>
            <w:tcW w:type="dxa" w:w="4394"/>
          </w:tcPr>
          <w:p>
            <w:r>
              <w:rPr>
                <w:rFonts w:ascii="Calibri" w:hAnsi="Calibri"/>
                <w:sz w:val="22"/>
              </w:rPr>
              <w:t>Chapter 2:  Rationale for ASSET</w:t>
            </w:r>
          </w:p>
        </w:tc>
        <w:tc>
          <w:tcPr>
            <w:tcW w:type="dxa" w:w="4394"/>
          </w:tcPr>
          <w:p>
            <w:pPr>
              <w:jc w:val="right"/>
            </w:pPr>
            <w:r>
              <w:rPr>
                <w:rFonts w:ascii="Calibri" w:hAnsi="Calibri"/>
                <w:sz w:val="22"/>
              </w:rPr>
              <w:t>5</w:t>
            </w:r>
          </w:p>
        </w:tc>
      </w:tr>
      <w:tr>
        <w:tc>
          <w:tcPr>
            <w:tcW w:type="dxa" w:w="4394"/>
          </w:tcPr>
          <w:p>
            <w:r>
              <w:rPr>
                <w:rFonts w:ascii="Calibri" w:hAnsi="Calibri"/>
                <w:sz w:val="22"/>
              </w:rPr>
              <w:t>Chapter 3:  Vision, Mission, and Strategic Objectives</w:t>
            </w:r>
          </w:p>
        </w:tc>
        <w:tc>
          <w:tcPr>
            <w:tcW w:type="dxa" w:w="4394"/>
          </w:tcPr>
          <w:p>
            <w:pPr>
              <w:jc w:val="right"/>
            </w:pPr>
            <w:r>
              <w:rPr>
                <w:rFonts w:ascii="Calibri" w:hAnsi="Calibri"/>
                <w:sz w:val="22"/>
              </w:rPr>
              <w:t>6</w:t>
            </w:r>
          </w:p>
        </w:tc>
      </w:tr>
      <w:tr>
        <w:tc>
          <w:tcPr>
            <w:tcW w:type="dxa" w:w="4394"/>
          </w:tcPr>
          <w:p>
            <w:r>
              <w:rPr>
                <w:rFonts w:ascii="Calibri" w:hAnsi="Calibri"/>
                <w:sz w:val="22"/>
              </w:rPr>
              <w:t>Chapter 4:  Theoretical Framework</w:t>
            </w:r>
          </w:p>
        </w:tc>
        <w:tc>
          <w:tcPr>
            <w:tcW w:type="dxa" w:w="4394"/>
          </w:tcPr>
          <w:p>
            <w:pPr>
              <w:jc w:val="right"/>
            </w:pPr>
            <w:r>
              <w:rPr>
                <w:rFonts w:ascii="Calibri" w:hAnsi="Calibri"/>
                <w:sz w:val="22"/>
              </w:rPr>
              <w:t>7</w:t>
            </w:r>
          </w:p>
        </w:tc>
      </w:tr>
      <w:tr>
        <w:tc>
          <w:tcPr>
            <w:tcW w:type="dxa" w:w="4394"/>
          </w:tcPr>
          <w:p>
            <w:r>
              <w:rPr>
                <w:rFonts w:ascii="Calibri" w:hAnsi="Calibri"/>
                <w:sz w:val="22"/>
              </w:rPr>
              <w:t>Chapter 5:  Key Components and Program Architecture</w:t>
            </w:r>
          </w:p>
        </w:tc>
        <w:tc>
          <w:tcPr>
            <w:tcW w:type="dxa" w:w="4394"/>
          </w:tcPr>
          <w:p>
            <w:pPr>
              <w:jc w:val="right"/>
            </w:pPr>
            <w:r>
              <w:rPr>
                <w:rFonts w:ascii="Calibri" w:hAnsi="Calibri"/>
                <w:sz w:val="22"/>
              </w:rPr>
              <w:t>8</w:t>
            </w:r>
          </w:p>
        </w:tc>
      </w:tr>
      <w:tr>
        <w:tc>
          <w:tcPr>
            <w:tcW w:type="dxa" w:w="4394"/>
          </w:tcPr>
          <w:p>
            <w:r>
              <w:rPr>
                <w:rFonts w:ascii="Calibri" w:hAnsi="Calibri"/>
                <w:sz w:val="22"/>
              </w:rPr>
              <w:t>Chapter 6:  Target Beneficiaries</w:t>
            </w:r>
          </w:p>
        </w:tc>
        <w:tc>
          <w:tcPr>
            <w:tcW w:type="dxa" w:w="4394"/>
          </w:tcPr>
          <w:p>
            <w:pPr>
              <w:jc w:val="right"/>
            </w:pPr>
            <w:r>
              <w:rPr>
                <w:rFonts w:ascii="Calibri" w:hAnsi="Calibri"/>
                <w:sz w:val="22"/>
              </w:rPr>
              <w:t>10</w:t>
            </w:r>
          </w:p>
        </w:tc>
      </w:tr>
      <w:tr>
        <w:tc>
          <w:tcPr>
            <w:tcW w:type="dxa" w:w="4394"/>
          </w:tcPr>
          <w:p>
            <w:r>
              <w:rPr>
                <w:rFonts w:ascii="Calibri" w:hAnsi="Calibri"/>
                <w:sz w:val="22"/>
              </w:rPr>
              <w:t>Chapter 7:  Sectoral Focus Areas</w:t>
            </w:r>
          </w:p>
        </w:tc>
        <w:tc>
          <w:tcPr>
            <w:tcW w:type="dxa" w:w="4394"/>
          </w:tcPr>
          <w:p>
            <w:pPr>
              <w:jc w:val="right"/>
            </w:pPr>
            <w:r>
              <w:rPr>
                <w:rFonts w:ascii="Calibri" w:hAnsi="Calibri"/>
                <w:sz w:val="22"/>
              </w:rPr>
              <w:t>11</w:t>
            </w:r>
          </w:p>
        </w:tc>
      </w:tr>
      <w:tr>
        <w:tc>
          <w:tcPr>
            <w:tcW w:type="dxa" w:w="4394"/>
          </w:tcPr>
          <w:p>
            <w:r>
              <w:rPr>
                <w:rFonts w:ascii="Calibri" w:hAnsi="Calibri"/>
                <w:sz w:val="22"/>
              </w:rPr>
              <w:t>Chapter 8:  Implementation Strategy</w:t>
            </w:r>
          </w:p>
        </w:tc>
        <w:tc>
          <w:tcPr>
            <w:tcW w:type="dxa" w:w="4394"/>
          </w:tcPr>
          <w:p>
            <w:pPr>
              <w:jc w:val="right"/>
            </w:pPr>
            <w:r>
              <w:rPr>
                <w:rFonts w:ascii="Calibri" w:hAnsi="Calibri"/>
                <w:sz w:val="22"/>
              </w:rPr>
              <w:t>13</w:t>
            </w:r>
          </w:p>
        </w:tc>
      </w:tr>
      <w:tr>
        <w:tc>
          <w:tcPr>
            <w:tcW w:type="dxa" w:w="4394"/>
          </w:tcPr>
          <w:p>
            <w:r>
              <w:rPr>
                <w:rFonts w:ascii="Calibri" w:hAnsi="Calibri"/>
                <w:sz w:val="22"/>
              </w:rPr>
              <w:t>Chapter 9:  Institutional Framework and Governance</w:t>
            </w:r>
          </w:p>
        </w:tc>
        <w:tc>
          <w:tcPr>
            <w:tcW w:type="dxa" w:w="4394"/>
          </w:tcPr>
          <w:p>
            <w:pPr>
              <w:jc w:val="right"/>
            </w:pPr>
            <w:r>
              <w:rPr>
                <w:rFonts w:ascii="Calibri" w:hAnsi="Calibri"/>
                <w:sz w:val="22"/>
              </w:rPr>
              <w:t>14</w:t>
            </w:r>
          </w:p>
        </w:tc>
      </w:tr>
      <w:tr>
        <w:tc>
          <w:tcPr>
            <w:tcW w:type="dxa" w:w="4394"/>
          </w:tcPr>
          <w:p>
            <w:r>
              <w:rPr>
                <w:rFonts w:ascii="Calibri" w:hAnsi="Calibri"/>
                <w:sz w:val="22"/>
              </w:rPr>
              <w:t>Chapter 10: Public-Private Partnership Model</w:t>
            </w:r>
          </w:p>
        </w:tc>
        <w:tc>
          <w:tcPr>
            <w:tcW w:type="dxa" w:w="4394"/>
          </w:tcPr>
          <w:p>
            <w:pPr>
              <w:jc w:val="right"/>
            </w:pPr>
            <w:r>
              <w:rPr>
                <w:rFonts w:ascii="Calibri" w:hAnsi="Calibri"/>
                <w:sz w:val="22"/>
              </w:rPr>
              <w:t>15</w:t>
            </w:r>
          </w:p>
        </w:tc>
      </w:tr>
      <w:tr>
        <w:tc>
          <w:tcPr>
            <w:tcW w:type="dxa" w:w="4394"/>
          </w:tcPr>
          <w:p>
            <w:r>
              <w:rPr>
                <w:rFonts w:ascii="Calibri" w:hAnsi="Calibri"/>
                <w:sz w:val="22"/>
              </w:rPr>
              <w:t>Chapter 11: Financing Mechanisms</w:t>
            </w:r>
          </w:p>
        </w:tc>
        <w:tc>
          <w:tcPr>
            <w:tcW w:type="dxa" w:w="4394"/>
          </w:tcPr>
          <w:p>
            <w:pPr>
              <w:jc w:val="right"/>
            </w:pPr>
            <w:r>
              <w:rPr>
                <w:rFonts w:ascii="Calibri" w:hAnsi="Calibri"/>
                <w:sz w:val="22"/>
              </w:rPr>
              <w:t>16</w:t>
            </w:r>
          </w:p>
        </w:tc>
      </w:tr>
      <w:tr>
        <w:tc>
          <w:tcPr>
            <w:tcW w:type="dxa" w:w="4394"/>
          </w:tcPr>
          <w:p>
            <w:r>
              <w:rPr>
                <w:rFonts w:ascii="Calibri" w:hAnsi="Calibri"/>
                <w:sz w:val="22"/>
              </w:rPr>
              <w:t>Chapter 12: Digital Transformation in Skills Development</w:t>
            </w:r>
          </w:p>
        </w:tc>
        <w:tc>
          <w:tcPr>
            <w:tcW w:type="dxa" w:w="4394"/>
          </w:tcPr>
          <w:p>
            <w:pPr>
              <w:jc w:val="right"/>
            </w:pPr>
            <w:r>
              <w:rPr>
                <w:rFonts w:ascii="Calibri" w:hAnsi="Calibri"/>
                <w:sz w:val="22"/>
              </w:rPr>
              <w:t>18</w:t>
            </w:r>
          </w:p>
        </w:tc>
      </w:tr>
      <w:tr>
        <w:tc>
          <w:tcPr>
            <w:tcW w:type="dxa" w:w="4394"/>
          </w:tcPr>
          <w:p>
            <w:r>
              <w:rPr>
                <w:rFonts w:ascii="Calibri" w:hAnsi="Calibri"/>
                <w:sz w:val="22"/>
              </w:rPr>
              <w:t>Chapter 13: Gender Inclusion and Social Equity</w:t>
            </w:r>
          </w:p>
        </w:tc>
        <w:tc>
          <w:tcPr>
            <w:tcW w:type="dxa" w:w="4394"/>
          </w:tcPr>
          <w:p>
            <w:pPr>
              <w:jc w:val="right"/>
            </w:pPr>
            <w:r>
              <w:rPr>
                <w:rFonts w:ascii="Calibri" w:hAnsi="Calibri"/>
                <w:sz w:val="22"/>
              </w:rPr>
              <w:t>19</w:t>
            </w:r>
          </w:p>
        </w:tc>
      </w:tr>
      <w:tr>
        <w:tc>
          <w:tcPr>
            <w:tcW w:type="dxa" w:w="4394"/>
          </w:tcPr>
          <w:p>
            <w:r>
              <w:rPr>
                <w:rFonts w:ascii="Calibri" w:hAnsi="Calibri"/>
                <w:sz w:val="22"/>
              </w:rPr>
              <w:t>Chapter 14: Monitoring, Evaluation, and Learning (MEL)</w:t>
            </w:r>
          </w:p>
        </w:tc>
        <w:tc>
          <w:tcPr>
            <w:tcW w:type="dxa" w:w="4394"/>
          </w:tcPr>
          <w:p>
            <w:pPr>
              <w:jc w:val="right"/>
            </w:pPr>
            <w:r>
              <w:rPr>
                <w:rFonts w:ascii="Calibri" w:hAnsi="Calibri"/>
                <w:sz w:val="22"/>
              </w:rPr>
              <w:t>21</w:t>
            </w:r>
          </w:p>
        </w:tc>
      </w:tr>
      <w:tr>
        <w:tc>
          <w:tcPr>
            <w:tcW w:type="dxa" w:w="4394"/>
          </w:tcPr>
          <w:p>
            <w:r>
              <w:rPr>
                <w:rFonts w:ascii="Calibri" w:hAnsi="Calibri"/>
                <w:sz w:val="22"/>
              </w:rPr>
              <w:t>Chapter 15: Country Case Studies</w:t>
            </w:r>
          </w:p>
        </w:tc>
        <w:tc>
          <w:tcPr>
            <w:tcW w:type="dxa" w:w="4394"/>
          </w:tcPr>
          <w:p>
            <w:pPr>
              <w:jc w:val="right"/>
            </w:pPr>
            <w:r>
              <w:rPr>
                <w:rFonts w:ascii="Calibri" w:hAnsi="Calibri"/>
                <w:sz w:val="22"/>
              </w:rPr>
              <w:t>22</w:t>
            </w:r>
          </w:p>
        </w:tc>
      </w:tr>
      <w:tr>
        <w:tc>
          <w:tcPr>
            <w:tcW w:type="dxa" w:w="4394"/>
          </w:tcPr>
          <w:p>
            <w:r>
              <w:rPr>
                <w:rFonts w:ascii="Calibri" w:hAnsi="Calibri"/>
                <w:sz w:val="22"/>
              </w:rPr>
              <w:t>Chapter 16: Challenges and Risk Mitigation</w:t>
            </w:r>
          </w:p>
        </w:tc>
        <w:tc>
          <w:tcPr>
            <w:tcW w:type="dxa" w:w="4394"/>
          </w:tcPr>
          <w:p>
            <w:pPr>
              <w:jc w:val="right"/>
            </w:pPr>
            <w:r>
              <w:rPr>
                <w:rFonts w:ascii="Calibri" w:hAnsi="Calibri"/>
                <w:sz w:val="22"/>
              </w:rPr>
              <w:t>24</w:t>
            </w:r>
          </w:p>
        </w:tc>
      </w:tr>
      <w:tr>
        <w:tc>
          <w:tcPr>
            <w:tcW w:type="dxa" w:w="4394"/>
          </w:tcPr>
          <w:p>
            <w:r>
              <w:rPr>
                <w:rFonts w:ascii="Calibri" w:hAnsi="Calibri"/>
                <w:sz w:val="22"/>
              </w:rPr>
              <w:t>Chapter 17: Outcomes and Impact Assessment</w:t>
            </w:r>
          </w:p>
        </w:tc>
        <w:tc>
          <w:tcPr>
            <w:tcW w:type="dxa" w:w="4394"/>
          </w:tcPr>
          <w:p>
            <w:pPr>
              <w:jc w:val="right"/>
            </w:pPr>
            <w:r>
              <w:rPr>
                <w:rFonts w:ascii="Calibri" w:hAnsi="Calibri"/>
                <w:sz w:val="22"/>
              </w:rPr>
              <w:t>25</w:t>
            </w:r>
          </w:p>
        </w:tc>
      </w:tr>
      <w:tr>
        <w:tc>
          <w:tcPr>
            <w:tcW w:type="dxa" w:w="4394"/>
          </w:tcPr>
          <w:p>
            <w:r>
              <w:rPr>
                <w:rFonts w:ascii="Calibri" w:hAnsi="Calibri"/>
                <w:sz w:val="22"/>
              </w:rPr>
              <w:t>Chapter 18: The Way Forward and Recommendations</w:t>
            </w:r>
          </w:p>
        </w:tc>
        <w:tc>
          <w:tcPr>
            <w:tcW w:type="dxa" w:w="4394"/>
          </w:tcPr>
          <w:p>
            <w:pPr>
              <w:jc w:val="right"/>
            </w:pPr>
            <w:r>
              <w:rPr>
                <w:rFonts w:ascii="Calibri" w:hAnsi="Calibri"/>
                <w:sz w:val="22"/>
              </w:rPr>
              <w:t>26</w:t>
            </w:r>
          </w:p>
        </w:tc>
      </w:tr>
      <w:tr>
        <w:tc>
          <w:tcPr>
            <w:tcW w:type="dxa" w:w="4394"/>
          </w:tcPr>
          <w:p>
            <w:r>
              <w:rPr>
                <w:rFonts w:ascii="Calibri" w:hAnsi="Calibri"/>
                <w:sz w:val="22"/>
              </w:rPr>
              <w:t>Chapter 19: Conclusion</w:t>
            </w:r>
          </w:p>
        </w:tc>
        <w:tc>
          <w:tcPr>
            <w:tcW w:type="dxa" w:w="4394"/>
          </w:tcPr>
          <w:p>
            <w:pPr>
              <w:jc w:val="right"/>
            </w:pPr>
            <w:r>
              <w:rPr>
                <w:rFonts w:ascii="Calibri" w:hAnsi="Calibri"/>
                <w:sz w:val="22"/>
              </w:rPr>
              <w:t>27</w:t>
            </w:r>
          </w:p>
        </w:tc>
      </w:tr>
      <w:tr>
        <w:tc>
          <w:tcPr>
            <w:tcW w:type="dxa" w:w="4394"/>
          </w:tcPr>
          <w:p>
            <w:r>
              <w:rPr>
                <w:rFonts w:ascii="Calibri" w:hAnsi="Calibri"/>
                <w:sz w:val="22"/>
              </w:rPr>
              <w:t>Chapter 20: References and Bibliography</w:t>
            </w:r>
          </w:p>
        </w:tc>
        <w:tc>
          <w:tcPr>
            <w:tcW w:type="dxa" w:w="4394"/>
          </w:tcPr>
          <w:p>
            <w:pPr>
              <w:jc w:val="right"/>
            </w:pPr>
            <w:r>
              <w:rPr>
                <w:rFonts w:ascii="Calibri" w:hAnsi="Calibri"/>
                <w:sz w:val="22"/>
              </w:rPr>
              <w:t>28</w:t>
            </w:r>
          </w:p>
        </w:tc>
      </w:tr>
      <w:tr>
        <w:tc>
          <w:tcPr>
            <w:tcW w:type="dxa" w:w="4394"/>
          </w:tcPr>
          <w:p>
            <w:r>
              <w:rPr>
                <w:rFonts w:ascii="Calibri" w:hAnsi="Calibri"/>
                <w:sz w:val="22"/>
              </w:rPr>
              <w:t>Annexes</w:t>
            </w:r>
          </w:p>
        </w:tc>
        <w:tc>
          <w:tcPr>
            <w:tcW w:type="dxa" w:w="4394"/>
          </w:tcPr>
          <w:p>
            <w:pPr>
              <w:jc w:val="right"/>
            </w:pPr>
            <w:r>
              <w:rPr>
                <w:rFonts w:ascii="Calibri" w:hAnsi="Calibri"/>
                <w:sz w:val="22"/>
              </w:rPr>
              <w:t>29</w:t>
            </w:r>
          </w:p>
        </w:tc>
      </w:tr>
    </w:tbl>
    <w:p>
      <w:r>
        <w:br w:type="page"/>
      </w:r>
    </w:p>
    <w:p>
      <w:pPr>
        <w:pStyle w:val="Heading1"/>
        <w:jc w:val="left"/>
      </w:pPr>
      <w:r>
        <w:rPr>
          <w:color w:val="1F497D"/>
          <w:sz w:val="28"/>
        </w:rPr>
        <w:t>EXECUTIVE SUMMARY</w:t>
      </w:r>
    </w:p>
    <w:p/>
    <w:p>
      <w:pPr>
        <w:spacing w:after="120"/>
      </w:pPr>
      <w:r>
        <w:rPr>
          <w:rFonts w:ascii="Calibri" w:hAnsi="Calibri"/>
          <w:sz w:val="22"/>
        </w:rPr>
        <w:t>The Accelerating and Strengthening Skills for Economic Transformation (ASSET) program represents a landmark initiative designed to bridge the ever-widening gap between workforce competencies and the rapidly evolving demands of the modern economy. In an era characterized by technological disruption, globalization, and demographic shifts, nations across the world — particularly developing economies — face the dual challenge of preparing their existing workforce for transformation while simultaneously equipping the next generation with future-ready skills.</w:t>
      </w:r>
    </w:p>
    <w:p>
      <w:pPr>
        <w:spacing w:after="120"/>
      </w:pPr>
      <w:r>
        <w:rPr>
          <w:rFonts w:ascii="Calibri" w:hAnsi="Calibri"/>
          <w:sz w:val="22"/>
        </w:rPr>
        <w:t>This report provides an in-depth analysis of the ASSET framework, examining its objectives, implementation strategies, key stakeholders, sectoral coverage, financing mechanisms, outcomes, challenges, and the way forward. The report draws on global best practices, country-level case studies, and data-driven insights to present a holistic picture of how skill acceleration programs can serve as engines of inclusive economic growth.</w:t>
      </w:r>
    </w:p>
    <w:p>
      <w:pPr>
        <w:spacing w:after="120"/>
      </w:pPr>
      <w:r>
        <w:rPr>
          <w:rFonts w:ascii="Calibri" w:hAnsi="Calibri"/>
          <w:sz w:val="22"/>
        </w:rPr>
        <w:t>Key findings of this report include:</w:t>
      </w:r>
    </w:p>
    <w:p>
      <w:pPr>
        <w:pStyle w:val="ListBullet"/>
      </w:pPr>
      <w:r>
        <w:rPr>
          <w:rFonts w:ascii="Calibri" w:hAnsi="Calibri"/>
          <w:sz w:val="22"/>
        </w:rPr>
        <w:t>Skill mismatches cost global economies an estimated $6 trillion annually in lost productivity.</w:t>
      </w:r>
    </w:p>
    <w:p>
      <w:pPr>
        <w:pStyle w:val="ListBullet"/>
      </w:pPr>
      <w:r>
        <w:rPr>
          <w:rFonts w:ascii="Calibri" w:hAnsi="Calibri"/>
          <w:sz w:val="22"/>
        </w:rPr>
        <w:t>Countries that invest at least 2% of GDP in skills development demonstrate 1.5–2x faster economic growth trajectories.</w:t>
      </w:r>
    </w:p>
    <w:p>
      <w:pPr>
        <w:pStyle w:val="ListBullet"/>
      </w:pPr>
      <w:r>
        <w:rPr>
          <w:rFonts w:ascii="Calibri" w:hAnsi="Calibri"/>
          <w:sz w:val="22"/>
        </w:rPr>
        <w:t>ASSET-type programs that integrate public-private partnerships (PPPs) achieve 40% higher employment placement rates.</w:t>
      </w:r>
    </w:p>
    <w:p>
      <w:pPr>
        <w:pStyle w:val="ListBullet"/>
      </w:pPr>
      <w:r>
        <w:rPr>
          <w:rFonts w:ascii="Calibri" w:hAnsi="Calibri"/>
          <w:sz w:val="22"/>
        </w:rPr>
        <w:t>Digital skills, green economy competencies, and entrepreneurship emerge as the three pillars of future-proof skills ecosystems.</w:t>
      </w:r>
    </w:p>
    <w:p>
      <w:r>
        <w:br w:type="page"/>
      </w:r>
    </w:p>
    <w:p>
      <w:pPr>
        <w:pStyle w:val="Heading1"/>
        <w:jc w:val="left"/>
      </w:pPr>
      <w:r>
        <w:rPr>
          <w:color w:val="1F497D"/>
          <w:sz w:val="28"/>
        </w:rPr>
        <w:t>CHAPTER 1: Introduction and Background</w:t>
      </w:r>
    </w:p>
    <w:p/>
    <w:p>
      <w:pPr>
        <w:pStyle w:val="Heading2"/>
      </w:pPr>
      <w:r>
        <w:rPr>
          <w:color w:val="4472C4"/>
          <w:sz w:val="24"/>
        </w:rPr>
        <w:t>1.1  The Global Skills Crisis</w:t>
      </w:r>
    </w:p>
    <w:p>
      <w:pPr>
        <w:spacing w:after="120"/>
      </w:pPr>
      <w:r>
        <w:rPr>
          <w:rFonts w:ascii="Calibri" w:hAnsi="Calibri"/>
          <w:sz w:val="22"/>
        </w:rPr>
        <w:t>The 21st century has witnessed an unprecedented acceleration in the pace of economic change. Technological innovations — particularly artificial intelligence (AI), automation, robotics, and digitalization — are fundamentally restructuring labor markets. The World Economic Forum's Future of Jobs Report 2023 estimates that by 2027, 69 million new jobs will be created while 83 million existing jobs will be displaced, resulting in a net loss of 14 million jobs globally. This churn creates massive pressure on education and training systems worldwide.</w:t>
      </w:r>
    </w:p>
    <w:p>
      <w:pPr>
        <w:spacing w:after="120"/>
      </w:pPr>
      <w:r>
        <w:rPr>
          <w:rFonts w:ascii="Calibri" w:hAnsi="Calibri"/>
          <w:sz w:val="22"/>
        </w:rPr>
        <w:t>Simultaneously, demographic trends compound the challenge. Developing economies, particularly in South Asia, Sub-Saharan Africa, and Southeast Asia, are experiencing a youth bulge — a surge in the working-age population that, if properly harnessed, could generate a demographic dividend estimated at trillions of dollars in additional GDP. However, this dividend can only be realized if young people possess the skills demanded by modern economies.</w:t>
      </w:r>
    </w:p>
    <w:p>
      <w:pPr>
        <w:pStyle w:val="Heading2"/>
      </w:pPr>
      <w:r>
        <w:rPr>
          <w:color w:val="4472C4"/>
          <w:sz w:val="24"/>
        </w:rPr>
        <w:t>1.2  The Economic Transformation Imperative</w:t>
      </w:r>
    </w:p>
    <w:p>
      <w:pPr>
        <w:spacing w:after="120"/>
      </w:pPr>
      <w:r>
        <w:rPr>
          <w:rFonts w:ascii="Calibri" w:hAnsi="Calibri"/>
          <w:sz w:val="22"/>
        </w:rPr>
        <w:t>Economic transformation refers to the structural shift from low-productivity, subsistence-based activities to higher-productivity, knowledge-intensive sectors. Historically, this transformation has followed a pattern from agriculture → manufacturing → services. However, in the contemporary context, this linear progression is being disrupted. Nations must now navigate:</w:t>
      </w:r>
    </w:p>
    <w:p>
      <w:pPr>
        <w:pStyle w:val="ListBullet"/>
      </w:pPr>
      <w:r>
        <w:rPr>
          <w:rFonts w:ascii="Calibri" w:hAnsi="Calibri"/>
          <w:sz w:val="22"/>
        </w:rPr>
        <w:t>Premature deindustrialization: Manufacturing is becoming more automated, reducing the traditional role of labor-intensive industry as a stepping stone.</w:t>
      </w:r>
    </w:p>
    <w:p>
      <w:pPr>
        <w:pStyle w:val="ListBullet"/>
      </w:pPr>
      <w:r>
        <w:rPr>
          <w:rFonts w:ascii="Calibri" w:hAnsi="Calibri"/>
          <w:sz w:val="22"/>
        </w:rPr>
        <w:t>Servicification of manufacturing: Modern manufacturing increasingly requires high-tech skills.</w:t>
      </w:r>
    </w:p>
    <w:p>
      <w:pPr>
        <w:pStyle w:val="ListBullet"/>
      </w:pPr>
      <w:r>
        <w:rPr>
          <w:rFonts w:ascii="Calibri" w:hAnsi="Calibri"/>
          <w:sz w:val="22"/>
        </w:rPr>
        <w:t>Digital economy emergence: The platform economy, fintech, e-commerce, and digital services create new pathways that require entirely different skill sets.</w:t>
      </w:r>
    </w:p>
    <w:p>
      <w:pPr>
        <w:pStyle w:val="ListBullet"/>
      </w:pPr>
      <w:r>
        <w:rPr>
          <w:rFonts w:ascii="Calibri" w:hAnsi="Calibri"/>
          <w:sz w:val="22"/>
        </w:rPr>
        <w:t>Green transition: Climate change demands a rapid shift toward sustainable industries, creating both threats and opportunities for workers.</w:t>
      </w:r>
    </w:p>
    <w:p>
      <w:pPr>
        <w:pStyle w:val="Heading2"/>
      </w:pPr>
      <w:r>
        <w:rPr>
          <w:color w:val="4472C4"/>
          <w:sz w:val="24"/>
        </w:rPr>
        <w:t>1.3  Origins of ASSET</w:t>
      </w:r>
    </w:p>
    <w:p>
      <w:pPr>
        <w:spacing w:after="120"/>
      </w:pPr>
      <w:r>
        <w:rPr>
          <w:rFonts w:ascii="Calibri" w:hAnsi="Calibri"/>
          <w:sz w:val="22"/>
        </w:rPr>
        <w:t>The ASSET program was conceptualized in response to growing evidence that conventional vocational training systems were failing to meet market needs. Traditional TVET systems suffered from outdated curricula disconnected from industry realities, low social prestige, insufficient industry linkage, fragmented governance, inadequate financing, and limited focus on soft skills and entrepreneurship. ASSET was designed to fundamentally reimagine the skills development ecosystem — shifting from supply-driven, institution-centric models to demand-driven, outcome-oriented approaches.</w:t>
      </w:r>
    </w:p>
    <w:p>
      <w:r>
        <w:br w:type="page"/>
      </w:r>
    </w:p>
    <w:p>
      <w:pPr>
        <w:pStyle w:val="Heading1"/>
        <w:jc w:val="left"/>
      </w:pPr>
      <w:r>
        <w:rPr>
          <w:color w:val="1F497D"/>
          <w:sz w:val="28"/>
        </w:rPr>
        <w:t>CHAPTER 2: Rationale for ASSET</w:t>
      </w:r>
    </w:p>
    <w:p/>
    <w:p>
      <w:pPr>
        <w:pStyle w:val="Heading2"/>
      </w:pPr>
      <w:r>
        <w:rPr>
          <w:color w:val="4472C4"/>
          <w:sz w:val="24"/>
        </w:rPr>
        <w:t>2.1  Skill Mismatch and Its Economic Cost</w:t>
      </w:r>
    </w:p>
    <w:p>
      <w:pPr>
        <w:spacing w:after="120"/>
      </w:pPr>
      <w:r>
        <w:rPr>
          <w:rFonts w:ascii="Calibri" w:hAnsi="Calibri"/>
          <w:sz w:val="22"/>
        </w:rPr>
        <w:t>Skill mismatch occurs when the competencies of the workforce do not align with the needs of employers. This manifests as overskilling, underskilling, or skills obsolescence. The McKinsey Global Institute estimates that skill mismatch costs the global economy approximately $6 trillion per year in lost productivity. In developing economies, this figure is proportionally even higher relative to GDP.</w:t>
      </w:r>
    </w:p>
    <w:tbl>
      <w:tblPr>
        <w:tblStyle w:val="LightList-Accent1"/>
        <w:tblW w:type="auto" w:w="0"/>
        <w:tblLook w:firstColumn="1" w:firstRow="1" w:lastColumn="0" w:lastRow="0" w:noHBand="0" w:noVBand="1" w:val="04A0"/>
      </w:tblPr>
      <w:tblGrid>
        <w:gridCol w:w="2929"/>
        <w:gridCol w:w="2929"/>
        <w:gridCol w:w="2929"/>
      </w:tblGrid>
      <w:tr>
        <w:tc>
          <w:tcPr>
            <w:tcW w:type="dxa" w:w="2929"/>
          </w:tcPr>
          <w:p>
            <w:r>
              <w:rPr>
                <w:b/>
                <w:sz w:val="20"/>
              </w:rPr>
              <w:t>Type</w:t>
            </w:r>
          </w:p>
        </w:tc>
        <w:tc>
          <w:tcPr>
            <w:tcW w:type="dxa" w:w="2929"/>
          </w:tcPr>
          <w:p>
            <w:r>
              <w:rPr>
                <w:b/>
                <w:sz w:val="20"/>
              </w:rPr>
              <w:t>Description</w:t>
            </w:r>
          </w:p>
        </w:tc>
        <w:tc>
          <w:tcPr>
            <w:tcW w:type="dxa" w:w="2929"/>
          </w:tcPr>
          <w:p>
            <w:r>
              <w:rPr>
                <w:b/>
                <w:sz w:val="20"/>
              </w:rPr>
              <w:t>Economic Impact</w:t>
            </w:r>
          </w:p>
        </w:tc>
      </w:tr>
      <w:tr>
        <w:tc>
          <w:tcPr>
            <w:tcW w:type="dxa" w:w="2929"/>
          </w:tcPr>
          <w:p>
            <w:r>
              <w:rPr>
                <w:sz w:val="20"/>
              </w:rPr>
              <w:t>Overskilling</w:t>
            </w:r>
          </w:p>
        </w:tc>
        <w:tc>
          <w:tcPr>
            <w:tcW w:type="dxa" w:w="2929"/>
          </w:tcPr>
          <w:p>
            <w:r>
              <w:rPr>
                <w:sz w:val="20"/>
              </w:rPr>
              <w:t>Workers have more education than required</w:t>
            </w:r>
          </w:p>
        </w:tc>
        <w:tc>
          <w:tcPr>
            <w:tcW w:type="dxa" w:w="2929"/>
          </w:tcPr>
          <w:p>
            <w:r>
              <w:rPr>
                <w:sz w:val="20"/>
              </w:rPr>
              <w:t>15–20% wage penalty, underutilization</w:t>
            </w:r>
          </w:p>
        </w:tc>
      </w:tr>
      <w:tr>
        <w:tc>
          <w:tcPr>
            <w:tcW w:type="dxa" w:w="2929"/>
          </w:tcPr>
          <w:p>
            <w:r>
              <w:rPr>
                <w:sz w:val="20"/>
              </w:rPr>
              <w:t>Underskilling</w:t>
            </w:r>
          </w:p>
        </w:tc>
        <w:tc>
          <w:tcPr>
            <w:tcW w:type="dxa" w:w="2929"/>
          </w:tcPr>
          <w:p>
            <w:r>
              <w:rPr>
                <w:sz w:val="20"/>
              </w:rPr>
              <w:t>Workers lack required skills</w:t>
            </w:r>
          </w:p>
        </w:tc>
        <w:tc>
          <w:tcPr>
            <w:tcW w:type="dxa" w:w="2929"/>
          </w:tcPr>
          <w:p>
            <w:r>
              <w:rPr>
                <w:sz w:val="20"/>
              </w:rPr>
              <w:t>Productivity gaps, wage compression</w:t>
            </w:r>
          </w:p>
        </w:tc>
      </w:tr>
      <w:tr>
        <w:tc>
          <w:tcPr>
            <w:tcW w:type="dxa" w:w="2929"/>
          </w:tcPr>
          <w:p>
            <w:r>
              <w:rPr>
                <w:sz w:val="20"/>
              </w:rPr>
              <w:t>Skills obsolescence</w:t>
            </w:r>
          </w:p>
        </w:tc>
        <w:tc>
          <w:tcPr>
            <w:tcW w:type="dxa" w:w="2929"/>
          </w:tcPr>
          <w:p>
            <w:r>
              <w:rPr>
                <w:sz w:val="20"/>
              </w:rPr>
              <w:t>Existing skills become irrelevant</w:t>
            </w:r>
          </w:p>
        </w:tc>
        <w:tc>
          <w:tcPr>
            <w:tcW w:type="dxa" w:w="2929"/>
          </w:tcPr>
          <w:p>
            <w:r>
              <w:rPr>
                <w:sz w:val="20"/>
              </w:rPr>
              <w:t>Structural unemployment, social costs</w:t>
            </w:r>
          </w:p>
        </w:tc>
      </w:tr>
    </w:tbl>
    <w:p/>
    <w:p>
      <w:pPr>
        <w:pStyle w:val="Heading2"/>
      </w:pPr>
      <w:r>
        <w:rPr>
          <w:color w:val="4472C4"/>
          <w:sz w:val="24"/>
        </w:rPr>
        <w:t>2.2  Labor Market Failures</w:t>
      </w:r>
    </w:p>
    <w:p>
      <w:pPr>
        <w:spacing w:after="120"/>
      </w:pPr>
      <w:r>
        <w:rPr>
          <w:rFonts w:ascii="Calibri" w:hAnsi="Calibri"/>
          <w:sz w:val="22"/>
        </w:rPr>
        <w:t>Several market failures justify government intervention in skills development:</w:t>
      </w:r>
    </w:p>
    <w:p>
      <w:pPr>
        <w:pStyle w:val="ListBullet"/>
      </w:pPr>
      <w:r>
        <w:rPr>
          <w:rFonts w:ascii="Calibri" w:hAnsi="Calibri"/>
          <w:sz w:val="22"/>
        </w:rPr>
        <w:t>Information asymmetry: Workers and employers have imperfect information about future skill demands.</w:t>
      </w:r>
    </w:p>
    <w:p>
      <w:pPr>
        <w:pStyle w:val="ListBullet"/>
      </w:pPr>
      <w:r>
        <w:rPr>
          <w:rFonts w:ascii="Calibri" w:hAnsi="Calibri"/>
          <w:sz w:val="22"/>
        </w:rPr>
        <w:t>Externalities: Trained workers create positive spillovers for the economy beyond what individual firms capture.</w:t>
      </w:r>
    </w:p>
    <w:p>
      <w:pPr>
        <w:pStyle w:val="ListBullet"/>
      </w:pPr>
      <w:r>
        <w:rPr>
          <w:rFonts w:ascii="Calibri" w:hAnsi="Calibri"/>
          <w:sz w:val="22"/>
        </w:rPr>
        <w:t>Coordination failures: Individual firms may underinvest in training fearing poaching by competitors.</w:t>
      </w:r>
    </w:p>
    <w:p>
      <w:pPr>
        <w:pStyle w:val="ListBullet"/>
      </w:pPr>
      <w:r>
        <w:rPr>
          <w:rFonts w:ascii="Calibri" w:hAnsi="Calibri"/>
          <w:sz w:val="22"/>
        </w:rPr>
        <w:t>Credit market imperfections: Low-income individuals cannot finance their own training.</w:t>
      </w:r>
    </w:p>
    <w:p>
      <w:pPr>
        <w:pStyle w:val="ListBullet"/>
      </w:pPr>
      <w:r>
        <w:rPr>
          <w:rFonts w:ascii="Calibri" w:hAnsi="Calibri"/>
          <w:sz w:val="22"/>
        </w:rPr>
        <w:t>Short-termism: Firms prioritize immediate returns over long-term human capital investment.</w:t>
      </w:r>
    </w:p>
    <w:p>
      <w:pPr>
        <w:pStyle w:val="Heading2"/>
      </w:pPr>
      <w:r>
        <w:rPr>
          <w:color w:val="4472C4"/>
          <w:sz w:val="24"/>
        </w:rPr>
        <w:t>2.3  The Bangladesh Context</w:t>
      </w:r>
    </w:p>
    <w:p>
      <w:pPr>
        <w:spacing w:after="120"/>
      </w:pPr>
      <w:r>
        <w:rPr>
          <w:rFonts w:ascii="Calibri" w:hAnsi="Calibri"/>
          <w:sz w:val="22"/>
        </w:rPr>
        <w:t>Bangladesh provides an illustrative case study of why ASSET-type programs are urgently needed. The country has achieved remarkable economic growth — averaging 6–7% GDP growth for two decades — driven largely by the Ready-Made Garment (RMG) sector. However, this model faces existential threats from automation, LDC graduation, remittance dependency, and youth underemployment. The NSDA and development partners including the World Bank, ADB, and ILO have supported ASSET-style interventions to address these structural challenges.</w:t>
      </w:r>
    </w:p>
    <w:p>
      <w:r>
        <w:br w:type="page"/>
      </w:r>
    </w:p>
    <w:p>
      <w:pPr>
        <w:pStyle w:val="Heading1"/>
        <w:jc w:val="left"/>
      </w:pPr>
      <w:r>
        <w:rPr>
          <w:color w:val="1F497D"/>
          <w:sz w:val="28"/>
        </w:rPr>
        <w:t>CHAPTER 3: Vision, Mission, and Strategic Objectives</w:t>
      </w:r>
    </w:p>
    <w:p/>
    <w:p>
      <w:pPr>
        <w:pStyle w:val="Heading2"/>
      </w:pPr>
      <w:r>
        <w:rPr>
          <w:color w:val="4472C4"/>
          <w:sz w:val="24"/>
        </w:rPr>
        <w:t>3.1  Vision</w:t>
      </w:r>
    </w:p>
    <w:p>
      <w:pPr>
        <w:spacing w:after="120"/>
      </w:pPr>
      <w:r>
        <w:rPr>
          <w:rFonts w:ascii="Calibri" w:hAnsi="Calibri"/>
          <w:sz w:val="22"/>
        </w:rPr>
        <w:t>"A skilled, productive, and adaptable workforce driving sustainable and inclusive economic transformation."</w:t>
      </w:r>
    </w:p>
    <w:p>
      <w:pPr>
        <w:pStyle w:val="Heading2"/>
      </w:pPr>
      <w:r>
        <w:rPr>
          <w:color w:val="4472C4"/>
          <w:sz w:val="24"/>
        </w:rPr>
        <w:t>3.2  Mission</w:t>
      </w:r>
    </w:p>
    <w:p>
      <w:pPr>
        <w:spacing w:after="120"/>
      </w:pPr>
      <w:r>
        <w:rPr>
          <w:rFonts w:ascii="Calibri" w:hAnsi="Calibri"/>
          <w:sz w:val="22"/>
        </w:rPr>
        <w:t>"To accelerate the development of market-relevant skills across all segments of the population through demand-driven training, institutional strengthening, and strategic partnerships — enabling individuals to achieve productive employment and contribute to national economic growth."</w:t>
      </w:r>
    </w:p>
    <w:p>
      <w:pPr>
        <w:pStyle w:val="Heading2"/>
      </w:pPr>
      <w:r>
        <w:rPr>
          <w:color w:val="4472C4"/>
          <w:sz w:val="24"/>
        </w:rPr>
        <w:t>3.3  Strategic Objectives</w:t>
      </w:r>
    </w:p>
    <w:p>
      <w:pPr>
        <w:spacing w:after="120"/>
      </w:pPr>
      <w:r>
        <w:rPr>
          <w:rFonts w:ascii="Calibri" w:hAnsi="Calibri"/>
          <w:sz w:val="22"/>
        </w:rPr>
        <w:t>The ASSET program operates around five strategic objectives:</w:t>
      </w:r>
    </w:p>
    <w:p>
      <w:pPr>
        <w:pStyle w:val="ListBullet"/>
      </w:pPr>
      <w:r>
        <w:rPr>
          <w:rFonts w:ascii="Calibri" w:hAnsi="Calibri"/>
          <w:sz w:val="22"/>
        </w:rPr>
        <w:t>Objective 1 – Relevance: Ensure that skills training programs align with current and future labor market demands.</w:t>
      </w:r>
    </w:p>
    <w:p>
      <w:pPr>
        <w:pStyle w:val="ListBullet"/>
      </w:pPr>
      <w:r>
        <w:rPr>
          <w:rFonts w:ascii="Calibri" w:hAnsi="Calibri"/>
          <w:sz w:val="22"/>
        </w:rPr>
        <w:t>Objective 2 – Quality: Strengthen the quality of training delivery through improved curricula, trainer development, modern equipment, and accreditation.</w:t>
      </w:r>
    </w:p>
    <w:p>
      <w:pPr>
        <w:pStyle w:val="ListBullet"/>
      </w:pPr>
      <w:r>
        <w:rPr>
          <w:rFonts w:ascii="Calibri" w:hAnsi="Calibri"/>
          <w:sz w:val="22"/>
        </w:rPr>
        <w:t>Objective 3 – Equity: Ensure that women, persons with disabilities, rural populations, and other marginalized groups have equitable access to quality skills training.</w:t>
      </w:r>
    </w:p>
    <w:p>
      <w:pPr>
        <w:pStyle w:val="ListBullet"/>
      </w:pPr>
      <w:r>
        <w:rPr>
          <w:rFonts w:ascii="Calibri" w:hAnsi="Calibri"/>
          <w:sz w:val="22"/>
        </w:rPr>
        <w:t>Objective 4 – Scale: Expand the reach of quality skills training through innovative delivery models including mobile training units and digital platforms.</w:t>
      </w:r>
    </w:p>
    <w:p>
      <w:pPr>
        <w:pStyle w:val="ListBullet"/>
      </w:pPr>
      <w:r>
        <w:rPr>
          <w:rFonts w:ascii="Calibri" w:hAnsi="Calibri"/>
          <w:sz w:val="22"/>
        </w:rPr>
        <w:t>Objective 5 – Sustainability: Build financially and institutionally sustainable skills development systems that can operate effectively beyond project timelines.</w:t>
      </w:r>
    </w:p>
    <w:p>
      <w:r>
        <w:br w:type="page"/>
      </w:r>
    </w:p>
    <w:p>
      <w:pPr>
        <w:pStyle w:val="Heading1"/>
        <w:jc w:val="left"/>
      </w:pPr>
      <w:r>
        <w:rPr>
          <w:color w:val="1F497D"/>
          <w:sz w:val="28"/>
        </w:rPr>
        <w:t>CHAPTER 4: Theoretical Framework</w:t>
      </w:r>
    </w:p>
    <w:p/>
    <w:p>
      <w:pPr>
        <w:pStyle w:val="Heading2"/>
      </w:pPr>
      <w:r>
        <w:rPr>
          <w:color w:val="4472C4"/>
          <w:sz w:val="24"/>
        </w:rPr>
        <w:t>4.1  Human Capital Theory</w:t>
      </w:r>
    </w:p>
    <w:p>
      <w:pPr>
        <w:spacing w:after="120"/>
      </w:pPr>
      <w:r>
        <w:rPr>
          <w:rFonts w:ascii="Calibri" w:hAnsi="Calibri"/>
          <w:sz w:val="22"/>
        </w:rPr>
        <w:t>ASSET is grounded in Human Capital Theory (Becker, 1964; Schultz, 1961), which treats investment in education and training as analogous to physical capital investment. The theory posits that skills and knowledge increase individual productivity and earning capacity, and that aggregate human capital accumulation drives national economic growth.</w:t>
      </w:r>
    </w:p>
    <w:p>
      <w:pPr>
        <w:pStyle w:val="Heading2"/>
      </w:pPr>
      <w:r>
        <w:rPr>
          <w:color w:val="4472C4"/>
          <w:sz w:val="24"/>
        </w:rPr>
        <w:t>4.2  Competency-Based Training (CBT) Framework</w:t>
      </w:r>
    </w:p>
    <w:p>
      <w:pPr>
        <w:spacing w:after="120"/>
      </w:pPr>
      <w:r>
        <w:rPr>
          <w:rFonts w:ascii="Calibri" w:hAnsi="Calibri"/>
          <w:sz w:val="22"/>
        </w:rPr>
        <w:t>ASSET adopts a Competency-Based Training and Assessment (CBTA) approach, which defines learning outcomes in terms of observable, measurable competencies, assesses mastery rather than time-in-seat, and recognizes prior learning through Recognition of Prior Learning (RPL) mechanisms. The CBT approach focuses on what learners can do rather than what they have studied.</w:t>
      </w:r>
    </w:p>
    <w:p>
      <w:pPr>
        <w:pStyle w:val="Heading2"/>
      </w:pPr>
      <w:r>
        <w:rPr>
          <w:color w:val="4472C4"/>
          <w:sz w:val="24"/>
        </w:rPr>
        <w:t>4.3  Systems Thinking Approach</w:t>
      </w:r>
    </w:p>
    <w:p>
      <w:pPr>
        <w:spacing w:after="120"/>
      </w:pPr>
      <w:r>
        <w:rPr>
          <w:rFonts w:ascii="Calibri" w:hAnsi="Calibri"/>
          <w:sz w:val="22"/>
        </w:rPr>
        <w:t>Sustainable skills development requires a systems thinking approach that recognizes the interdependencies between education and training institutions, labor market actors, regulatory and policy frameworks, financing mechanisms, and social and cultural contexts. ASSET employs a whole-of-system approach rather than project-level interventions, aiming for systemic change.</w:t>
      </w:r>
    </w:p>
    <w:p>
      <w:pPr>
        <w:pStyle w:val="Heading2"/>
      </w:pPr>
      <w:r>
        <w:rPr>
          <w:color w:val="4472C4"/>
          <w:sz w:val="24"/>
        </w:rPr>
        <w:t>4.4  Labor Market Information Systems (LMIS)</w:t>
      </w:r>
    </w:p>
    <w:p>
      <w:pPr>
        <w:spacing w:after="120"/>
      </w:pPr>
      <w:r>
        <w:rPr>
          <w:rFonts w:ascii="Calibri" w:hAnsi="Calibri"/>
          <w:sz w:val="22"/>
        </w:rPr>
        <w:t>Evidence-based policymaking requires robust Labor Market Information Systems that track current employment and unemployment data, wage rates by occupation and sector, skills demand forecasts, training provider performance, and graduate employment outcomes. ASSET invests significantly in building LMIS capacity to enable data-driven decision-making.</w:t>
      </w:r>
    </w:p>
    <w:p>
      <w:r>
        <w:br w:type="page"/>
      </w:r>
    </w:p>
    <w:p>
      <w:pPr>
        <w:pStyle w:val="Heading1"/>
        <w:jc w:val="left"/>
      </w:pPr>
      <w:r>
        <w:rPr>
          <w:color w:val="1F497D"/>
          <w:sz w:val="28"/>
        </w:rPr>
        <w:t>CHAPTER 5: Key Components and Program Architecture</w:t>
      </w:r>
    </w:p>
    <w:p/>
    <w:p>
      <w:pPr>
        <w:pStyle w:val="Heading2"/>
      </w:pPr>
      <w:r>
        <w:rPr>
          <w:color w:val="4472C4"/>
          <w:sz w:val="24"/>
        </w:rPr>
        <w:t>5.1  Program Architecture — Four Pillars</w:t>
      </w:r>
    </w:p>
    <w:p>
      <w:pPr>
        <w:spacing w:after="120"/>
      </w:pPr>
      <w:r>
        <w:rPr>
          <w:rFonts w:ascii="Calibri" w:hAnsi="Calibri"/>
          <w:sz w:val="22"/>
        </w:rPr>
        <w:t>ASSET is structured around four inter-linked pillars:</w:t>
      </w:r>
    </w:p>
    <w:p>
      <w:pPr>
        <w:pStyle w:val="ListBullet"/>
      </w:pPr>
      <w:r>
        <w:rPr>
          <w:rFonts w:ascii="Calibri" w:hAnsi="Calibri"/>
          <w:sz w:val="22"/>
        </w:rPr>
        <w:t>Pillar 1 – Institutional Strengthening: Building the capacity of skills development institutions through infrastructure renovation, trainer development, curriculum development, and accreditation.</w:t>
      </w:r>
    </w:p>
    <w:p>
      <w:pPr>
        <w:pStyle w:val="ListBullet"/>
      </w:pPr>
      <w:r>
        <w:rPr>
          <w:rFonts w:ascii="Calibri" w:hAnsi="Calibri"/>
          <w:sz w:val="22"/>
        </w:rPr>
        <w:t>Pillar 2 – Training Quality and Relevance: Demand-driven training design, Recognition of Prior Learning (RPL), and short-course modular training.</w:t>
      </w:r>
    </w:p>
    <w:p>
      <w:pPr>
        <w:pStyle w:val="ListBullet"/>
      </w:pPr>
      <w:r>
        <w:rPr>
          <w:rFonts w:ascii="Calibri" w:hAnsi="Calibri"/>
          <w:sz w:val="22"/>
        </w:rPr>
        <w:t>Pillar 3 – Employment and Entrepreneurship: Job placement services, entrepreneurship development programs, and international labor migration support.</w:t>
      </w:r>
    </w:p>
    <w:p>
      <w:pPr>
        <w:pStyle w:val="ListBullet"/>
      </w:pPr>
      <w:r>
        <w:rPr>
          <w:rFonts w:ascii="Calibri" w:hAnsi="Calibri"/>
          <w:sz w:val="22"/>
        </w:rPr>
        <w:t>Pillar 4 – System Governance and Finance: Policy and legal framework strengthening, innovative financing mechanisms, and inter-ministerial coordination.</w:t>
      </w:r>
    </w:p>
    <w:p>
      <w:pPr>
        <w:pStyle w:val="Heading2"/>
      </w:pPr>
      <w:r>
        <w:rPr>
          <w:color w:val="4472C4"/>
          <w:sz w:val="24"/>
        </w:rPr>
        <w:t>5.2  Pillar 1 — Institutional Strengthening</w:t>
      </w:r>
    </w:p>
    <w:p>
      <w:pPr>
        <w:spacing w:after="120"/>
      </w:pPr>
      <w:r>
        <w:rPr>
          <w:rFonts w:ascii="Calibri" w:hAnsi="Calibri"/>
          <w:sz w:val="22"/>
        </w:rPr>
        <w:t>This pillar focuses on building the capacity of skills development institutions including Training Provider Upgradation (infrastructure renovation, modern equipment procurement, laboratory modernization), Trainer Development (in-service training, industry attachment, certification), Curriculum Development (industry-led revision committees, regular review cycles, work-integrated learning), and Accreditation and Quality Assurance (strengthening national accreditation bodies and public disclosure of provider performance data).</w:t>
      </w:r>
    </w:p>
    <w:p>
      <w:pPr>
        <w:pStyle w:val="Heading2"/>
      </w:pPr>
      <w:r>
        <w:rPr>
          <w:color w:val="4472C4"/>
          <w:sz w:val="24"/>
        </w:rPr>
        <w:t>5.3  Pillar 2 — Training Quality and Relevance</w:t>
      </w:r>
    </w:p>
    <w:p>
      <w:pPr>
        <w:spacing w:after="120"/>
      </w:pPr>
      <w:r>
        <w:rPr>
          <w:rFonts w:ascii="Calibri" w:hAnsi="Calibri"/>
          <w:sz w:val="22"/>
        </w:rPr>
        <w:t>Demand-driven training design uses employer needs assessments and Sector Skills Councils. Recognition of Prior Learning (RPL) provides certification for existing informal sector skills. Short-course and modular training enables stackable credentials, flexible scheduling for working adults, and online and blended learning options.</w:t>
      </w:r>
    </w:p>
    <w:p>
      <w:pPr>
        <w:pStyle w:val="Heading2"/>
      </w:pPr>
      <w:r>
        <w:rPr>
          <w:color w:val="4472C4"/>
          <w:sz w:val="24"/>
        </w:rPr>
        <w:t>5.4  Pillar 3 — Employment and Entrepreneurship</w:t>
      </w:r>
    </w:p>
    <w:p>
      <w:pPr>
        <w:spacing w:after="120"/>
      </w:pPr>
      <w:r>
        <w:rPr>
          <w:rFonts w:ascii="Calibri" w:hAnsi="Calibri"/>
          <w:sz w:val="22"/>
        </w:rPr>
        <w:t>Job placement services include career counseling, industry partnerships, alumni networks, and job fairs. Entrepreneurship development integrates business skills training, business plan competitions, microfinance linkages, and mentorship. International labor migration support includes pre-departure training and bilateral skill recognition agreements.</w:t>
      </w:r>
    </w:p>
    <w:p>
      <w:r>
        <w:br w:type="page"/>
      </w:r>
    </w:p>
    <w:p>
      <w:pPr>
        <w:pStyle w:val="Heading1"/>
        <w:jc w:val="left"/>
      </w:pPr>
      <w:r>
        <w:rPr>
          <w:color w:val="1F497D"/>
          <w:sz w:val="28"/>
        </w:rPr>
        <w:t>CHAPTER 6: Target Beneficiaries</w:t>
      </w:r>
    </w:p>
    <w:p/>
    <w:p>
      <w:pPr>
        <w:pStyle w:val="Heading2"/>
      </w:pPr>
      <w:r>
        <w:rPr>
          <w:color w:val="4472C4"/>
          <w:sz w:val="24"/>
        </w:rPr>
        <w:t>6.1  Beneficiary Segmentation</w:t>
      </w:r>
    </w:p>
    <w:p>
      <w:pPr>
        <w:spacing w:after="120"/>
      </w:pPr>
      <w:r>
        <w:rPr>
          <w:rFonts w:ascii="Calibri" w:hAnsi="Calibri"/>
          <w:sz w:val="22"/>
        </w:rPr>
        <w:t>ASSET adopts a segmented approach recognizing that different population groups have distinct needs, constraints, and pathways:</w:t>
      </w:r>
    </w:p>
    <w:tbl>
      <w:tblPr>
        <w:tblStyle w:val="LightList-Accent1"/>
        <w:tblW w:type="auto" w:w="0"/>
        <w:tblLook w:firstColumn="1" w:firstRow="1" w:lastColumn="0" w:lastRow="0" w:noHBand="0" w:noVBand="1" w:val="04A0"/>
      </w:tblPr>
      <w:tblGrid>
        <w:gridCol w:w="2929"/>
        <w:gridCol w:w="2929"/>
        <w:gridCol w:w="2929"/>
      </w:tblGrid>
      <w:tr>
        <w:tc>
          <w:tcPr>
            <w:tcW w:type="dxa" w:w="2929"/>
          </w:tcPr>
          <w:p>
            <w:r>
              <w:rPr>
                <w:b/>
                <w:sz w:val="20"/>
              </w:rPr>
              <w:t>Segment</w:t>
            </w:r>
          </w:p>
        </w:tc>
        <w:tc>
          <w:tcPr>
            <w:tcW w:type="dxa" w:w="2929"/>
          </w:tcPr>
          <w:p>
            <w:r>
              <w:rPr>
                <w:b/>
                <w:sz w:val="20"/>
              </w:rPr>
              <w:t>Description</w:t>
            </w:r>
          </w:p>
        </w:tc>
        <w:tc>
          <w:tcPr>
            <w:tcW w:type="dxa" w:w="2929"/>
          </w:tcPr>
          <w:p>
            <w:r>
              <w:rPr>
                <w:b/>
                <w:sz w:val="20"/>
              </w:rPr>
              <w:t>Target Share</w:t>
            </w:r>
          </w:p>
        </w:tc>
      </w:tr>
      <w:tr>
        <w:tc>
          <w:tcPr>
            <w:tcW w:type="dxa" w:w="2929"/>
          </w:tcPr>
          <w:p>
            <w:r>
              <w:rPr>
                <w:sz w:val="20"/>
              </w:rPr>
              <w:t>School Leavers (15–24 yrs)</w:t>
            </w:r>
          </w:p>
        </w:tc>
        <w:tc>
          <w:tcPr>
            <w:tcW w:type="dxa" w:w="2929"/>
          </w:tcPr>
          <w:p>
            <w:r>
              <w:rPr>
                <w:sz w:val="20"/>
              </w:rPr>
              <w:t>Vocational pathway seekers, dropouts, fresh graduates</w:t>
            </w:r>
          </w:p>
        </w:tc>
        <w:tc>
          <w:tcPr>
            <w:tcW w:type="dxa" w:w="2929"/>
          </w:tcPr>
          <w:p>
            <w:r>
              <w:rPr>
                <w:sz w:val="20"/>
              </w:rPr>
              <w:t>40%</w:t>
            </w:r>
          </w:p>
        </w:tc>
      </w:tr>
      <w:tr>
        <w:tc>
          <w:tcPr>
            <w:tcW w:type="dxa" w:w="2929"/>
          </w:tcPr>
          <w:p>
            <w:r>
              <w:rPr>
                <w:sz w:val="20"/>
              </w:rPr>
              <w:t>Existing Workers (25–45 yrs)</w:t>
            </w:r>
          </w:p>
        </w:tc>
        <w:tc>
          <w:tcPr>
            <w:tcW w:type="dxa" w:w="2929"/>
          </w:tcPr>
          <w:p>
            <w:r>
              <w:rPr>
                <w:sz w:val="20"/>
              </w:rPr>
              <w:t>Informal sector workers, factory workers, micro-entrepreneurs</w:t>
            </w:r>
          </w:p>
        </w:tc>
        <w:tc>
          <w:tcPr>
            <w:tcW w:type="dxa" w:w="2929"/>
          </w:tcPr>
          <w:p>
            <w:r>
              <w:rPr>
                <w:sz w:val="20"/>
              </w:rPr>
              <w:t>35%</w:t>
            </w:r>
          </w:p>
        </w:tc>
      </w:tr>
      <w:tr>
        <w:tc>
          <w:tcPr>
            <w:tcW w:type="dxa" w:w="2929"/>
          </w:tcPr>
          <w:p>
            <w:r>
              <w:rPr>
                <w:sz w:val="20"/>
              </w:rPr>
              <w:t>Vulnerable Groups</w:t>
            </w:r>
          </w:p>
        </w:tc>
        <w:tc>
          <w:tcPr>
            <w:tcW w:type="dxa" w:w="2929"/>
          </w:tcPr>
          <w:p>
            <w:r>
              <w:rPr>
                <w:sz w:val="20"/>
              </w:rPr>
              <w:t>Women returnees, persons with disabilities, minorities, refugees</w:t>
            </w:r>
          </w:p>
        </w:tc>
        <w:tc>
          <w:tcPr>
            <w:tcW w:type="dxa" w:w="2929"/>
          </w:tcPr>
          <w:p>
            <w:r>
              <w:rPr>
                <w:sz w:val="20"/>
              </w:rPr>
              <w:t>25%</w:t>
            </w:r>
          </w:p>
        </w:tc>
      </w:tr>
    </w:tbl>
    <w:p/>
    <w:p>
      <w:pPr>
        <w:pStyle w:val="Heading2"/>
      </w:pPr>
      <w:r>
        <w:rPr>
          <w:color w:val="4472C4"/>
          <w:sz w:val="24"/>
        </w:rPr>
        <w:t>6.2  Geographic Targeting</w:t>
      </w:r>
    </w:p>
    <w:p>
      <w:pPr>
        <w:spacing w:after="120"/>
      </w:pPr>
      <w:r>
        <w:rPr>
          <w:rFonts w:ascii="Calibri" w:hAnsi="Calibri"/>
          <w:sz w:val="22"/>
        </w:rPr>
        <w:t>ASSET employs geographic targeting to ensure equitable distribution across urban major industrial centers, peri-urban secondary cities, rural agricultural transformation zones, and remote areas served by mobile training units and digital delivery.</w:t>
      </w:r>
    </w:p>
    <w:p>
      <w:pPr>
        <w:pStyle w:val="Heading2"/>
      </w:pPr>
      <w:r>
        <w:rPr>
          <w:color w:val="4472C4"/>
          <w:sz w:val="24"/>
        </w:rPr>
        <w:t>6.3  Beneficiary Journey</w:t>
      </w:r>
    </w:p>
    <w:p>
      <w:pPr>
        <w:spacing w:after="120"/>
      </w:pPr>
      <w:r>
        <w:rPr>
          <w:rFonts w:ascii="Calibri" w:hAnsi="Calibri"/>
          <w:sz w:val="22"/>
        </w:rPr>
        <w:t>The ASSET beneficiary journey follows a structured pathway: Awareness &amp; Outreach → Counseling &amp; Selection → Pre-Training Support → Training Delivery → Assessment &amp; Certification → Job Placement / Self-Employment Support → Follow-up &amp; Alumni Support.</w:t>
      </w:r>
    </w:p>
    <w:p>
      <w:r>
        <w:br w:type="page"/>
      </w:r>
    </w:p>
    <w:p>
      <w:pPr>
        <w:pStyle w:val="Heading1"/>
        <w:jc w:val="left"/>
      </w:pPr>
      <w:r>
        <w:rPr>
          <w:color w:val="1F497D"/>
          <w:sz w:val="28"/>
        </w:rPr>
        <w:t>CHAPTER 7: Sectoral Focus Areas</w:t>
      </w:r>
    </w:p>
    <w:p/>
    <w:p>
      <w:pPr>
        <w:pStyle w:val="Heading2"/>
      </w:pPr>
      <w:r>
        <w:rPr>
          <w:color w:val="4472C4"/>
          <w:sz w:val="24"/>
        </w:rPr>
        <w:t>7.1  Priority Sector Selection Methodology</w:t>
      </w:r>
    </w:p>
    <w:p>
      <w:pPr>
        <w:spacing w:after="120"/>
      </w:pPr>
      <w:r>
        <w:rPr>
          <w:rFonts w:ascii="Calibri" w:hAnsi="Calibri"/>
          <w:sz w:val="22"/>
        </w:rPr>
        <w:t>Priority sectors are identified based on current economic significance, growth trajectory, skills intensity, inclusivity potential, and export orientation.</w:t>
      </w:r>
    </w:p>
    <w:p>
      <w:pPr>
        <w:pStyle w:val="Heading2"/>
      </w:pPr>
      <w:r>
        <w:rPr>
          <w:color w:val="4472C4"/>
          <w:sz w:val="24"/>
        </w:rPr>
        <w:t>7.2  Manufacturing Sector</w:t>
      </w:r>
    </w:p>
    <w:p>
      <w:pPr>
        <w:spacing w:after="120"/>
      </w:pPr>
      <w:r>
        <w:rPr>
          <w:rFonts w:ascii="Calibri" w:hAnsi="Calibri"/>
          <w:sz w:val="22"/>
        </w:rPr>
        <w:t>Despite automation pressures, textile and apparel remain dominant. ASSET focuses on upgrading workers to higher-value production, compliance skills, supervisory and managerial training, and technical skills for advanced machinery. The light engineering sector and pharmaceuticals are also priority sub-sectors.</w:t>
      </w:r>
    </w:p>
    <w:p>
      <w:pPr>
        <w:pStyle w:val="Heading2"/>
      </w:pPr>
      <w:r>
        <w:rPr>
          <w:color w:val="4472C4"/>
          <w:sz w:val="24"/>
        </w:rPr>
        <w:t>7.3  Construction and Infrastructure</w:t>
      </w:r>
    </w:p>
    <w:p>
      <w:pPr>
        <w:spacing w:after="120"/>
      </w:pPr>
      <w:r>
        <w:rPr>
          <w:rFonts w:ascii="Calibri" w:hAnsi="Calibri"/>
          <w:sz w:val="22"/>
        </w:rPr>
        <w:t>Construction is a labor-intensive sector with massive skills needs: masonry, carpentry, plumbing, electrical work, civil engineering technician roles, project management, green building and energy efficiency construction.</w:t>
      </w:r>
    </w:p>
    <w:p>
      <w:pPr>
        <w:pStyle w:val="Heading2"/>
      </w:pPr>
      <w:r>
        <w:rPr>
          <w:color w:val="4472C4"/>
          <w:sz w:val="24"/>
        </w:rPr>
        <w:t>7.4  Information and Communication Technology (ICT)</w:t>
      </w:r>
    </w:p>
    <w:p>
      <w:pPr>
        <w:spacing w:after="120"/>
      </w:pPr>
      <w:r>
        <w:rPr>
          <w:rFonts w:ascii="Calibri" w:hAnsi="Calibri"/>
          <w:sz w:val="22"/>
        </w:rPr>
        <w:t>The digital economy offers transformative opportunities across three tiers: Foundational ICT (digital literacy, internet skills), Intermediate ICT (web development, mobile apps, data entry), and Advanced ICT (software engineering, cybersecurity, cloud computing, AI/ML). Digital services including freelancing and e-commerce are also priority areas.</w:t>
      </w:r>
    </w:p>
    <w:p>
      <w:pPr>
        <w:pStyle w:val="Heading2"/>
      </w:pPr>
      <w:r>
        <w:rPr>
          <w:color w:val="4472C4"/>
          <w:sz w:val="24"/>
        </w:rPr>
        <w:t>7.5  Agriculture and Agribusiness</w:t>
      </w:r>
    </w:p>
    <w:p>
      <w:pPr>
        <w:spacing w:after="120"/>
      </w:pPr>
      <w:r>
        <w:rPr>
          <w:rFonts w:ascii="Calibri" w:hAnsi="Calibri"/>
          <w:sz w:val="22"/>
        </w:rPr>
        <w:t>Agriculture skills include modern farming techniques (precision agriculture, hydroponics), post-harvest management, agribusiness and farm enterprise management, and agricultural finance and insurance.</w:t>
      </w:r>
    </w:p>
    <w:p>
      <w:pPr>
        <w:pStyle w:val="Heading2"/>
      </w:pPr>
      <w:r>
        <w:rPr>
          <w:color w:val="4472C4"/>
          <w:sz w:val="24"/>
        </w:rPr>
        <w:t>7.6  Healthcare and Social Services</w:t>
      </w:r>
    </w:p>
    <w:p>
      <w:pPr>
        <w:spacing w:after="120"/>
      </w:pPr>
      <w:r>
        <w:rPr>
          <w:rFonts w:ascii="Calibri" w:hAnsi="Calibri"/>
          <w:sz w:val="22"/>
        </w:rPr>
        <w:t>Rapidly growing sector with acute skill shortages: community health workers, medical technologists, nursing and paramedical skills, elderly care services, and mental health first aid.</w:t>
      </w:r>
    </w:p>
    <w:p>
      <w:pPr>
        <w:pStyle w:val="Heading2"/>
      </w:pPr>
      <w:r>
        <w:rPr>
          <w:color w:val="4472C4"/>
          <w:sz w:val="24"/>
        </w:rPr>
        <w:t>7.7  Tourism, Hospitality, Renewable Energy, and Financial Services</w:t>
      </w:r>
    </w:p>
    <w:p>
      <w:pPr>
        <w:spacing w:after="120"/>
      </w:pPr>
      <w:r>
        <w:rPr>
          <w:rFonts w:ascii="Calibri" w:hAnsi="Calibri"/>
          <w:sz w:val="22"/>
        </w:rPr>
        <w:t>Tourism and hospitality include hotel management, culinary arts, and events management. Renewable energy creates jobs for solar panel installation technicians, wind turbine technicians, and energy efficiency auditors. Financial services require MFS operations, microfinance, and SME accounting skills.</w:t>
      </w:r>
    </w:p>
    <w:p>
      <w:r>
        <w:br w:type="page"/>
      </w:r>
    </w:p>
    <w:p>
      <w:pPr>
        <w:pStyle w:val="Heading1"/>
        <w:jc w:val="left"/>
      </w:pPr>
      <w:r>
        <w:rPr>
          <w:color w:val="1F497D"/>
          <w:sz w:val="28"/>
        </w:rPr>
        <w:t>CHAPTER 8: Implementation Strategy</w:t>
      </w:r>
    </w:p>
    <w:p/>
    <w:p>
      <w:pPr>
        <w:pStyle w:val="Heading2"/>
      </w:pPr>
      <w:r>
        <w:rPr>
          <w:color w:val="4472C4"/>
          <w:sz w:val="24"/>
        </w:rPr>
        <w:t>8.1  Phased Implementation Approach</w:t>
      </w:r>
    </w:p>
    <w:p>
      <w:pPr>
        <w:spacing w:after="120"/>
      </w:pPr>
      <w:r>
        <w:rPr>
          <w:rFonts w:ascii="Calibri" w:hAnsi="Calibri"/>
          <w:sz w:val="22"/>
        </w:rPr>
        <w:t>ASSET is implemented in three phases over a 7–10 year period:</w:t>
      </w:r>
    </w:p>
    <w:p>
      <w:pPr>
        <w:pStyle w:val="ListBullet"/>
      </w:pPr>
      <w:r>
        <w:rPr>
          <w:rFonts w:ascii="Calibri" w:hAnsi="Calibri"/>
          <w:sz w:val="22"/>
        </w:rPr>
        <w:t>Phase 1 – Foundation (Years 1–3): Baseline studies, institutional capacity building, curriculum development, pilot programs, LMIS development, partnership establishment.</w:t>
      </w:r>
    </w:p>
    <w:p>
      <w:pPr>
        <w:pStyle w:val="ListBullet"/>
      </w:pPr>
      <w:r>
        <w:rPr>
          <w:rFonts w:ascii="Calibri" w:hAnsi="Calibri"/>
          <w:sz w:val="22"/>
        </w:rPr>
        <w:t>Phase 2 – Scale-up (Years 4–7): Full program rollout, geographic expansion, digital delivery platform launch, RPL system rollout.</w:t>
      </w:r>
    </w:p>
    <w:p>
      <w:pPr>
        <w:pStyle w:val="ListBullet"/>
      </w:pPr>
      <w:r>
        <w:rPr>
          <w:rFonts w:ascii="Calibri" w:hAnsi="Calibri"/>
          <w:sz w:val="22"/>
        </w:rPr>
        <w:t>Phase 3 – Sustainability and Consolidation (Years 7–10): Transition to government-led and industry-financed system, policy reforms institutionalized, knowledge sharing.</w:t>
      </w:r>
    </w:p>
    <w:p>
      <w:pPr>
        <w:pStyle w:val="Heading2"/>
      </w:pPr>
      <w:r>
        <w:rPr>
          <w:color w:val="4472C4"/>
          <w:sz w:val="24"/>
        </w:rPr>
        <w:t>8.2  Training Delivery Modalities</w:t>
      </w:r>
    </w:p>
    <w:tbl>
      <w:tblPr>
        <w:tblStyle w:val="LightList-Accent1"/>
        <w:tblW w:type="auto" w:w="0"/>
        <w:tblLook w:firstColumn="1" w:firstRow="1" w:lastColumn="0" w:lastRow="0" w:noHBand="0" w:noVBand="1" w:val="04A0"/>
      </w:tblPr>
      <w:tblGrid>
        <w:gridCol w:w="2929"/>
        <w:gridCol w:w="2929"/>
        <w:gridCol w:w="2929"/>
      </w:tblGrid>
      <w:tr>
        <w:tc>
          <w:tcPr>
            <w:tcW w:type="dxa" w:w="2929"/>
          </w:tcPr>
          <w:p>
            <w:r>
              <w:rPr>
                <w:b/>
                <w:sz w:val="20"/>
              </w:rPr>
              <w:t>Modality</w:t>
            </w:r>
          </w:p>
        </w:tc>
        <w:tc>
          <w:tcPr>
            <w:tcW w:type="dxa" w:w="2929"/>
          </w:tcPr>
          <w:p>
            <w:r>
              <w:rPr>
                <w:b/>
                <w:sz w:val="20"/>
              </w:rPr>
              <w:t>Description</w:t>
            </w:r>
          </w:p>
        </w:tc>
        <w:tc>
          <w:tcPr>
            <w:tcW w:type="dxa" w:w="2929"/>
          </w:tcPr>
          <w:p>
            <w:r>
              <w:rPr>
                <w:b/>
                <w:sz w:val="20"/>
              </w:rPr>
              <w:t>Target Group</w:t>
            </w:r>
          </w:p>
        </w:tc>
      </w:tr>
      <w:tr>
        <w:tc>
          <w:tcPr>
            <w:tcW w:type="dxa" w:w="2929"/>
          </w:tcPr>
          <w:p>
            <w:r>
              <w:rPr>
                <w:sz w:val="20"/>
              </w:rPr>
              <w:t>Classroom-based</w:t>
            </w:r>
          </w:p>
        </w:tc>
        <w:tc>
          <w:tcPr>
            <w:tcW w:type="dxa" w:w="2929"/>
          </w:tcPr>
          <w:p>
            <w:r>
              <w:rPr>
                <w:sz w:val="20"/>
              </w:rPr>
              <w:t>Traditional face-to-face in training centers</w:t>
            </w:r>
          </w:p>
        </w:tc>
        <w:tc>
          <w:tcPr>
            <w:tcW w:type="dxa" w:w="2929"/>
          </w:tcPr>
          <w:p>
            <w:r>
              <w:rPr>
                <w:sz w:val="20"/>
              </w:rPr>
              <w:t>Youth, formal learners</w:t>
            </w:r>
          </w:p>
        </w:tc>
      </w:tr>
      <w:tr>
        <w:tc>
          <w:tcPr>
            <w:tcW w:type="dxa" w:w="2929"/>
          </w:tcPr>
          <w:p>
            <w:r>
              <w:rPr>
                <w:sz w:val="20"/>
              </w:rPr>
              <w:t>Workplace-based</w:t>
            </w:r>
          </w:p>
        </w:tc>
        <w:tc>
          <w:tcPr>
            <w:tcW w:type="dxa" w:w="2929"/>
          </w:tcPr>
          <w:p>
            <w:r>
              <w:rPr>
                <w:sz w:val="20"/>
              </w:rPr>
              <w:t>Apprenticeship, on-the-job training</w:t>
            </w:r>
          </w:p>
        </w:tc>
        <w:tc>
          <w:tcPr>
            <w:tcW w:type="dxa" w:w="2929"/>
          </w:tcPr>
          <w:p>
            <w:r>
              <w:rPr>
                <w:sz w:val="20"/>
              </w:rPr>
              <w:t>Workers, youth</w:t>
            </w:r>
          </w:p>
        </w:tc>
      </w:tr>
      <w:tr>
        <w:tc>
          <w:tcPr>
            <w:tcW w:type="dxa" w:w="2929"/>
          </w:tcPr>
          <w:p>
            <w:r>
              <w:rPr>
                <w:sz w:val="20"/>
              </w:rPr>
              <w:t>Mobile training</w:t>
            </w:r>
          </w:p>
        </w:tc>
        <w:tc>
          <w:tcPr>
            <w:tcW w:type="dxa" w:w="2929"/>
          </w:tcPr>
          <w:p>
            <w:r>
              <w:rPr>
                <w:sz w:val="20"/>
              </w:rPr>
              <w:t>Training centers in vehicles reaching rural areas</w:t>
            </w:r>
          </w:p>
        </w:tc>
        <w:tc>
          <w:tcPr>
            <w:tcW w:type="dxa" w:w="2929"/>
          </w:tcPr>
          <w:p>
            <w:r>
              <w:rPr>
                <w:sz w:val="20"/>
              </w:rPr>
              <w:t>Rural, remote populations</w:t>
            </w:r>
          </w:p>
        </w:tc>
      </w:tr>
      <w:tr>
        <w:tc>
          <w:tcPr>
            <w:tcW w:type="dxa" w:w="2929"/>
          </w:tcPr>
          <w:p>
            <w:r>
              <w:rPr>
                <w:sz w:val="20"/>
              </w:rPr>
              <w:t>Digital/online</w:t>
            </w:r>
          </w:p>
        </w:tc>
        <w:tc>
          <w:tcPr>
            <w:tcW w:type="dxa" w:w="2929"/>
          </w:tcPr>
          <w:p>
            <w:r>
              <w:rPr>
                <w:sz w:val="20"/>
              </w:rPr>
              <w:t>E-learning platforms, virtual classrooms</w:t>
            </w:r>
          </w:p>
        </w:tc>
        <w:tc>
          <w:tcPr>
            <w:tcW w:type="dxa" w:w="2929"/>
          </w:tcPr>
          <w:p>
            <w:r>
              <w:rPr>
                <w:sz w:val="20"/>
              </w:rPr>
              <w:t>ICT-literate learners</w:t>
            </w:r>
          </w:p>
        </w:tc>
      </w:tr>
      <w:tr>
        <w:tc>
          <w:tcPr>
            <w:tcW w:type="dxa" w:w="2929"/>
          </w:tcPr>
          <w:p>
            <w:r>
              <w:rPr>
                <w:sz w:val="20"/>
              </w:rPr>
              <w:t>Blended learning</w:t>
            </w:r>
          </w:p>
        </w:tc>
        <w:tc>
          <w:tcPr>
            <w:tcW w:type="dxa" w:w="2929"/>
          </w:tcPr>
          <w:p>
            <w:r>
              <w:rPr>
                <w:sz w:val="20"/>
              </w:rPr>
              <w:t>Combination of face-to-face and online</w:t>
            </w:r>
          </w:p>
        </w:tc>
        <w:tc>
          <w:tcPr>
            <w:tcW w:type="dxa" w:w="2929"/>
          </w:tcPr>
          <w:p>
            <w:r>
              <w:rPr>
                <w:sz w:val="20"/>
              </w:rPr>
              <w:t>Working adults</w:t>
            </w:r>
          </w:p>
        </w:tc>
      </w:tr>
      <w:tr>
        <w:tc>
          <w:tcPr>
            <w:tcW w:type="dxa" w:w="2929"/>
          </w:tcPr>
          <w:p>
            <w:r>
              <w:rPr>
                <w:sz w:val="20"/>
              </w:rPr>
              <w:t>Employer-based</w:t>
            </w:r>
          </w:p>
        </w:tc>
        <w:tc>
          <w:tcPr>
            <w:tcW w:type="dxa" w:w="2929"/>
          </w:tcPr>
          <w:p>
            <w:r>
              <w:rPr>
                <w:sz w:val="20"/>
              </w:rPr>
              <w:t>Training in company facilities</w:t>
            </w:r>
          </w:p>
        </w:tc>
        <w:tc>
          <w:tcPr>
            <w:tcW w:type="dxa" w:w="2929"/>
          </w:tcPr>
          <w:p>
            <w:r>
              <w:rPr>
                <w:sz w:val="20"/>
              </w:rPr>
              <w:t>Employed workers</w:t>
            </w:r>
          </w:p>
        </w:tc>
      </w:tr>
    </w:tbl>
    <w:p/>
    <w:p>
      <w:pPr>
        <w:pStyle w:val="Heading2"/>
      </w:pPr>
      <w:r>
        <w:rPr>
          <w:color w:val="4472C4"/>
          <w:sz w:val="24"/>
        </w:rPr>
        <w:t>8.3  Quality Assurance Mechanisms</w:t>
      </w:r>
    </w:p>
    <w:p>
      <w:pPr>
        <w:spacing w:after="120"/>
      </w:pPr>
      <w:r>
        <w:rPr>
          <w:rFonts w:ascii="Calibri" w:hAnsi="Calibri"/>
          <w:sz w:val="22"/>
        </w:rPr>
        <w:t>Quality is ensured through: pre-training accreditation and curriculum approval; during-training internal quality checks and learner feedback; post-training external assessment and tracer studies; and systemic performance-based funding, public disclosure, and benchmarking.</w:t>
      </w:r>
    </w:p>
    <w:p>
      <w:pPr>
        <w:pStyle w:val="Heading2"/>
      </w:pPr>
      <w:r>
        <w:rPr>
          <w:color w:val="4472C4"/>
          <w:sz w:val="24"/>
        </w:rPr>
        <w:t>8.4  Rapid Response Training</w:t>
      </w:r>
    </w:p>
    <w:p>
      <w:pPr>
        <w:spacing w:after="120"/>
      </w:pPr>
      <w:r>
        <w:rPr>
          <w:rFonts w:ascii="Calibri" w:hAnsi="Calibri"/>
          <w:sz w:val="22"/>
        </w:rPr>
        <w:t>A Rapid Response Training Fund can deploy training programs within 90 days of identified need, partner with new employers entering the market, and provide temporary training in employer facilities.</w:t>
      </w:r>
    </w:p>
    <w:p>
      <w:r>
        <w:br w:type="page"/>
      </w:r>
    </w:p>
    <w:p>
      <w:pPr>
        <w:pStyle w:val="Heading1"/>
        <w:jc w:val="left"/>
      </w:pPr>
      <w:r>
        <w:rPr>
          <w:color w:val="1F497D"/>
          <w:sz w:val="28"/>
        </w:rPr>
        <w:t>CHAPTER 9: Institutional Framework and Governance</w:t>
      </w:r>
    </w:p>
    <w:p/>
    <w:p>
      <w:pPr>
        <w:pStyle w:val="Heading2"/>
      </w:pPr>
      <w:r>
        <w:rPr>
          <w:color w:val="4472C4"/>
          <w:sz w:val="24"/>
        </w:rPr>
        <w:t>9.1  Governance Architecture</w:t>
      </w:r>
    </w:p>
    <w:p>
      <w:pPr>
        <w:spacing w:after="120"/>
      </w:pPr>
      <w:r>
        <w:rPr>
          <w:rFonts w:ascii="Calibri" w:hAnsi="Calibri"/>
          <w:sz w:val="22"/>
        </w:rPr>
        <w:t>Effective skills development requires clear governance arrangements at national, sector, institution, and regional/local levels. The National Skills Development Council (NSDC) provides strategic direction, the National Skills Development Authority (NSDA) serves as technical secretariat, and Sector Skills Councils (SSCs) are industry-led bodies defining occupational standards.</w:t>
      </w:r>
    </w:p>
    <w:p>
      <w:pPr>
        <w:pStyle w:val="Heading2"/>
      </w:pPr>
      <w:r>
        <w:rPr>
          <w:color w:val="4472C4"/>
          <w:sz w:val="24"/>
        </w:rPr>
        <w:t>9.2  Role of Sector Skills Councils</w:t>
      </w:r>
    </w:p>
    <w:p>
      <w:pPr>
        <w:spacing w:after="120"/>
      </w:pPr>
      <w:r>
        <w:rPr>
          <w:rFonts w:ascii="Calibri" w:hAnsi="Calibri"/>
          <w:sz w:val="22"/>
        </w:rPr>
        <w:t>SSCs define Occupational Standards, approve Training Curricula, provide Industry Trainers, facilitate Workplace Attachments, advise on Emerging Skills, and participate in Assessment and Certification. SSC sustainability is achieved through government grants, membership fees, training levy contributions, and fee-for-service activities.</w:t>
      </w:r>
    </w:p>
    <w:p>
      <w:pPr>
        <w:pStyle w:val="Heading2"/>
      </w:pPr>
      <w:r>
        <w:rPr>
          <w:color w:val="4472C4"/>
          <w:sz w:val="24"/>
        </w:rPr>
        <w:t>9.3  Regulatory Framework</w:t>
      </w:r>
    </w:p>
    <w:p>
      <w:pPr>
        <w:spacing w:after="120"/>
      </w:pPr>
      <w:r>
        <w:rPr>
          <w:rFonts w:ascii="Calibri" w:hAnsi="Calibri"/>
          <w:sz w:val="22"/>
        </w:rPr>
        <w:t>The National Qualifications Framework (NQF) provides a hierarchical structure for qualifications from Level 1 (basic) to Level 8 (doctoral level). Accreditation assesses training providers based on physical infrastructure, trainer qualifications, curriculum quality, management systems, and track record of outcomes.</w:t>
      </w:r>
    </w:p>
    <w:p>
      <w:r>
        <w:br w:type="page"/>
      </w:r>
    </w:p>
    <w:p>
      <w:pPr>
        <w:pStyle w:val="Heading1"/>
        <w:jc w:val="left"/>
      </w:pPr>
      <w:r>
        <w:rPr>
          <w:color w:val="1F497D"/>
          <w:sz w:val="28"/>
        </w:rPr>
        <w:t>CHAPTER 10: Public-Private Partnership Model</w:t>
      </w:r>
    </w:p>
    <w:p/>
    <w:p>
      <w:pPr>
        <w:pStyle w:val="Heading2"/>
      </w:pPr>
      <w:r>
        <w:rPr>
          <w:color w:val="4472C4"/>
          <w:sz w:val="24"/>
        </w:rPr>
        <w:t>10.1  Why PPPs in Skills Development?</w:t>
      </w:r>
    </w:p>
    <w:p>
      <w:pPr>
        <w:spacing w:after="120"/>
      </w:pPr>
      <w:r>
        <w:rPr>
          <w:rFonts w:ascii="Calibri" w:hAnsi="Calibri"/>
          <w:sz w:val="22"/>
        </w:rPr>
        <w:t>Public-Private Partnerships in skills development offer significant advantages: industry brings real-world knowledge of skill requirements; private sector resources augment public financing; employer partnerships improve employment outcomes; industry credibility enhances certificate value; and shared infrastructure reduces per-trainee costs.</w:t>
      </w:r>
    </w:p>
    <w:p>
      <w:pPr>
        <w:pStyle w:val="Heading2"/>
      </w:pPr>
      <w:r>
        <w:rPr>
          <w:color w:val="4472C4"/>
          <w:sz w:val="24"/>
        </w:rPr>
        <w:t>10.2  PPP Models in ASSET</w:t>
      </w:r>
    </w:p>
    <w:p>
      <w:pPr>
        <w:pStyle w:val="ListBullet"/>
      </w:pPr>
      <w:r>
        <w:rPr>
          <w:rFonts w:ascii="Calibri" w:hAnsi="Calibri"/>
          <w:sz w:val="22"/>
        </w:rPr>
        <w:t>Model 1 – Industry-Led Training Centers: Companies or industry associations establish and operate training centers, with government providing curriculum accreditation and regulatory recognition.</w:t>
      </w:r>
    </w:p>
    <w:p>
      <w:pPr>
        <w:pStyle w:val="ListBullet"/>
      </w:pPr>
      <w:r>
        <w:rPr>
          <w:rFonts w:ascii="Calibri" w:hAnsi="Calibri"/>
          <w:sz w:val="22"/>
        </w:rPr>
        <w:t>Model 2 – Dual Training System: Based on the German 'Ausbildung' model — trainees spend 3–4 days per week in companies and 1–2 days in training centers.</w:t>
      </w:r>
    </w:p>
    <w:p>
      <w:pPr>
        <w:pStyle w:val="ListBullet"/>
      </w:pPr>
      <w:r>
        <w:rPr>
          <w:rFonts w:ascii="Calibri" w:hAnsi="Calibri"/>
          <w:sz w:val="22"/>
        </w:rPr>
        <w:t>Model 3 – Contract Training: Government contracts private training providers with output-based payment upon completion, certification, and employment.</w:t>
      </w:r>
    </w:p>
    <w:p>
      <w:pPr>
        <w:pStyle w:val="ListBullet"/>
      </w:pPr>
      <w:r>
        <w:rPr>
          <w:rFonts w:ascii="Calibri" w:hAnsi="Calibri"/>
          <w:sz w:val="22"/>
        </w:rPr>
        <w:t>Model 4 – Industry Investment Matching: Government matches 30–50% of employer investments in training, particularly targeting SMEs.</w:t>
      </w:r>
    </w:p>
    <w:p>
      <w:pPr>
        <w:pStyle w:val="ListBullet"/>
      </w:pPr>
      <w:r>
        <w:rPr>
          <w:rFonts w:ascii="Calibri" w:hAnsi="Calibri"/>
          <w:sz w:val="22"/>
        </w:rPr>
        <w:t>Model 5 – Training Consortia: Groups of companies in the same sector pool resources for a shared training center.</w:t>
      </w:r>
    </w:p>
    <w:p>
      <w:pPr>
        <w:pStyle w:val="Heading2"/>
      </w:pPr>
      <w:r>
        <w:rPr>
          <w:color w:val="4472C4"/>
          <w:sz w:val="24"/>
        </w:rPr>
        <w:t>10.3  Incentive Structures for Private Sector Engagement</w:t>
      </w:r>
    </w:p>
    <w:p>
      <w:pPr>
        <w:spacing w:after="120"/>
      </w:pPr>
      <w:r>
        <w:rPr>
          <w:rFonts w:ascii="Calibri" w:hAnsi="Calibri"/>
          <w:sz w:val="22"/>
        </w:rPr>
        <w:t>Incentives include tax deductibility of training expenditure at 150–200% enhanced allowance, direct skills grants of $500–1,000 per trainee, regulatory fast-track certification for company-trained workers, award schemes recognizing top training employers, and free access to labor market intelligence.</w:t>
      </w:r>
    </w:p>
    <w:p>
      <w:r>
        <w:br w:type="page"/>
      </w:r>
    </w:p>
    <w:p>
      <w:pPr>
        <w:pStyle w:val="Heading1"/>
        <w:jc w:val="left"/>
      </w:pPr>
      <w:r>
        <w:rPr>
          <w:color w:val="1F497D"/>
          <w:sz w:val="28"/>
        </w:rPr>
        <w:t>CHAPTER 11: Financing Mechanisms</w:t>
      </w:r>
    </w:p>
    <w:p/>
    <w:p>
      <w:pPr>
        <w:pStyle w:val="Heading2"/>
      </w:pPr>
      <w:r>
        <w:rPr>
          <w:color w:val="4472C4"/>
          <w:sz w:val="24"/>
        </w:rPr>
        <w:t>11.1  The Skills Finance Gap</w:t>
      </w:r>
    </w:p>
    <w:p>
      <w:pPr>
        <w:spacing w:after="120"/>
      </w:pPr>
      <w:r>
        <w:rPr>
          <w:rFonts w:ascii="Calibri" w:hAnsi="Calibri"/>
          <w:sz w:val="22"/>
        </w:rPr>
        <w:t>The global skills finance gap — the difference between what is needed and what is currently invested — is estimated at $2.4 trillion annually for developing countries. Bridging this gap requires creative financing approaches that go beyond traditional government budgets.</w:t>
      </w:r>
    </w:p>
    <w:p>
      <w:pPr>
        <w:pStyle w:val="Heading2"/>
      </w:pPr>
      <w:r>
        <w:rPr>
          <w:color w:val="4472C4"/>
          <w:sz w:val="24"/>
        </w:rPr>
        <w:t>11.2  Training Levy Systems</w:t>
      </w:r>
    </w:p>
    <w:tbl>
      <w:tblPr>
        <w:tblStyle w:val="LightList-Accent1"/>
        <w:tblW w:type="auto" w:w="0"/>
        <w:tblLook w:firstColumn="1" w:firstRow="1" w:lastColumn="0" w:lastRow="0" w:noHBand="0" w:noVBand="1" w:val="04A0"/>
      </w:tblPr>
      <w:tblGrid>
        <w:gridCol w:w="2197"/>
        <w:gridCol w:w="2197"/>
        <w:gridCol w:w="2197"/>
        <w:gridCol w:w="2197"/>
      </w:tblGrid>
      <w:tr>
        <w:tc>
          <w:tcPr>
            <w:tcW w:type="dxa" w:w="2197"/>
          </w:tcPr>
          <w:p>
            <w:r>
              <w:rPr>
                <w:b/>
                <w:sz w:val="20"/>
              </w:rPr>
              <w:t>Country</w:t>
            </w:r>
          </w:p>
        </w:tc>
        <w:tc>
          <w:tcPr>
            <w:tcW w:type="dxa" w:w="2197"/>
          </w:tcPr>
          <w:p>
            <w:r>
              <w:rPr>
                <w:b/>
                <w:sz w:val="20"/>
              </w:rPr>
              <w:t>Levy Rate</w:t>
            </w:r>
          </w:p>
        </w:tc>
        <w:tc>
          <w:tcPr>
            <w:tcW w:type="dxa" w:w="2197"/>
          </w:tcPr>
          <w:p>
            <w:r>
              <w:rPr>
                <w:b/>
                <w:sz w:val="20"/>
              </w:rPr>
              <w:t>Collection Body</w:t>
            </w:r>
          </w:p>
        </w:tc>
        <w:tc>
          <w:tcPr>
            <w:tcW w:type="dxa" w:w="2197"/>
          </w:tcPr>
          <w:p>
            <w:r>
              <w:rPr>
                <w:b/>
                <w:sz w:val="20"/>
              </w:rPr>
              <w:t>Training Fund</w:t>
            </w:r>
          </w:p>
        </w:tc>
      </w:tr>
      <w:tr>
        <w:tc>
          <w:tcPr>
            <w:tcW w:type="dxa" w:w="2197"/>
          </w:tcPr>
          <w:p>
            <w:r>
              <w:rPr>
                <w:sz w:val="20"/>
              </w:rPr>
              <w:t>Malaysia</w:t>
            </w:r>
          </w:p>
        </w:tc>
        <w:tc>
          <w:tcPr>
            <w:tcW w:type="dxa" w:w="2197"/>
          </w:tcPr>
          <w:p>
            <w:r>
              <w:rPr>
                <w:sz w:val="20"/>
              </w:rPr>
              <w:t>1% of payroll</w:t>
            </w:r>
          </w:p>
        </w:tc>
        <w:tc>
          <w:tcPr>
            <w:tcW w:type="dxa" w:w="2197"/>
          </w:tcPr>
          <w:p>
            <w:r>
              <w:rPr>
                <w:sz w:val="20"/>
              </w:rPr>
              <w:t>HRDF</w:t>
            </w:r>
          </w:p>
        </w:tc>
        <w:tc>
          <w:tcPr>
            <w:tcW w:type="dxa" w:w="2197"/>
          </w:tcPr>
          <w:p>
            <w:r>
              <w:rPr>
                <w:sz w:val="20"/>
              </w:rPr>
              <w:t>Human Resources Development Fund</w:t>
            </w:r>
          </w:p>
        </w:tc>
      </w:tr>
      <w:tr>
        <w:tc>
          <w:tcPr>
            <w:tcW w:type="dxa" w:w="2197"/>
          </w:tcPr>
          <w:p>
            <w:r>
              <w:rPr>
                <w:sz w:val="20"/>
              </w:rPr>
              <w:t>South Africa</w:t>
            </w:r>
          </w:p>
        </w:tc>
        <w:tc>
          <w:tcPr>
            <w:tcW w:type="dxa" w:w="2197"/>
          </w:tcPr>
          <w:p>
            <w:r>
              <w:rPr>
                <w:sz w:val="20"/>
              </w:rPr>
              <w:t>1% of payroll</w:t>
            </w:r>
          </w:p>
        </w:tc>
        <w:tc>
          <w:tcPr>
            <w:tcW w:type="dxa" w:w="2197"/>
          </w:tcPr>
          <w:p>
            <w:r>
              <w:rPr>
                <w:sz w:val="20"/>
              </w:rPr>
              <w:t>SETA</w:t>
            </w:r>
          </w:p>
        </w:tc>
        <w:tc>
          <w:tcPr>
            <w:tcW w:type="dxa" w:w="2197"/>
          </w:tcPr>
          <w:p>
            <w:r>
              <w:rPr>
                <w:sz w:val="20"/>
              </w:rPr>
              <w:t>Sectoral Education and Training Funds</w:t>
            </w:r>
          </w:p>
        </w:tc>
      </w:tr>
      <w:tr>
        <w:tc>
          <w:tcPr>
            <w:tcW w:type="dxa" w:w="2197"/>
          </w:tcPr>
          <w:p>
            <w:r>
              <w:rPr>
                <w:sz w:val="20"/>
              </w:rPr>
              <w:t>Brazil</w:t>
            </w:r>
          </w:p>
        </w:tc>
        <w:tc>
          <w:tcPr>
            <w:tcW w:type="dxa" w:w="2197"/>
          </w:tcPr>
          <w:p>
            <w:r>
              <w:rPr>
                <w:sz w:val="20"/>
              </w:rPr>
              <w:t>1% of payroll</w:t>
            </w:r>
          </w:p>
        </w:tc>
        <w:tc>
          <w:tcPr>
            <w:tcW w:type="dxa" w:w="2197"/>
          </w:tcPr>
          <w:p>
            <w:r>
              <w:rPr>
                <w:sz w:val="20"/>
              </w:rPr>
              <w:t>Ministry of Labor</w:t>
            </w:r>
          </w:p>
        </w:tc>
        <w:tc>
          <w:tcPr>
            <w:tcW w:type="dxa" w:w="2197"/>
          </w:tcPr>
          <w:p>
            <w:r>
              <w:rPr>
                <w:sz w:val="20"/>
              </w:rPr>
              <w:t>SENAI/SENAC</w:t>
            </w:r>
          </w:p>
        </w:tc>
      </w:tr>
      <w:tr>
        <w:tc>
          <w:tcPr>
            <w:tcW w:type="dxa" w:w="2197"/>
          </w:tcPr>
          <w:p>
            <w:r>
              <w:rPr>
                <w:sz w:val="20"/>
              </w:rPr>
              <w:t>France</w:t>
            </w:r>
          </w:p>
        </w:tc>
        <w:tc>
          <w:tcPr>
            <w:tcW w:type="dxa" w:w="2197"/>
          </w:tcPr>
          <w:p>
            <w:r>
              <w:rPr>
                <w:sz w:val="20"/>
              </w:rPr>
              <w:t>1.68% of payroll</w:t>
            </w:r>
          </w:p>
        </w:tc>
        <w:tc>
          <w:tcPr>
            <w:tcW w:type="dxa" w:w="2197"/>
          </w:tcPr>
          <w:p>
            <w:r>
              <w:rPr>
                <w:sz w:val="20"/>
              </w:rPr>
              <w:t>URSSAF</w:t>
            </w:r>
          </w:p>
        </w:tc>
        <w:tc>
          <w:tcPr>
            <w:tcW w:type="dxa" w:w="2197"/>
          </w:tcPr>
          <w:p>
            <w:r>
              <w:rPr>
                <w:sz w:val="20"/>
              </w:rPr>
              <w:t>Professional Training Account</w:t>
            </w:r>
          </w:p>
        </w:tc>
      </w:tr>
    </w:tbl>
    <w:p/>
    <w:p>
      <w:pPr>
        <w:pStyle w:val="Heading2"/>
      </w:pPr>
      <w:r>
        <w:rPr>
          <w:color w:val="4472C4"/>
          <w:sz w:val="24"/>
        </w:rPr>
        <w:t>11.3  Output-Based Financing (OBF)</w:t>
      </w:r>
    </w:p>
    <w:p>
      <w:pPr>
        <w:spacing w:after="120"/>
      </w:pPr>
      <w:r>
        <w:rPr>
          <w:rFonts w:ascii="Calibri" w:hAnsi="Calibri"/>
          <w:sz w:val="22"/>
        </w:rPr>
        <w:t>Output-Based Financing ties payments to results: 50% upon trainee completion of course, 30% upon award of certificate, and 20% upon verified employment (typically 3 months after training). OBF requires strong monitoring and verification systems and independent verification of outcomes.</w:t>
      </w:r>
    </w:p>
    <w:p>
      <w:pPr>
        <w:pStyle w:val="Heading2"/>
      </w:pPr>
      <w:r>
        <w:rPr>
          <w:color w:val="4472C4"/>
          <w:sz w:val="24"/>
        </w:rPr>
        <w:t>11.4  Skills Vouchers</w:t>
      </w:r>
    </w:p>
    <w:p>
      <w:pPr>
        <w:spacing w:after="120"/>
      </w:pPr>
      <w:r>
        <w:rPr>
          <w:rFonts w:ascii="Calibri" w:hAnsi="Calibri"/>
          <w:sz w:val="22"/>
        </w:rPr>
        <w:t>Skills vouchers place purchasing power ($200–500 per individual) in the hands of learners, redeemable at any accredited training provider. This encourages competition among providers and is particularly effective for working adults seeking upgradation.</w:t>
      </w:r>
    </w:p>
    <w:p>
      <w:pPr>
        <w:pStyle w:val="Heading2"/>
      </w:pPr>
      <w:r>
        <w:rPr>
          <w:color w:val="4472C4"/>
          <w:sz w:val="24"/>
        </w:rPr>
        <w:t>11.5  Social Impact Bonds (SIBs)</w:t>
      </w:r>
    </w:p>
    <w:p>
      <w:pPr>
        <w:spacing w:after="120"/>
      </w:pPr>
      <w:r>
        <w:rPr>
          <w:rFonts w:ascii="Calibri" w:hAnsi="Calibri"/>
          <w:sz w:val="22"/>
        </w:rPr>
        <w:t>Development Impact Bonds (DIBs) represent an innovative financing model where private investors provide upfront capital, and government or donors repay investors based on achieved outcomes. The Education Outcomes Fund has deployed $200M+ in DIBs for education and skills programs across Africa.</w:t>
      </w:r>
    </w:p>
    <w:p>
      <w:r>
        <w:br w:type="page"/>
      </w:r>
    </w:p>
    <w:p>
      <w:pPr>
        <w:pStyle w:val="Heading1"/>
        <w:jc w:val="left"/>
      </w:pPr>
      <w:r>
        <w:rPr>
          <w:color w:val="1F497D"/>
          <w:sz w:val="28"/>
        </w:rPr>
        <w:t>CHAPTER 12: Digital Transformation in Skills Development</w:t>
      </w:r>
    </w:p>
    <w:p/>
    <w:p>
      <w:pPr>
        <w:pStyle w:val="Heading2"/>
      </w:pPr>
      <w:r>
        <w:rPr>
          <w:color w:val="4472C4"/>
          <w:sz w:val="24"/>
        </w:rPr>
        <w:t>12.1  The Digital Skills Imperative</w:t>
      </w:r>
    </w:p>
    <w:p>
      <w:pPr>
        <w:spacing w:after="120"/>
      </w:pPr>
      <w:r>
        <w:rPr>
          <w:rFonts w:ascii="Calibri" w:hAnsi="Calibri"/>
          <w:sz w:val="22"/>
        </w:rPr>
        <w:t>ASSET places digital transformation at the center of its strategy across three dimensions: Digital for Life (basic digital literacy for all citizens), Digital for Work (productivity tools and sector-specific digital applications), and Digital for Innovation (programming, data science, AI development, digital entrepreneurship).</w:t>
      </w:r>
    </w:p>
    <w:p>
      <w:pPr>
        <w:pStyle w:val="Heading2"/>
      </w:pPr>
      <w:r>
        <w:rPr>
          <w:color w:val="4472C4"/>
          <w:sz w:val="24"/>
        </w:rPr>
        <w:t>12.2  E-Learning and Digital Delivery</w:t>
      </w:r>
    </w:p>
    <w:p>
      <w:pPr>
        <w:spacing w:after="120"/>
      </w:pPr>
      <w:r>
        <w:rPr>
          <w:rFonts w:ascii="Calibri" w:hAnsi="Calibri"/>
          <w:sz w:val="22"/>
        </w:rPr>
        <w:t>ASSET invests in a National Skills E-Learning Platform that hosts accredited short courses in multiple languages, provides offline capability for low-connectivity areas, integrates with the national qualifications framework, offers mobile-first design, includes interactive simulations and virtual labs, and issues digital credentials with blockchain-based verification.</w:t>
      </w:r>
    </w:p>
    <w:p>
      <w:pPr>
        <w:pStyle w:val="Heading2"/>
      </w:pPr>
      <w:r>
        <w:rPr>
          <w:color w:val="4472C4"/>
          <w:sz w:val="24"/>
        </w:rPr>
        <w:t>12.3  Advanced Training Technologies</w:t>
      </w:r>
    </w:p>
    <w:p>
      <w:pPr>
        <w:spacing w:after="120"/>
      </w:pPr>
      <w:r>
        <w:rPr>
          <w:rFonts w:ascii="Calibri" w:hAnsi="Calibri"/>
          <w:sz w:val="22"/>
        </w:rPr>
        <w:t>Advanced delivery technologies include Virtual Reality (VR) for immersive simulations in high-risk trades, Augmented Reality (AR) overlaying technical information on real equipment, 3D Printing for engineering and design courses, and IoT Lab Kits for hands-on ICT experimentation.</w:t>
      </w:r>
    </w:p>
    <w:p>
      <w:pPr>
        <w:pStyle w:val="Heading2"/>
      </w:pPr>
      <w:r>
        <w:rPr>
          <w:color w:val="4472C4"/>
          <w:sz w:val="24"/>
        </w:rPr>
        <w:t>12.4  Artificial Intelligence in Skills Development</w:t>
      </w:r>
    </w:p>
    <w:p>
      <w:pPr>
        <w:spacing w:after="120"/>
      </w:pPr>
      <w:r>
        <w:rPr>
          <w:rFonts w:ascii="Calibri" w:hAnsi="Calibri"/>
          <w:sz w:val="22"/>
        </w:rPr>
        <w:t>AI applications integrated into ASSET include adaptive learning (personalizing training pace and content), chatbots for 24/7 learner support, AI-powered job matching connecting graduates with employers, predictive analytics identifying at-risk learners before dropout, and automated assessment using natural language processing.</w:t>
      </w:r>
    </w:p>
    <w:p>
      <w:r>
        <w:br w:type="page"/>
      </w:r>
    </w:p>
    <w:p>
      <w:pPr>
        <w:pStyle w:val="Heading1"/>
        <w:jc w:val="left"/>
      </w:pPr>
      <w:r>
        <w:rPr>
          <w:color w:val="1F497D"/>
          <w:sz w:val="28"/>
        </w:rPr>
        <w:t>CHAPTER 13: Gender Inclusion and Social Equity</w:t>
      </w:r>
    </w:p>
    <w:p/>
    <w:p>
      <w:pPr>
        <w:pStyle w:val="Heading2"/>
      </w:pPr>
      <w:r>
        <w:rPr>
          <w:color w:val="4472C4"/>
          <w:sz w:val="24"/>
        </w:rPr>
        <w:t>13.1  Gender Gaps in Skills Development</w:t>
      </w:r>
    </w:p>
    <w:p>
      <w:pPr>
        <w:spacing w:after="120"/>
      </w:pPr>
      <w:r>
        <w:rPr>
          <w:rFonts w:ascii="Calibri" w:hAnsi="Calibri"/>
          <w:sz w:val="22"/>
        </w:rPr>
        <w:t>Despite progress, significant gender gaps persist in technical and vocational training. Women represent only 28% of TVET enrollment globally, and female trainees concentrate in low-wage, traditional sectors. Women face greater barriers including family responsibilities, mobility restrictions, safety concerns, and social norms. The return on training investment is often higher for women due to their lower baseline income.</w:t>
      </w:r>
    </w:p>
    <w:p>
      <w:pPr>
        <w:pStyle w:val="Heading2"/>
      </w:pPr>
      <w:r>
        <w:rPr>
          <w:color w:val="4472C4"/>
          <w:sz w:val="24"/>
        </w:rPr>
        <w:t>13.2  ASSET Gender Strategy</w:t>
      </w:r>
    </w:p>
    <w:p>
      <w:pPr>
        <w:spacing w:after="120"/>
      </w:pPr>
      <w:r>
        <w:rPr>
          <w:rFonts w:ascii="Calibri" w:hAnsi="Calibri"/>
          <w:sz w:val="22"/>
        </w:rPr>
        <w:t>Demand-side interventions include community sensitization programs, scholarships and stipends for women trainees, transportation subsidies, childcare provision, and female role model campaigns. Supply-side interventions include mandatory female enrollment targets (minimum 40%), recruitment of female trainers (target 30%), safety protocols, and gender-responsive training schedules. Post-training support includes women-focused entrepreneur networks, mentoring, and access to women-specific financial products.</w:t>
      </w:r>
    </w:p>
    <w:p>
      <w:pPr>
        <w:pStyle w:val="Heading2"/>
      </w:pPr>
      <w:r>
        <w:rPr>
          <w:color w:val="4472C4"/>
          <w:sz w:val="24"/>
        </w:rPr>
        <w:t>13.3  Inclusion of Persons with Disabilities</w:t>
      </w:r>
    </w:p>
    <w:p>
      <w:pPr>
        <w:spacing w:after="120"/>
      </w:pPr>
      <w:r>
        <w:rPr>
          <w:rFonts w:ascii="Calibri" w:hAnsi="Calibri"/>
          <w:sz w:val="22"/>
        </w:rPr>
        <w:t>ASSET adopts a twin-track approach: Mainstreaming (ensuring all ASSET activities are physically accessible, with assistive technologies and reasonable accommodation in assessment) and Targeted Support (disability-specific training tracks, higher subsidies, and partnerships with disability organizations).</w:t>
      </w:r>
    </w:p>
    <w:p>
      <w:pPr>
        <w:pStyle w:val="Heading2"/>
      </w:pPr>
      <w:r>
        <w:rPr>
          <w:color w:val="4472C4"/>
          <w:sz w:val="24"/>
        </w:rPr>
        <w:t>13.4  Reaching Rural and Remote Populations</w:t>
      </w:r>
    </w:p>
    <w:p>
      <w:pPr>
        <w:spacing w:after="120"/>
      </w:pPr>
      <w:r>
        <w:rPr>
          <w:rFonts w:ascii="Calibri" w:hAnsi="Calibri"/>
          <w:sz w:val="22"/>
        </w:rPr>
        <w:t>Geographic equity requires Mobile Training Units (MTUs) serving remote areas, a hub-and-spoke model with regional training centers and satellite delivery points, community-based training in community spaces, offline-capable e-learning, and partnerships with NGOs leveraging existing community networks.</w:t>
      </w:r>
    </w:p>
    <w:p>
      <w:r>
        <w:br w:type="page"/>
      </w:r>
    </w:p>
    <w:p>
      <w:pPr>
        <w:pStyle w:val="Heading1"/>
        <w:jc w:val="left"/>
      </w:pPr>
      <w:r>
        <w:rPr>
          <w:color w:val="1F497D"/>
          <w:sz w:val="28"/>
        </w:rPr>
        <w:t>CHAPTER 14: Monitoring, Evaluation, and Learning (MEL)</w:t>
      </w:r>
    </w:p>
    <w:p/>
    <w:p>
      <w:pPr>
        <w:pStyle w:val="Heading2"/>
      </w:pPr>
      <w:r>
        <w:rPr>
          <w:color w:val="4472C4"/>
          <w:sz w:val="24"/>
        </w:rPr>
        <w:t>14.1  MEL Framework</w:t>
      </w:r>
    </w:p>
    <w:p>
      <w:pPr>
        <w:spacing w:after="120"/>
      </w:pPr>
      <w:r>
        <w:rPr>
          <w:rFonts w:ascii="Calibri" w:hAnsi="Calibri"/>
          <w:sz w:val="22"/>
        </w:rPr>
        <w:t>ASSET adopts a robust Monitoring, Evaluation, and Learning (MEL) framework aligned with the DCED Standard for Results Measurement, with a clear Theory of Change linking inputs → activities → outputs → outcomes → impact.</w:t>
      </w:r>
    </w:p>
    <w:p>
      <w:pPr>
        <w:pStyle w:val="Heading2"/>
      </w:pPr>
      <w:r>
        <w:rPr>
          <w:color w:val="4472C4"/>
          <w:sz w:val="24"/>
        </w:rPr>
        <w:t>14.2  Key Performance Indicators (KPIs)</w:t>
      </w:r>
    </w:p>
    <w:tbl>
      <w:tblPr>
        <w:tblStyle w:val="LightList-Accent1"/>
        <w:tblW w:type="auto" w:w="0"/>
        <w:tblLook w:firstColumn="1" w:firstRow="1" w:lastColumn="0" w:lastRow="0" w:noHBand="0" w:noVBand="1" w:val="04A0"/>
      </w:tblPr>
      <w:tblGrid>
        <w:gridCol w:w="4394"/>
        <w:gridCol w:w="4394"/>
      </w:tblGrid>
      <w:tr>
        <w:tc>
          <w:tcPr>
            <w:tcW w:type="dxa" w:w="4394"/>
          </w:tcPr>
          <w:p>
            <w:r>
              <w:rPr>
                <w:b/>
                <w:sz w:val="20"/>
              </w:rPr>
              <w:t>Level</w:t>
            </w:r>
          </w:p>
        </w:tc>
        <w:tc>
          <w:tcPr>
            <w:tcW w:type="dxa" w:w="4394"/>
          </w:tcPr>
          <w:p>
            <w:r>
              <w:rPr>
                <w:b/>
                <w:sz w:val="20"/>
              </w:rPr>
              <w:t>Sample Indicators</w:t>
            </w:r>
          </w:p>
        </w:tc>
      </w:tr>
      <w:tr>
        <w:tc>
          <w:tcPr>
            <w:tcW w:type="dxa" w:w="4394"/>
          </w:tcPr>
          <w:p>
            <w:r>
              <w:rPr>
                <w:sz w:val="20"/>
              </w:rPr>
              <w:t>Impact</w:t>
            </w:r>
          </w:p>
        </w:tc>
        <w:tc>
          <w:tcPr>
            <w:tcW w:type="dxa" w:w="4394"/>
          </w:tcPr>
          <w:p>
            <w:r>
              <w:rPr>
                <w:sz w:val="20"/>
              </w:rPr>
              <w:t>Income of trainees, GDP contribution of skills-intensive sectors</w:t>
            </w:r>
          </w:p>
        </w:tc>
      </w:tr>
      <w:tr>
        <w:tc>
          <w:tcPr>
            <w:tcW w:type="dxa" w:w="4394"/>
          </w:tcPr>
          <w:p>
            <w:r>
              <w:rPr>
                <w:sz w:val="20"/>
              </w:rPr>
              <w:t>Outcome</w:t>
            </w:r>
          </w:p>
        </w:tc>
        <w:tc>
          <w:tcPr>
            <w:tcW w:type="dxa" w:w="4394"/>
          </w:tcPr>
          <w:p>
            <w:r>
              <w:rPr>
                <w:sz w:val="20"/>
              </w:rPr>
              <w:t>% of graduates employed 6 months after training, wage levels</w:t>
            </w:r>
          </w:p>
        </w:tc>
      </w:tr>
      <w:tr>
        <w:tc>
          <w:tcPr>
            <w:tcW w:type="dxa" w:w="4394"/>
          </w:tcPr>
          <w:p>
            <w:r>
              <w:rPr>
                <w:sz w:val="20"/>
              </w:rPr>
              <w:t>Output</w:t>
            </w:r>
          </w:p>
        </w:tc>
        <w:tc>
          <w:tcPr>
            <w:tcW w:type="dxa" w:w="4394"/>
          </w:tcPr>
          <w:p>
            <w:r>
              <w:rPr>
                <w:sz w:val="20"/>
              </w:rPr>
              <w:t>Number of trainees certified, number of providers upgraded</w:t>
            </w:r>
          </w:p>
        </w:tc>
      </w:tr>
      <w:tr>
        <w:tc>
          <w:tcPr>
            <w:tcW w:type="dxa" w:w="4394"/>
          </w:tcPr>
          <w:p>
            <w:r>
              <w:rPr>
                <w:sz w:val="20"/>
              </w:rPr>
              <w:t>Activity</w:t>
            </w:r>
          </w:p>
        </w:tc>
        <w:tc>
          <w:tcPr>
            <w:tcW w:type="dxa" w:w="4394"/>
          </w:tcPr>
          <w:p>
            <w:r>
              <w:rPr>
                <w:sz w:val="20"/>
              </w:rPr>
              <w:t>Curricula developed, trainers trained</w:t>
            </w:r>
          </w:p>
        </w:tc>
      </w:tr>
      <w:tr>
        <w:tc>
          <w:tcPr>
            <w:tcW w:type="dxa" w:w="4394"/>
          </w:tcPr>
          <w:p>
            <w:r>
              <w:rPr>
                <w:sz w:val="20"/>
              </w:rPr>
              <w:t>Input</w:t>
            </w:r>
          </w:p>
        </w:tc>
        <w:tc>
          <w:tcPr>
            <w:tcW w:type="dxa" w:w="4394"/>
          </w:tcPr>
          <w:p>
            <w:r>
              <w:rPr>
                <w:sz w:val="20"/>
              </w:rPr>
              <w:t>Financing mobilized, infrastructure built</w:t>
            </w:r>
          </w:p>
        </w:tc>
      </w:tr>
    </w:tbl>
    <w:p/>
    <w:p>
      <w:pPr>
        <w:pStyle w:val="Heading2"/>
      </w:pPr>
      <w:r>
        <w:rPr>
          <w:color w:val="4472C4"/>
          <w:sz w:val="24"/>
        </w:rPr>
        <w:t>14.3  Data Collection and MIS</w:t>
      </w:r>
    </w:p>
    <w:p>
      <w:pPr>
        <w:spacing w:after="120"/>
      </w:pPr>
      <w:r>
        <w:rPr>
          <w:rFonts w:ascii="Calibri" w:hAnsi="Calibri"/>
          <w:sz w:val="22"/>
        </w:rPr>
        <w:t>ASSET invests in a Management Information System (MIS) that tracks individual trainees from registration to employment, integrates with national identification systems, connects with social security/tax systems for employment verification, and provides real-time dashboards for program management.</w:t>
      </w:r>
    </w:p>
    <w:p>
      <w:pPr>
        <w:pStyle w:val="Heading2"/>
      </w:pPr>
      <w:r>
        <w:rPr>
          <w:color w:val="4472C4"/>
          <w:sz w:val="24"/>
        </w:rPr>
        <w:t>14.4  Impact Evaluation</w:t>
      </w:r>
    </w:p>
    <w:p>
      <w:pPr>
        <w:spacing w:after="120"/>
      </w:pPr>
      <w:r>
        <w:rPr>
          <w:rFonts w:ascii="Calibri" w:hAnsi="Calibri"/>
          <w:sz w:val="22"/>
        </w:rPr>
        <w:t>ASSET commissions rigorous impact evaluations using Randomized Controlled Trials (RCTs), quasi-experimental designs (difference-in-differences, regression discontinuity), and qualitative methods (in-depth case studies, focus groups, life histories).</w:t>
      </w:r>
    </w:p>
    <w:p>
      <w:pPr>
        <w:pStyle w:val="Heading2"/>
      </w:pPr>
      <w:r>
        <w:rPr>
          <w:color w:val="4472C4"/>
          <w:sz w:val="24"/>
        </w:rPr>
        <w:t>14.5  Learning and Adaptation</w:t>
      </w:r>
    </w:p>
    <w:p>
      <w:pPr>
        <w:spacing w:after="120"/>
      </w:pPr>
      <w:r>
        <w:rPr>
          <w:rFonts w:ascii="Calibri" w:hAnsi="Calibri"/>
          <w:sz w:val="22"/>
        </w:rPr>
        <w:t>ASSET is designed as an adaptive program that reviews performance data quarterly, makes programmatic adjustments based on evidence, documents and shares learning with all stakeholders, and publishes annual reports for public accountability.</w:t>
      </w:r>
    </w:p>
    <w:p>
      <w:r>
        <w:br w:type="page"/>
      </w:r>
    </w:p>
    <w:p>
      <w:pPr>
        <w:pStyle w:val="Heading1"/>
        <w:jc w:val="left"/>
      </w:pPr>
      <w:r>
        <w:rPr>
          <w:color w:val="1F497D"/>
          <w:sz w:val="28"/>
        </w:rPr>
        <w:t>CHAPTER 15: Country Case Studies</w:t>
      </w:r>
    </w:p>
    <w:p/>
    <w:p>
      <w:pPr>
        <w:pStyle w:val="Heading2"/>
      </w:pPr>
      <w:r>
        <w:rPr>
          <w:color w:val="4472C4"/>
          <w:sz w:val="24"/>
        </w:rPr>
        <w:t>15.1  Singapore: SkillsFuture</w:t>
      </w:r>
    </w:p>
    <w:p>
      <w:pPr>
        <w:spacing w:after="120"/>
      </w:pPr>
      <w:r>
        <w:rPr>
          <w:rFonts w:ascii="Calibri" w:hAnsi="Calibri"/>
          <w:sz w:val="22"/>
        </w:rPr>
        <w:t>Singapore's SkillsFuture program is arguably the world's most comprehensive national skills development initiative. Every Singaporean citizen above 25 receives an annual SkillsFuture Credit of SGD 500 to spend on approved training courses. Over 400,000 individual training places are filled annually with $1.1 billion in government investment. Key lessons: individual credit systems empower learners and drive competition; strong government coordination is essential; digital platforms improve access dramatically.</w:t>
      </w:r>
    </w:p>
    <w:p>
      <w:pPr>
        <w:pStyle w:val="Heading2"/>
      </w:pPr>
      <w:r>
        <w:rPr>
          <w:color w:val="4472C4"/>
          <w:sz w:val="24"/>
        </w:rPr>
        <w:t>15.2  Germany: Dual Apprenticeship System</w:t>
      </w:r>
    </w:p>
    <w:p>
      <w:pPr>
        <w:spacing w:after="120"/>
      </w:pPr>
      <w:r>
        <w:rPr>
          <w:rFonts w:ascii="Calibri" w:hAnsi="Calibri"/>
          <w:sz w:val="22"/>
        </w:rPr>
        <w:t>Germany's Dual Apprenticeship System is the global gold standard for work-integrated learning, with 325 recognized apprenticeship occupations and 3-year programs combining company training with vocational school. Youth unemployment is 5.4% vs. EU average 15%+. Apprentices earn 20–30% more than equivalent academic graduates over a 20-year career.</w:t>
      </w:r>
    </w:p>
    <w:p>
      <w:pPr>
        <w:pStyle w:val="Heading2"/>
      </w:pPr>
      <w:r>
        <w:rPr>
          <w:color w:val="4472C4"/>
          <w:sz w:val="24"/>
        </w:rPr>
        <w:t>15.3  Malaysia: Human Resources Development Fund (HRDF)</w:t>
      </w:r>
    </w:p>
    <w:p>
      <w:pPr>
        <w:spacing w:after="120"/>
      </w:pPr>
      <w:r>
        <w:rPr>
          <w:rFonts w:ascii="Calibri" w:hAnsi="Calibri"/>
          <w:sz w:val="22"/>
        </w:rPr>
        <w:t>Malaysia's HRDF imposes a 1% levy on payroll for companies with 10+ employees, generating RM 3 billion+ annually. Over 500,000 workers are trained annually. Malaysia's skills-intensive sector employment has grown from 28% to 45% over 20 years of HRDF operation.</w:t>
      </w:r>
    </w:p>
    <w:p>
      <w:pPr>
        <w:pStyle w:val="Heading2"/>
      </w:pPr>
      <w:r>
        <w:rPr>
          <w:color w:val="4472C4"/>
          <w:sz w:val="24"/>
        </w:rPr>
        <w:t>15.4  Rwanda: Workforce Development Authority (WDA)</w:t>
      </w:r>
    </w:p>
    <w:p>
      <w:pPr>
        <w:spacing w:after="120"/>
      </w:pPr>
      <w:r>
        <w:rPr>
          <w:rFonts w:ascii="Calibri" w:hAnsi="Calibri"/>
          <w:sz w:val="22"/>
        </w:rPr>
        <w:t>Rwanda's WDA tripled TVET enrollment from 2008 to 2020 with 100+ trades adopting competency-based curricula. Rwanda's ICT sector grew 12% annually and women represent 47% of TVET enrollment. Strong political commitment at the highest level proved essential.</w:t>
      </w:r>
    </w:p>
    <w:p>
      <w:pPr>
        <w:pStyle w:val="Heading2"/>
      </w:pPr>
      <w:r>
        <w:rPr>
          <w:color w:val="4472C4"/>
          <w:sz w:val="24"/>
        </w:rPr>
        <w:t>15.5  Bangladesh: National Skills Development Authority (NSDA)</w:t>
      </w:r>
    </w:p>
    <w:p>
      <w:pPr>
        <w:spacing w:after="120"/>
      </w:pPr>
      <w:r>
        <w:rPr>
          <w:rFonts w:ascii="Calibri" w:hAnsi="Calibri"/>
          <w:sz w:val="22"/>
        </w:rPr>
        <w:t>Bangladesh's NSDA — established in 2011 — oversees over 1 million workers trained annually across government and private providers, 500+ accredited training providers, and sector skills councils for RMG, ICT, leather, tourism, and other sectors. Lessons include the need to navigate political economy carefully and that financing sustainability remains a challenge as donor projects end.</w:t>
      </w:r>
    </w:p>
    <w:p>
      <w:r>
        <w:br w:type="page"/>
      </w:r>
    </w:p>
    <w:p>
      <w:pPr>
        <w:pStyle w:val="Heading1"/>
        <w:jc w:val="left"/>
      </w:pPr>
      <w:r>
        <w:rPr>
          <w:color w:val="1F497D"/>
          <w:sz w:val="28"/>
        </w:rPr>
        <w:t>CHAPTER 16: Challenges and Risk Mitigation</w:t>
      </w:r>
    </w:p>
    <w:p/>
    <w:p>
      <w:pPr>
        <w:pStyle w:val="Heading2"/>
      </w:pPr>
      <w:r>
        <w:rPr>
          <w:color w:val="4472C4"/>
          <w:sz w:val="24"/>
        </w:rPr>
        <w:t>16.1  Implementation Challenges</w:t>
      </w:r>
    </w:p>
    <w:p>
      <w:pPr>
        <w:spacing w:after="120"/>
      </w:pPr>
      <w:r>
        <w:rPr>
          <w:rFonts w:ascii="Calibri" w:hAnsi="Calibri"/>
          <w:sz w:val="22"/>
        </w:rPr>
        <w:t>Key challenges and mitigation strategies:</w:t>
      </w:r>
    </w:p>
    <w:p>
      <w:pPr>
        <w:pStyle w:val="ListBullet"/>
      </w:pPr>
      <w:r>
        <w:rPr>
          <w:rFonts w:ascii="Calibri" w:hAnsi="Calibri"/>
          <w:sz w:val="22"/>
        </w:rPr>
        <w:t>Political Economy and Coordination: Turf wars between ministries mitigated through high-level political champion and clear mandate for coordinating body.</w:t>
      </w:r>
    </w:p>
    <w:p>
      <w:pPr>
        <w:pStyle w:val="ListBullet"/>
      </w:pPr>
      <w:r>
        <w:rPr>
          <w:rFonts w:ascii="Calibri" w:hAnsi="Calibri"/>
          <w:sz w:val="22"/>
        </w:rPr>
        <w:t>Training Provider Quality: Low-quality providers gaming the system mitigated through rigorous accreditation, output-based financing, and public performance disclosure.</w:t>
      </w:r>
    </w:p>
    <w:p>
      <w:pPr>
        <w:pStyle w:val="ListBullet"/>
      </w:pPr>
      <w:r>
        <w:rPr>
          <w:rFonts w:ascii="Calibri" w:hAnsi="Calibri"/>
          <w:sz w:val="22"/>
        </w:rPr>
        <w:t>Employer Engagement: Employer reluctance mitigated through streamlined processes, strong financial incentives, and demonstration of ROI through pilot case studies.</w:t>
      </w:r>
    </w:p>
    <w:p>
      <w:pPr>
        <w:pStyle w:val="ListBullet"/>
      </w:pPr>
      <w:r>
        <w:rPr>
          <w:rFonts w:ascii="Calibri" w:hAnsi="Calibri"/>
          <w:sz w:val="22"/>
        </w:rPr>
        <w:t>Trainer Quality: Brain drain to industry mitigated through competitive trainer remuneration and continuous professional development.</w:t>
      </w:r>
    </w:p>
    <w:p>
      <w:pPr>
        <w:pStyle w:val="ListBullet"/>
      </w:pPr>
      <w:r>
        <w:rPr>
          <w:rFonts w:ascii="Calibri" w:hAnsi="Calibri"/>
          <w:sz w:val="22"/>
        </w:rPr>
        <w:t>Learner Completion and Dropout: High dropout rates mitigated through needs-based financial support, flexible scheduling, and short modular courses.</w:t>
      </w:r>
    </w:p>
    <w:p>
      <w:pPr>
        <w:pStyle w:val="ListBullet"/>
      </w:pPr>
      <w:r>
        <w:rPr>
          <w:rFonts w:ascii="Calibri" w:hAnsi="Calibri"/>
          <w:sz w:val="22"/>
        </w:rPr>
        <w:t>Sustainability After Project End: Systems reverting to pre-project state mitigated through government ownership building and training levy institutionalization.</w:t>
      </w:r>
    </w:p>
    <w:p>
      <w:pPr>
        <w:pStyle w:val="ListBullet"/>
      </w:pPr>
      <w:r>
        <w:rPr>
          <w:rFonts w:ascii="Calibri" w:hAnsi="Calibri"/>
          <w:sz w:val="22"/>
        </w:rPr>
        <w:t>Digital Divide: Exclusion of marginalized groups mitigated through blended delivery, offline capability, and device access programs.</w:t>
      </w:r>
    </w:p>
    <w:p>
      <w:pPr>
        <w:pStyle w:val="Heading2"/>
      </w:pPr>
      <w:r>
        <w:rPr>
          <w:color w:val="4472C4"/>
          <w:sz w:val="24"/>
        </w:rPr>
        <w:t>16.2  Risk Matrix</w:t>
      </w:r>
    </w:p>
    <w:tbl>
      <w:tblPr>
        <w:tblStyle w:val="LightList-Accent1"/>
        <w:tblW w:type="auto" w:w="0"/>
        <w:tblLook w:firstColumn="1" w:firstRow="1" w:lastColumn="0" w:lastRow="0" w:noHBand="0" w:noVBand="1" w:val="04A0"/>
      </w:tblPr>
      <w:tblGrid>
        <w:gridCol w:w="2197"/>
        <w:gridCol w:w="2197"/>
        <w:gridCol w:w="2197"/>
        <w:gridCol w:w="2197"/>
      </w:tblGrid>
      <w:tr>
        <w:tc>
          <w:tcPr>
            <w:tcW w:type="dxa" w:w="2197"/>
          </w:tcPr>
          <w:p>
            <w:r>
              <w:rPr>
                <w:b/>
                <w:sz w:val="20"/>
              </w:rPr>
              <w:t>Risk</w:t>
            </w:r>
          </w:p>
        </w:tc>
        <w:tc>
          <w:tcPr>
            <w:tcW w:type="dxa" w:w="2197"/>
          </w:tcPr>
          <w:p>
            <w:r>
              <w:rPr>
                <w:b/>
                <w:sz w:val="20"/>
              </w:rPr>
              <w:t>Probability</w:t>
            </w:r>
          </w:p>
        </w:tc>
        <w:tc>
          <w:tcPr>
            <w:tcW w:type="dxa" w:w="2197"/>
          </w:tcPr>
          <w:p>
            <w:r>
              <w:rPr>
                <w:b/>
                <w:sz w:val="20"/>
              </w:rPr>
              <w:t>Impact</w:t>
            </w:r>
          </w:p>
        </w:tc>
        <w:tc>
          <w:tcPr>
            <w:tcW w:type="dxa" w:w="2197"/>
          </w:tcPr>
          <w:p>
            <w:r>
              <w:rPr>
                <w:b/>
                <w:sz w:val="20"/>
              </w:rPr>
              <w:t>Priority</w:t>
            </w:r>
          </w:p>
        </w:tc>
      </w:tr>
      <w:tr>
        <w:tc>
          <w:tcPr>
            <w:tcW w:type="dxa" w:w="2197"/>
          </w:tcPr>
          <w:p>
            <w:r>
              <w:rPr>
                <w:sz w:val="20"/>
              </w:rPr>
              <w:t>Political instability</w:t>
            </w:r>
          </w:p>
        </w:tc>
        <w:tc>
          <w:tcPr>
            <w:tcW w:type="dxa" w:w="2197"/>
          </w:tcPr>
          <w:p>
            <w:r>
              <w:rPr>
                <w:sz w:val="20"/>
              </w:rPr>
              <w:t>Medium</w:t>
            </w:r>
          </w:p>
        </w:tc>
        <w:tc>
          <w:tcPr>
            <w:tcW w:type="dxa" w:w="2197"/>
          </w:tcPr>
          <w:p>
            <w:r>
              <w:rPr>
                <w:sz w:val="20"/>
              </w:rPr>
              <w:t>High</w:t>
            </w:r>
          </w:p>
        </w:tc>
        <w:tc>
          <w:tcPr>
            <w:tcW w:type="dxa" w:w="2197"/>
          </w:tcPr>
          <w:p>
            <w:r>
              <w:rPr>
                <w:sz w:val="20"/>
              </w:rPr>
              <w:t>High</w:t>
            </w:r>
          </w:p>
        </w:tc>
      </w:tr>
      <w:tr>
        <w:tc>
          <w:tcPr>
            <w:tcW w:type="dxa" w:w="2197"/>
          </w:tcPr>
          <w:p>
            <w:r>
              <w:rPr>
                <w:sz w:val="20"/>
              </w:rPr>
              <w:t>Corruption in fund management</w:t>
            </w:r>
          </w:p>
        </w:tc>
        <w:tc>
          <w:tcPr>
            <w:tcW w:type="dxa" w:w="2197"/>
          </w:tcPr>
          <w:p>
            <w:r>
              <w:rPr>
                <w:sz w:val="20"/>
              </w:rPr>
              <w:t>Medium</w:t>
            </w:r>
          </w:p>
        </w:tc>
        <w:tc>
          <w:tcPr>
            <w:tcW w:type="dxa" w:w="2197"/>
          </w:tcPr>
          <w:p>
            <w:r>
              <w:rPr>
                <w:sz w:val="20"/>
              </w:rPr>
              <w:t>High</w:t>
            </w:r>
          </w:p>
        </w:tc>
        <w:tc>
          <w:tcPr>
            <w:tcW w:type="dxa" w:w="2197"/>
          </w:tcPr>
          <w:p>
            <w:r>
              <w:rPr>
                <w:sz w:val="20"/>
              </w:rPr>
              <w:t>High</w:t>
            </w:r>
          </w:p>
        </w:tc>
      </w:tr>
      <w:tr>
        <w:tc>
          <w:tcPr>
            <w:tcW w:type="dxa" w:w="2197"/>
          </w:tcPr>
          <w:p>
            <w:r>
              <w:rPr>
                <w:sz w:val="20"/>
              </w:rPr>
              <w:t>COVID-19 type disruptions</w:t>
            </w:r>
          </w:p>
        </w:tc>
        <w:tc>
          <w:tcPr>
            <w:tcW w:type="dxa" w:w="2197"/>
          </w:tcPr>
          <w:p>
            <w:r>
              <w:rPr>
                <w:sz w:val="20"/>
              </w:rPr>
              <w:t>Low–Med</w:t>
            </w:r>
          </w:p>
        </w:tc>
        <w:tc>
          <w:tcPr>
            <w:tcW w:type="dxa" w:w="2197"/>
          </w:tcPr>
          <w:p>
            <w:r>
              <w:rPr>
                <w:sz w:val="20"/>
              </w:rPr>
              <w:t>Very High</w:t>
            </w:r>
          </w:p>
        </w:tc>
        <w:tc>
          <w:tcPr>
            <w:tcW w:type="dxa" w:w="2197"/>
          </w:tcPr>
          <w:p>
            <w:r>
              <w:rPr>
                <w:sz w:val="20"/>
              </w:rPr>
              <w:t>Medium</w:t>
            </w:r>
          </w:p>
        </w:tc>
      </w:tr>
      <w:tr>
        <w:tc>
          <w:tcPr>
            <w:tcW w:type="dxa" w:w="2197"/>
          </w:tcPr>
          <w:p>
            <w:r>
              <w:rPr>
                <w:sz w:val="20"/>
              </w:rPr>
              <w:t>Technology disruption faster than anticipated</w:t>
            </w:r>
          </w:p>
        </w:tc>
        <w:tc>
          <w:tcPr>
            <w:tcW w:type="dxa" w:w="2197"/>
          </w:tcPr>
          <w:p>
            <w:r>
              <w:rPr>
                <w:sz w:val="20"/>
              </w:rPr>
              <w:t>Medium</w:t>
            </w:r>
          </w:p>
        </w:tc>
        <w:tc>
          <w:tcPr>
            <w:tcW w:type="dxa" w:w="2197"/>
          </w:tcPr>
          <w:p>
            <w:r>
              <w:rPr>
                <w:sz w:val="20"/>
              </w:rPr>
              <w:t>High</w:t>
            </w:r>
          </w:p>
        </w:tc>
        <w:tc>
          <w:tcPr>
            <w:tcW w:type="dxa" w:w="2197"/>
          </w:tcPr>
          <w:p>
            <w:r>
              <w:rPr>
                <w:sz w:val="20"/>
              </w:rPr>
              <w:t>High</w:t>
            </w:r>
          </w:p>
        </w:tc>
      </w:tr>
      <w:tr>
        <w:tc>
          <w:tcPr>
            <w:tcW w:type="dxa" w:w="2197"/>
          </w:tcPr>
          <w:p>
            <w:r>
              <w:rPr>
                <w:sz w:val="20"/>
              </w:rPr>
              <w:t>Climate shocks affecting priority sectors</w:t>
            </w:r>
          </w:p>
        </w:tc>
        <w:tc>
          <w:tcPr>
            <w:tcW w:type="dxa" w:w="2197"/>
          </w:tcPr>
          <w:p>
            <w:r>
              <w:rPr>
                <w:sz w:val="20"/>
              </w:rPr>
              <w:t>Medium</w:t>
            </w:r>
          </w:p>
        </w:tc>
        <w:tc>
          <w:tcPr>
            <w:tcW w:type="dxa" w:w="2197"/>
          </w:tcPr>
          <w:p>
            <w:r>
              <w:rPr>
                <w:sz w:val="20"/>
              </w:rPr>
              <w:t>Medium</w:t>
            </w:r>
          </w:p>
        </w:tc>
        <w:tc>
          <w:tcPr>
            <w:tcW w:type="dxa" w:w="2197"/>
          </w:tcPr>
          <w:p>
            <w:r>
              <w:rPr>
                <w:sz w:val="20"/>
              </w:rPr>
              <w:t>Medium</w:t>
            </w:r>
          </w:p>
        </w:tc>
      </w:tr>
      <w:tr>
        <w:tc>
          <w:tcPr>
            <w:tcW w:type="dxa" w:w="2197"/>
          </w:tcPr>
          <w:p>
            <w:r>
              <w:rPr>
                <w:sz w:val="20"/>
              </w:rPr>
              <w:t>Exchange rate volatility</w:t>
            </w:r>
          </w:p>
        </w:tc>
        <w:tc>
          <w:tcPr>
            <w:tcW w:type="dxa" w:w="2197"/>
          </w:tcPr>
          <w:p>
            <w:r>
              <w:rPr>
                <w:sz w:val="20"/>
              </w:rPr>
              <w:t>High</w:t>
            </w:r>
          </w:p>
        </w:tc>
        <w:tc>
          <w:tcPr>
            <w:tcW w:type="dxa" w:w="2197"/>
          </w:tcPr>
          <w:p>
            <w:r>
              <w:rPr>
                <w:sz w:val="20"/>
              </w:rPr>
              <w:t>Medium</w:t>
            </w:r>
          </w:p>
        </w:tc>
        <w:tc>
          <w:tcPr>
            <w:tcW w:type="dxa" w:w="2197"/>
          </w:tcPr>
          <w:p>
            <w:r>
              <w:rPr>
                <w:sz w:val="20"/>
              </w:rPr>
              <w:t>Medium</w:t>
            </w:r>
          </w:p>
        </w:tc>
      </w:tr>
    </w:tbl>
    <w:p/>
    <w:p>
      <w:r>
        <w:br w:type="page"/>
      </w:r>
    </w:p>
    <w:p>
      <w:pPr>
        <w:pStyle w:val="Heading1"/>
        <w:jc w:val="left"/>
      </w:pPr>
      <w:r>
        <w:rPr>
          <w:color w:val="1F497D"/>
          <w:sz w:val="28"/>
        </w:rPr>
        <w:t>CHAPTER 17: Outcomes and Impact Assessment</w:t>
      </w:r>
    </w:p>
    <w:p/>
    <w:p>
      <w:pPr>
        <w:pStyle w:val="Heading2"/>
      </w:pPr>
      <w:r>
        <w:rPr>
          <w:color w:val="4472C4"/>
          <w:sz w:val="24"/>
        </w:rPr>
        <w:t>17.1  Economic Returns to Skills Investment</w:t>
      </w:r>
    </w:p>
    <w:p>
      <w:pPr>
        <w:spacing w:after="120"/>
      </w:pPr>
      <w:r>
        <w:rPr>
          <w:rFonts w:ascii="Calibri" w:hAnsi="Calibri"/>
          <w:sz w:val="22"/>
        </w:rPr>
        <w:t>Research consistently demonstrates high returns to skills investment. Private returns show each additional year of relevant vocational training increases earnings by 8–15%. Social returns including productivity spillovers are 2–3x private returns. Firms with more skilled workers demonstrate 15–25% higher productivity. Countries with skilled workforces demonstrate 0.5–1 percentage point higher GDP growth.</w:t>
      </w:r>
    </w:p>
    <w:p>
      <w:pPr>
        <w:pStyle w:val="Heading2"/>
      </w:pPr>
      <w:r>
        <w:rPr>
          <w:color w:val="4472C4"/>
          <w:sz w:val="24"/>
        </w:rPr>
        <w:t>17.2  Employment Outcomes</w:t>
      </w:r>
    </w:p>
    <w:tbl>
      <w:tblPr>
        <w:tblStyle w:val="LightList-Accent1"/>
        <w:tblW w:type="auto" w:w="0"/>
        <w:tblLook w:firstColumn="1" w:firstRow="1" w:lastColumn="0" w:lastRow="0" w:noHBand="0" w:noVBand="1" w:val="04A0"/>
      </w:tblPr>
      <w:tblGrid>
        <w:gridCol w:w="2929"/>
        <w:gridCol w:w="2929"/>
        <w:gridCol w:w="2929"/>
      </w:tblGrid>
      <w:tr>
        <w:tc>
          <w:tcPr>
            <w:tcW w:type="dxa" w:w="2929"/>
          </w:tcPr>
          <w:p>
            <w:r>
              <w:rPr>
                <w:b/>
                <w:sz w:val="20"/>
              </w:rPr>
              <w:t>Timeframe</w:t>
            </w:r>
          </w:p>
        </w:tc>
        <w:tc>
          <w:tcPr>
            <w:tcW w:type="dxa" w:w="2929"/>
          </w:tcPr>
          <w:p>
            <w:r>
              <w:rPr>
                <w:b/>
                <w:sz w:val="20"/>
              </w:rPr>
              <w:t>Employment Rate</w:t>
            </w:r>
          </w:p>
        </w:tc>
        <w:tc>
          <w:tcPr>
            <w:tcW w:type="dxa" w:w="2929"/>
          </w:tcPr>
          <w:p>
            <w:r>
              <w:rPr>
                <w:b/>
                <w:sz w:val="20"/>
              </w:rPr>
              <w:t>Wage Premium over Untrained</w:t>
            </w:r>
          </w:p>
        </w:tc>
      </w:tr>
      <w:tr>
        <w:tc>
          <w:tcPr>
            <w:tcW w:type="dxa" w:w="2929"/>
          </w:tcPr>
          <w:p>
            <w:r>
              <w:rPr>
                <w:sz w:val="20"/>
              </w:rPr>
              <w:t>3 months post-training</w:t>
            </w:r>
          </w:p>
        </w:tc>
        <w:tc>
          <w:tcPr>
            <w:tcW w:type="dxa" w:w="2929"/>
          </w:tcPr>
          <w:p>
            <w:r>
              <w:rPr>
                <w:sz w:val="20"/>
              </w:rPr>
              <w:t>55–75%</w:t>
            </w:r>
          </w:p>
        </w:tc>
        <w:tc>
          <w:tcPr>
            <w:tcW w:type="dxa" w:w="2929"/>
          </w:tcPr>
          <w:p>
            <w:r>
              <w:rPr>
                <w:sz w:val="20"/>
              </w:rPr>
            </w:r>
          </w:p>
        </w:tc>
      </w:tr>
      <w:tr>
        <w:tc>
          <w:tcPr>
            <w:tcW w:type="dxa" w:w="2929"/>
          </w:tcPr>
          <w:p>
            <w:r>
              <w:rPr>
                <w:sz w:val="20"/>
              </w:rPr>
              <w:t>6 months post-training</w:t>
            </w:r>
          </w:p>
        </w:tc>
        <w:tc>
          <w:tcPr>
            <w:tcW w:type="dxa" w:w="2929"/>
          </w:tcPr>
          <w:p>
            <w:r>
              <w:rPr>
                <w:sz w:val="20"/>
              </w:rPr>
              <w:t>65–85%</w:t>
            </w:r>
          </w:p>
        </w:tc>
        <w:tc>
          <w:tcPr>
            <w:tcW w:type="dxa" w:w="2929"/>
          </w:tcPr>
          <w:p>
            <w:r>
              <w:rPr>
                <w:sz w:val="20"/>
              </w:rPr>
              <w:t>15–30%</w:t>
            </w:r>
          </w:p>
        </w:tc>
      </w:tr>
      <w:tr>
        <w:tc>
          <w:tcPr>
            <w:tcW w:type="dxa" w:w="2929"/>
          </w:tcPr>
          <w:p>
            <w:r>
              <w:rPr>
                <w:sz w:val="20"/>
              </w:rPr>
              <w:t>12 months post-training</w:t>
            </w:r>
          </w:p>
        </w:tc>
        <w:tc>
          <w:tcPr>
            <w:tcW w:type="dxa" w:w="2929"/>
          </w:tcPr>
          <w:p>
            <w:r>
              <w:rPr>
                <w:sz w:val="20"/>
              </w:rPr>
              <w:t>70–88%</w:t>
            </w:r>
          </w:p>
        </w:tc>
        <w:tc>
          <w:tcPr>
            <w:tcW w:type="dxa" w:w="2929"/>
          </w:tcPr>
          <w:p>
            <w:r>
              <w:rPr>
                <w:sz w:val="20"/>
              </w:rPr>
              <w:t>15–30%</w:t>
            </w:r>
          </w:p>
        </w:tc>
      </w:tr>
    </w:tbl>
    <w:p/>
    <w:p>
      <w:pPr>
        <w:pStyle w:val="Heading2"/>
      </w:pPr>
      <w:r>
        <w:rPr>
          <w:color w:val="4472C4"/>
          <w:sz w:val="24"/>
        </w:rPr>
        <w:t>17.3  Cost-Effectiveness Analysis</w:t>
      </w:r>
    </w:p>
    <w:tbl>
      <w:tblPr>
        <w:tblStyle w:val="LightList-Accent1"/>
        <w:tblW w:type="auto" w:w="0"/>
        <w:tblLook w:firstColumn="1" w:firstRow="1" w:lastColumn="0" w:lastRow="0" w:noHBand="0" w:noVBand="1" w:val="04A0"/>
      </w:tblPr>
      <w:tblGrid>
        <w:gridCol w:w="2197"/>
        <w:gridCol w:w="2197"/>
        <w:gridCol w:w="2197"/>
        <w:gridCol w:w="2197"/>
      </w:tblGrid>
      <w:tr>
        <w:tc>
          <w:tcPr>
            <w:tcW w:type="dxa" w:w="2197"/>
          </w:tcPr>
          <w:p>
            <w:r>
              <w:rPr>
                <w:b/>
                <w:sz w:val="20"/>
              </w:rPr>
              <w:t>Modality</w:t>
            </w:r>
          </w:p>
        </w:tc>
        <w:tc>
          <w:tcPr>
            <w:tcW w:type="dxa" w:w="2197"/>
          </w:tcPr>
          <w:p>
            <w:r>
              <w:rPr>
                <w:b/>
                <w:sz w:val="20"/>
              </w:rPr>
              <w:t>Cost per Trainee</w:t>
            </w:r>
          </w:p>
        </w:tc>
        <w:tc>
          <w:tcPr>
            <w:tcW w:type="dxa" w:w="2197"/>
          </w:tcPr>
          <w:p>
            <w:r>
              <w:rPr>
                <w:b/>
                <w:sz w:val="20"/>
              </w:rPr>
              <w:t>Employment Rate</w:t>
            </w:r>
          </w:p>
        </w:tc>
        <w:tc>
          <w:tcPr>
            <w:tcW w:type="dxa" w:w="2197"/>
          </w:tcPr>
          <w:p>
            <w:r>
              <w:rPr>
                <w:b/>
                <w:sz w:val="20"/>
              </w:rPr>
              <w:t>Cost per Employed</w:t>
            </w:r>
          </w:p>
        </w:tc>
      </w:tr>
      <w:tr>
        <w:tc>
          <w:tcPr>
            <w:tcW w:type="dxa" w:w="2197"/>
          </w:tcPr>
          <w:p>
            <w:r>
              <w:rPr>
                <w:sz w:val="20"/>
              </w:rPr>
              <w:t>Government TVET center</w:t>
            </w:r>
          </w:p>
        </w:tc>
        <w:tc>
          <w:tcPr>
            <w:tcW w:type="dxa" w:w="2197"/>
          </w:tcPr>
          <w:p>
            <w:r>
              <w:rPr>
                <w:sz w:val="20"/>
              </w:rPr>
              <w:t>$800–1,500</w:t>
            </w:r>
          </w:p>
        </w:tc>
        <w:tc>
          <w:tcPr>
            <w:tcW w:type="dxa" w:w="2197"/>
          </w:tcPr>
          <w:p>
            <w:r>
              <w:rPr>
                <w:sz w:val="20"/>
              </w:rPr>
              <w:t>55–65%</w:t>
            </w:r>
          </w:p>
        </w:tc>
        <w:tc>
          <w:tcPr>
            <w:tcW w:type="dxa" w:w="2197"/>
          </w:tcPr>
          <w:p>
            <w:r>
              <w:rPr>
                <w:sz w:val="20"/>
              </w:rPr>
              <w:t>$1,300–2,700</w:t>
            </w:r>
          </w:p>
        </w:tc>
      </w:tr>
      <w:tr>
        <w:tc>
          <w:tcPr>
            <w:tcW w:type="dxa" w:w="2197"/>
          </w:tcPr>
          <w:p>
            <w:r>
              <w:rPr>
                <w:sz w:val="20"/>
              </w:rPr>
              <w:t>Private training center</w:t>
            </w:r>
          </w:p>
        </w:tc>
        <w:tc>
          <w:tcPr>
            <w:tcW w:type="dxa" w:w="2197"/>
          </w:tcPr>
          <w:p>
            <w:r>
              <w:rPr>
                <w:sz w:val="20"/>
              </w:rPr>
              <w:t>$500–1,000</w:t>
            </w:r>
          </w:p>
        </w:tc>
        <w:tc>
          <w:tcPr>
            <w:tcW w:type="dxa" w:w="2197"/>
          </w:tcPr>
          <w:p>
            <w:r>
              <w:rPr>
                <w:sz w:val="20"/>
              </w:rPr>
              <w:t>65–75%</w:t>
            </w:r>
          </w:p>
        </w:tc>
        <w:tc>
          <w:tcPr>
            <w:tcW w:type="dxa" w:w="2197"/>
          </w:tcPr>
          <w:p>
            <w:r>
              <w:rPr>
                <w:sz w:val="20"/>
              </w:rPr>
              <w:t>$700–1,500</w:t>
            </w:r>
          </w:p>
        </w:tc>
      </w:tr>
      <w:tr>
        <w:tc>
          <w:tcPr>
            <w:tcW w:type="dxa" w:w="2197"/>
          </w:tcPr>
          <w:p>
            <w:r>
              <w:rPr>
                <w:sz w:val="20"/>
              </w:rPr>
              <w:t>Employer-based training</w:t>
            </w:r>
          </w:p>
        </w:tc>
        <w:tc>
          <w:tcPr>
            <w:tcW w:type="dxa" w:w="2197"/>
          </w:tcPr>
          <w:p>
            <w:r>
              <w:rPr>
                <w:sz w:val="20"/>
              </w:rPr>
              <w:t>$300–700</w:t>
            </w:r>
          </w:p>
        </w:tc>
        <w:tc>
          <w:tcPr>
            <w:tcW w:type="dxa" w:w="2197"/>
          </w:tcPr>
          <w:p>
            <w:r>
              <w:rPr>
                <w:sz w:val="20"/>
              </w:rPr>
              <w:t>80–90%</w:t>
            </w:r>
          </w:p>
        </w:tc>
        <w:tc>
          <w:tcPr>
            <w:tcW w:type="dxa" w:w="2197"/>
          </w:tcPr>
          <w:p>
            <w:r>
              <w:rPr>
                <w:sz w:val="20"/>
              </w:rPr>
              <w:t>$350–850</w:t>
            </w:r>
          </w:p>
        </w:tc>
      </w:tr>
      <w:tr>
        <w:tc>
          <w:tcPr>
            <w:tcW w:type="dxa" w:w="2197"/>
          </w:tcPr>
          <w:p>
            <w:r>
              <w:rPr>
                <w:sz w:val="20"/>
              </w:rPr>
              <w:t>Online/digital training</w:t>
            </w:r>
          </w:p>
        </w:tc>
        <w:tc>
          <w:tcPr>
            <w:tcW w:type="dxa" w:w="2197"/>
          </w:tcPr>
          <w:p>
            <w:r>
              <w:rPr>
                <w:sz w:val="20"/>
              </w:rPr>
              <w:t>$50–300</w:t>
            </w:r>
          </w:p>
        </w:tc>
        <w:tc>
          <w:tcPr>
            <w:tcW w:type="dxa" w:w="2197"/>
          </w:tcPr>
          <w:p>
            <w:r>
              <w:rPr>
                <w:sz w:val="20"/>
              </w:rPr>
              <w:t>50–70%</w:t>
            </w:r>
          </w:p>
        </w:tc>
        <w:tc>
          <w:tcPr>
            <w:tcW w:type="dxa" w:w="2197"/>
          </w:tcPr>
          <w:p>
            <w:r>
              <w:rPr>
                <w:sz w:val="20"/>
              </w:rPr>
              <w:t>$80–600</w:t>
            </w:r>
          </w:p>
        </w:tc>
      </w:tr>
      <w:tr>
        <w:tc>
          <w:tcPr>
            <w:tcW w:type="dxa" w:w="2197"/>
          </w:tcPr>
          <w:p>
            <w:r>
              <w:rPr>
                <w:sz w:val="20"/>
              </w:rPr>
              <w:t>Mobile training unit</w:t>
            </w:r>
          </w:p>
        </w:tc>
        <w:tc>
          <w:tcPr>
            <w:tcW w:type="dxa" w:w="2197"/>
          </w:tcPr>
          <w:p>
            <w:r>
              <w:rPr>
                <w:sz w:val="20"/>
              </w:rPr>
              <w:t>$600–1,200</w:t>
            </w:r>
          </w:p>
        </w:tc>
        <w:tc>
          <w:tcPr>
            <w:tcW w:type="dxa" w:w="2197"/>
          </w:tcPr>
          <w:p>
            <w:r>
              <w:rPr>
                <w:sz w:val="20"/>
              </w:rPr>
              <w:t>55–70%</w:t>
            </w:r>
          </w:p>
        </w:tc>
        <w:tc>
          <w:tcPr>
            <w:tcW w:type="dxa" w:w="2197"/>
          </w:tcPr>
          <w:p>
            <w:r>
              <w:rPr>
                <w:sz w:val="20"/>
              </w:rPr>
              <w:t>$900–2,200</w:t>
            </w:r>
          </w:p>
        </w:tc>
      </w:tr>
    </w:tbl>
    <w:p/>
    <w:p>
      <w:pPr>
        <w:pStyle w:val="Heading2"/>
      </w:pPr>
      <w:r>
        <w:rPr>
          <w:color w:val="4472C4"/>
          <w:sz w:val="24"/>
        </w:rPr>
        <w:t>17.4  Return on Investment (ROI)</w:t>
      </w:r>
    </w:p>
    <w:p>
      <w:pPr>
        <w:spacing w:after="120"/>
      </w:pPr>
      <w:r>
        <w:rPr>
          <w:rFonts w:ascii="Calibri" w:hAnsi="Calibri"/>
          <w:sz w:val="22"/>
        </w:rPr>
        <w:t>A simplified ROI calculation: Average training cost $800 per trainee, average wage premium post-training $1,200/year, employment rate 70%, over 10 years at 8% discount rate. Present Value of wage premium = $5,634. Net Present Value per trainee = $4,834. Benefit-Cost Ratio = 7:1. Every $1 invested in skills training generates $7 in present value of increased earnings.</w:t>
      </w:r>
    </w:p>
    <w:p>
      <w:r>
        <w:br w:type="page"/>
      </w:r>
    </w:p>
    <w:p>
      <w:pPr>
        <w:pStyle w:val="Heading1"/>
        <w:jc w:val="left"/>
      </w:pPr>
      <w:r>
        <w:rPr>
          <w:color w:val="1F497D"/>
          <w:sz w:val="28"/>
        </w:rPr>
        <w:t>CHAPTER 18: The Way Forward and Recommendations</w:t>
      </w:r>
    </w:p>
    <w:p/>
    <w:p>
      <w:pPr>
        <w:pStyle w:val="Heading2"/>
      </w:pPr>
      <w:r>
        <w:rPr>
          <w:color w:val="4472C4"/>
          <w:sz w:val="24"/>
        </w:rPr>
        <w:t>18.1  Building a Future-Ready Skills Ecosystem</w:t>
      </w:r>
    </w:p>
    <w:p>
      <w:pPr>
        <w:spacing w:after="120"/>
      </w:pPr>
      <w:r>
        <w:rPr>
          <w:rFonts w:ascii="Calibri" w:hAnsi="Calibri"/>
          <w:sz w:val="22"/>
        </w:rPr>
        <w:t>As economies continue to evolve rapidly, skills systems must become more agile, anticipatory, and adaptive. Key priorities for the next decade:</w:t>
      </w:r>
    </w:p>
    <w:p>
      <w:pPr>
        <w:pStyle w:val="ListBullet"/>
      </w:pPr>
      <w:r>
        <w:rPr>
          <w:rFonts w:ascii="Calibri" w:hAnsi="Calibri"/>
          <w:sz w:val="22"/>
        </w:rPr>
        <w:t>Anticipatory Skills Planning: Invest in sophisticated labor market foresight tools combining quantitative econometric models with qualitative foresight methods.</w:t>
      </w:r>
    </w:p>
    <w:p>
      <w:pPr>
        <w:pStyle w:val="ListBullet"/>
      </w:pPr>
      <w:r>
        <w:rPr>
          <w:rFonts w:ascii="Calibri" w:hAnsi="Calibri"/>
          <w:sz w:val="22"/>
        </w:rPr>
        <w:t>Lifelong Learning Culture: Shift from episodic training to continuous learning mindset through individual learning accounts and digital credentials.</w:t>
      </w:r>
    </w:p>
    <w:p>
      <w:pPr>
        <w:pStyle w:val="ListBullet"/>
      </w:pPr>
      <w:r>
        <w:rPr>
          <w:rFonts w:ascii="Calibri" w:hAnsi="Calibri"/>
          <w:sz w:val="22"/>
        </w:rPr>
        <w:t>Foundation Skills Priority: Ensure all trainees have strong literacy, numeracy, and digital foundation skills using AI tutors for personalized delivery at scale.</w:t>
      </w:r>
    </w:p>
    <w:p>
      <w:pPr>
        <w:pStyle w:val="ListBullet"/>
      </w:pPr>
      <w:r>
        <w:rPr>
          <w:rFonts w:ascii="Calibri" w:hAnsi="Calibri"/>
          <w:sz w:val="22"/>
        </w:rPr>
        <w:t>Green Skills Transition: Map climate vulnerability of occupational profiles and develop just transition programs for workers in declining industries.</w:t>
      </w:r>
    </w:p>
    <w:p>
      <w:pPr>
        <w:pStyle w:val="ListBullet"/>
      </w:pPr>
      <w:r>
        <w:rPr>
          <w:rFonts w:ascii="Calibri" w:hAnsi="Calibri"/>
          <w:sz w:val="22"/>
        </w:rPr>
        <w:t>Entrepreneurship and Innovation Skills: Move beyond traditional enterprise skills to design thinking, lean startup, digital marketing, and STEM integration.</w:t>
      </w:r>
    </w:p>
    <w:p>
      <w:pPr>
        <w:pStyle w:val="Heading2"/>
      </w:pPr>
      <w:r>
        <w:rPr>
          <w:color w:val="4472C4"/>
          <w:sz w:val="24"/>
        </w:rPr>
        <w:t>18.2  Recommendations for Governments</w:t>
      </w:r>
    </w:p>
    <w:p>
      <w:pPr>
        <w:pStyle w:val="ListBullet"/>
      </w:pPr>
      <w:r>
        <w:rPr>
          <w:rFonts w:ascii="Calibri" w:hAnsi="Calibri"/>
          <w:sz w:val="22"/>
        </w:rPr>
        <w:t>Establish and resource a dedicated skills coordinating authority with clear mandate and cross-ministerial authority.</w:t>
      </w:r>
    </w:p>
    <w:p>
      <w:pPr>
        <w:pStyle w:val="ListBullet"/>
      </w:pPr>
      <w:r>
        <w:rPr>
          <w:rFonts w:ascii="Calibri" w:hAnsi="Calibri"/>
          <w:sz w:val="22"/>
        </w:rPr>
        <w:t>Implement employer training levies to build sustainable financing independent of annual budget cycles.</w:t>
      </w:r>
    </w:p>
    <w:p>
      <w:pPr>
        <w:pStyle w:val="ListBullet"/>
      </w:pPr>
      <w:r>
        <w:rPr>
          <w:rFonts w:ascii="Calibri" w:hAnsi="Calibri"/>
          <w:sz w:val="22"/>
        </w:rPr>
        <w:t>Shift to output-based financing for training providers to incentivize quality and employment outcomes.</w:t>
      </w:r>
    </w:p>
    <w:p>
      <w:pPr>
        <w:pStyle w:val="ListBullet"/>
      </w:pPr>
      <w:r>
        <w:rPr>
          <w:rFonts w:ascii="Calibri" w:hAnsi="Calibri"/>
          <w:sz w:val="22"/>
        </w:rPr>
        <w:t>Invest in Labor Market Information Systems for evidence-based decisions.</w:t>
      </w:r>
    </w:p>
    <w:p>
      <w:pPr>
        <w:pStyle w:val="ListBullet"/>
      </w:pPr>
      <w:r>
        <w:rPr>
          <w:rFonts w:ascii="Calibri" w:hAnsi="Calibri"/>
          <w:sz w:val="22"/>
        </w:rPr>
        <w:t>Pursue bilateral skills recognition agreements with major labor destination countries.</w:t>
      </w:r>
    </w:p>
    <w:p>
      <w:pPr>
        <w:pStyle w:val="ListBullet"/>
      </w:pPr>
      <w:r>
        <w:rPr>
          <w:rFonts w:ascii="Calibri" w:hAnsi="Calibri"/>
          <w:sz w:val="22"/>
        </w:rPr>
        <w:t>Embed gender equality targets in all skills programs with adequate resources for implementation.</w:t>
      </w:r>
    </w:p>
    <w:p>
      <w:pPr>
        <w:pStyle w:val="Heading2"/>
      </w:pPr>
      <w:r>
        <w:rPr>
          <w:color w:val="4472C4"/>
          <w:sz w:val="24"/>
        </w:rPr>
        <w:t>18.3  Recommendations for Private Sector and Development Partners</w:t>
      </w:r>
    </w:p>
    <w:p>
      <w:pPr>
        <w:pStyle w:val="ListBullet"/>
      </w:pPr>
      <w:r>
        <w:rPr>
          <w:rFonts w:ascii="Calibri" w:hAnsi="Calibri"/>
          <w:sz w:val="22"/>
        </w:rPr>
        <w:t>Actively participate in Sector Skills Councils and occupational standards development.</w:t>
      </w:r>
    </w:p>
    <w:p>
      <w:pPr>
        <w:pStyle w:val="ListBullet"/>
      </w:pPr>
      <w:r>
        <w:rPr>
          <w:rFonts w:ascii="Calibri" w:hAnsi="Calibri"/>
          <w:sz w:val="22"/>
        </w:rPr>
        <w:t>Invest in dual training and apprenticeship programs — evidence shows strong ROI through reduced recruitment costs.</w:t>
      </w:r>
    </w:p>
    <w:p>
      <w:pPr>
        <w:pStyle w:val="ListBullet"/>
      </w:pPr>
      <w:r>
        <w:rPr>
          <w:rFonts w:ascii="Calibri" w:hAnsi="Calibri"/>
          <w:sz w:val="22"/>
        </w:rPr>
        <w:t>Align technical assistance with government priorities and avoid parallel implementation systems.</w:t>
      </w:r>
    </w:p>
    <w:p>
      <w:pPr>
        <w:pStyle w:val="ListBullet"/>
      </w:pPr>
      <w:r>
        <w:rPr>
          <w:rFonts w:ascii="Calibri" w:hAnsi="Calibri"/>
          <w:sz w:val="22"/>
        </w:rPr>
        <w:t>Support local research and evaluation capacity to generate country-owned evidence on what works.</w:t>
      </w:r>
    </w:p>
    <w:p>
      <w:pPr>
        <w:pStyle w:val="ListBullet"/>
      </w:pPr>
      <w:r>
        <w:rPr>
          <w:rFonts w:ascii="Calibri" w:hAnsi="Calibri"/>
          <w:sz w:val="22"/>
        </w:rPr>
        <w:t>Provide flexible, long-term financing (10+ year horizon) that allows time for systemic change.</w:t>
      </w:r>
    </w:p>
    <w:p>
      <w:r>
        <w:br w:type="page"/>
      </w:r>
    </w:p>
    <w:p>
      <w:pPr>
        <w:pStyle w:val="Heading1"/>
        <w:jc w:val="left"/>
      </w:pPr>
      <w:r>
        <w:rPr>
          <w:color w:val="1F497D"/>
          <w:sz w:val="28"/>
        </w:rPr>
        <w:t>CHAPTER 19: Conclusion</w:t>
      </w:r>
    </w:p>
    <w:p/>
    <w:p>
      <w:pPr>
        <w:spacing w:after="120"/>
      </w:pPr>
      <w:r>
        <w:rPr>
          <w:rFonts w:ascii="Calibri" w:hAnsi="Calibri"/>
          <w:sz w:val="22"/>
        </w:rPr>
        <w:t>The challenge of accelerating and strengthening skills for economic transformation is ultimately the challenge of human potential — of ensuring that every person, regardless of where they were born or what circumstances they face, has the opportunity to acquire meaningful skills, secure decent work, and contribute to the prosperity of their community and nation.</w:t>
      </w:r>
    </w:p>
    <w:p>
      <w:pPr>
        <w:spacing w:after="120"/>
      </w:pPr>
      <w:r>
        <w:rPr>
          <w:rFonts w:ascii="Calibri" w:hAnsi="Calibri"/>
          <w:sz w:val="22"/>
        </w:rPr>
        <w:t>ASSET represents a comprehensive, evidence-based, and context-sensitive approach to this challenge. It recognizes that skills development is not simply a technical exercise in curriculum development or training delivery — it is a complex socio-economic and political endeavor requiring sustained commitment from governments, employers, workers, civil society, and development partners.</w:t>
      </w:r>
    </w:p>
    <w:p>
      <w:pPr>
        <w:spacing w:after="120"/>
      </w:pPr>
      <w:r>
        <w:rPr>
          <w:rFonts w:ascii="Calibri" w:hAnsi="Calibri"/>
          <w:sz w:val="22"/>
        </w:rPr>
        <w:t>The urgency of this agenda cannot be overstated. The digital revolution, climate change, and demographic pressures are converging to create both unprecedented challenges and extraordinary opportunities. Countries that build agile, inclusive, and demand-driven skills ecosystems will be positioned to seize these opportunities. Those that fail to invest adequately risk entrenching poverty, inequality, and social instability.</w:t>
      </w:r>
    </w:p>
    <w:p>
      <w:pPr>
        <w:spacing w:after="120"/>
      </w:pPr>
      <w:r>
        <w:rPr>
          <w:rFonts w:ascii="Calibri" w:hAnsi="Calibri"/>
          <w:sz w:val="22"/>
        </w:rPr>
        <w:t>The economic case for investment is overwhelming — every dollar invested in quality skills training generates multiple dollars in returns. But the moral case is equally compelling: skills development is fundamentally about human dignity, agency, and the right of every person to participate fully in economic and social life.</w:t>
      </w:r>
    </w:p>
    <w:p>
      <w:pPr>
        <w:spacing w:after="120"/>
      </w:pPr>
      <w:r>
        <w:rPr>
          <w:rFonts w:ascii="Calibri" w:hAnsi="Calibri"/>
          <w:sz w:val="22"/>
        </w:rPr>
        <w:t>ASSET, implemented faithfully and adapted intelligently to local contexts, offers a proven pathway toward this vision. The time to act is now.</w:t>
      </w:r>
    </w:p>
    <w:p>
      <w:r>
        <w:br w:type="page"/>
      </w:r>
    </w:p>
    <w:p>
      <w:pPr>
        <w:pStyle w:val="Heading1"/>
        <w:jc w:val="left"/>
      </w:pPr>
      <w:r>
        <w:rPr>
          <w:color w:val="1F497D"/>
          <w:sz w:val="28"/>
        </w:rPr>
        <w:t>CHAPTER 20: References and Bibliography</w:t>
      </w:r>
    </w:p>
    <w:p/>
    <w:p>
      <w:pPr>
        <w:pStyle w:val="ListNumber"/>
      </w:pPr>
      <w:r>
        <w:rPr>
          <w:rFonts w:ascii="Calibri" w:hAnsi="Calibri"/>
          <w:sz w:val="20"/>
        </w:rPr>
        <w:t>Acemoglu, D., &amp; Restrepo, P. (2019). Automation and New Tasks: How Technology Displaces and Reinstates Labor. Journal of Economic Perspectives, 33(2), 3–30.</w:t>
      </w:r>
    </w:p>
    <w:p>
      <w:pPr>
        <w:pStyle w:val="ListNumber"/>
      </w:pPr>
      <w:r>
        <w:rPr>
          <w:rFonts w:ascii="Calibri" w:hAnsi="Calibri"/>
          <w:sz w:val="20"/>
        </w:rPr>
        <w:t>Becker, G. S. (1964). Human Capital: A Theoretical and Empirical Analysis with Special Reference to Education. University of Chicago Press.</w:t>
      </w:r>
    </w:p>
    <w:p>
      <w:pPr>
        <w:pStyle w:val="ListNumber"/>
      </w:pPr>
      <w:r>
        <w:rPr>
          <w:rFonts w:ascii="Calibri" w:hAnsi="Calibri"/>
          <w:sz w:val="20"/>
        </w:rPr>
        <w:t>ILO (2022). World Employment and Social Outlook: Trends 2022. International Labour Organization, Geneva.</w:t>
      </w:r>
    </w:p>
    <w:p>
      <w:pPr>
        <w:pStyle w:val="ListNumber"/>
      </w:pPr>
      <w:r>
        <w:rPr>
          <w:rFonts w:ascii="Calibri" w:hAnsi="Calibri"/>
          <w:sz w:val="20"/>
        </w:rPr>
        <w:t>ILO (2021). A Practitioner's Guide to Sector Skills Councils. ILO Skills and Employability Branch.</w:t>
      </w:r>
    </w:p>
    <w:p>
      <w:pPr>
        <w:pStyle w:val="ListNumber"/>
      </w:pPr>
      <w:r>
        <w:rPr>
          <w:rFonts w:ascii="Calibri" w:hAnsi="Calibri"/>
          <w:sz w:val="20"/>
        </w:rPr>
        <w:t>McKinsey Global Institute (2021). The Future of Work After COVID-19. McKinsey &amp; Company.</w:t>
      </w:r>
    </w:p>
    <w:p>
      <w:pPr>
        <w:pStyle w:val="ListNumber"/>
      </w:pPr>
      <w:r>
        <w:rPr>
          <w:rFonts w:ascii="Calibri" w:hAnsi="Calibri"/>
          <w:sz w:val="20"/>
        </w:rPr>
        <w:t>OECD (2021). OECD Skills Outlook 2021: Learning for Life. OECD Publishing, Paris.</w:t>
      </w:r>
    </w:p>
    <w:p>
      <w:pPr>
        <w:pStyle w:val="ListNumber"/>
      </w:pPr>
      <w:r>
        <w:rPr>
          <w:rFonts w:ascii="Calibri" w:hAnsi="Calibri"/>
          <w:sz w:val="20"/>
        </w:rPr>
        <w:t>Palmer, R. (2020). Skills Development, Financing and Sustainability: A Review of Employer Levy Systems. ILO, Geneva.</w:t>
      </w:r>
    </w:p>
    <w:p>
      <w:pPr>
        <w:pStyle w:val="ListNumber"/>
      </w:pPr>
      <w:r>
        <w:rPr>
          <w:rFonts w:ascii="Calibri" w:hAnsi="Calibri"/>
          <w:sz w:val="20"/>
        </w:rPr>
        <w:t>Schultz, T. W. (1961). Investment in Human Capital. American Economic Review, 51(1), 1–17.</w:t>
      </w:r>
    </w:p>
    <w:p>
      <w:pPr>
        <w:pStyle w:val="ListNumber"/>
      </w:pPr>
      <w:r>
        <w:rPr>
          <w:rFonts w:ascii="Calibri" w:hAnsi="Calibri"/>
          <w:sz w:val="20"/>
        </w:rPr>
        <w:t>UNESCO (2021). Strategy for Technical and Vocational Education and Training (TVET) 2016–2021. UNESCO, Paris.</w:t>
      </w:r>
    </w:p>
    <w:p>
      <w:pPr>
        <w:pStyle w:val="ListNumber"/>
      </w:pPr>
      <w:r>
        <w:rPr>
          <w:rFonts w:ascii="Calibri" w:hAnsi="Calibri"/>
          <w:sz w:val="20"/>
        </w:rPr>
        <w:t>UNESCO-UNEVOC (2020). Work-based Learning for the Twenty-first Century. UNESCO-UNEVOC International Centre for TVET, Bonn.</w:t>
      </w:r>
    </w:p>
    <w:p>
      <w:pPr>
        <w:pStyle w:val="ListNumber"/>
      </w:pPr>
      <w:r>
        <w:rPr>
          <w:rFonts w:ascii="Calibri" w:hAnsi="Calibri"/>
          <w:sz w:val="20"/>
        </w:rPr>
        <w:t>World Bank (2019). Earnings Gains from Vocational Training: A Meta-Regression. World Bank Policy Research Working Paper 8936.</w:t>
      </w:r>
    </w:p>
    <w:p>
      <w:pPr>
        <w:pStyle w:val="ListNumber"/>
      </w:pPr>
      <w:r>
        <w:rPr>
          <w:rFonts w:ascii="Calibri" w:hAnsi="Calibri"/>
          <w:sz w:val="20"/>
        </w:rPr>
        <w:t>World Bank (2021). Skills Development for a Modern Economy. Human Development Publications.</w:t>
      </w:r>
    </w:p>
    <w:p>
      <w:pPr>
        <w:pStyle w:val="ListNumber"/>
      </w:pPr>
      <w:r>
        <w:rPr>
          <w:rFonts w:ascii="Calibri" w:hAnsi="Calibri"/>
          <w:sz w:val="20"/>
        </w:rPr>
        <w:t>World Economic Forum (2023). Future of Jobs Report 2023. WEF, Geneva.</w:t>
      </w:r>
    </w:p>
    <w:p>
      <w:pPr>
        <w:pStyle w:val="ListNumber"/>
      </w:pPr>
      <w:r>
        <w:rPr>
          <w:rFonts w:ascii="Calibri" w:hAnsi="Calibri"/>
          <w:sz w:val="20"/>
        </w:rPr>
        <w:t>Asian Development Bank (2020). The Future of Jobs in Asia and the Pacific. ADB, Manila.</w:t>
      </w:r>
    </w:p>
    <w:p>
      <w:pPr>
        <w:pStyle w:val="ListNumber"/>
      </w:pPr>
      <w:r>
        <w:rPr>
          <w:rFonts w:ascii="Calibri" w:hAnsi="Calibri"/>
          <w:sz w:val="20"/>
        </w:rPr>
        <w:t>BMET/NSDA Bangladesh (2022). National Skills Development Policy: Review and Update. Ministry of Expatriates' Welfare and Overseas Employment, Dhaka.</w:t>
      </w:r>
    </w:p>
    <w:p>
      <w:pPr>
        <w:pStyle w:val="ListNumber"/>
      </w:pPr>
      <w:r>
        <w:rPr>
          <w:rFonts w:ascii="Calibri" w:hAnsi="Calibri"/>
          <w:sz w:val="20"/>
        </w:rPr>
        <w:t>GIZ (2019). Scaling Up Dual Vocational Training in Developing Countries. Deutsche Gesellschaft für Internationale Zusammenarbeit.</w:t>
      </w:r>
    </w:p>
    <w:p>
      <w:pPr>
        <w:pStyle w:val="ListNumber"/>
      </w:pPr>
      <w:r>
        <w:rPr>
          <w:rFonts w:ascii="Calibri" w:hAnsi="Calibri"/>
          <w:sz w:val="20"/>
        </w:rPr>
        <w:t>SkillsFuture Singapore (2022). SkillsFuture Annual Report 2021/2022.</w:t>
      </w:r>
    </w:p>
    <w:p>
      <w:pPr>
        <w:pStyle w:val="ListNumber"/>
      </w:pPr>
      <w:r>
        <w:rPr>
          <w:rFonts w:ascii="Calibri" w:hAnsi="Calibri"/>
          <w:sz w:val="20"/>
        </w:rPr>
        <w:t>Malaysia HRD Corp (2022). Annual Report 2021. Human Resource Development Corporation Malaysia.</w:t>
      </w:r>
    </w:p>
    <w:p>
      <w:pPr>
        <w:pStyle w:val="ListNumber"/>
      </w:pPr>
      <w:r>
        <w:rPr>
          <w:rFonts w:ascii="Calibri" w:hAnsi="Calibri"/>
          <w:sz w:val="20"/>
        </w:rPr>
        <w:t>Rwanda WDA (2021). Annual Report 2020–2021. Workforce Development Authority, Kigali.</w:t>
      </w:r>
    </w:p>
    <w:p>
      <w:pPr>
        <w:pStyle w:val="ListNumber"/>
      </w:pPr>
      <w:r>
        <w:rPr>
          <w:rFonts w:ascii="Calibri" w:hAnsi="Calibri"/>
          <w:sz w:val="20"/>
        </w:rPr>
        <w:t>Dunbar, M., &amp; Banu, S. (2019). Financing TVET in Developing Countries: Lessons Learned. USAID Education Policy and Data Center.</w:t>
      </w:r>
    </w:p>
    <w:p>
      <w:r>
        <w:br w:type="page"/>
      </w:r>
    </w:p>
    <w:p>
      <w:pPr>
        <w:pStyle w:val="Heading1"/>
        <w:jc w:val="left"/>
      </w:pPr>
      <w:r>
        <w:rPr>
          <w:color w:val="1F497D"/>
          <w:sz w:val="28"/>
        </w:rPr>
        <w:t>ANNEXES</w:t>
      </w:r>
    </w:p>
    <w:p/>
    <w:p>
      <w:pPr>
        <w:pStyle w:val="Heading2"/>
      </w:pPr>
      <w:r>
        <w:rPr>
          <w:color w:val="4472C4"/>
          <w:sz w:val="24"/>
        </w:rPr>
        <w:t>Annex A: Sample Occupational Standard Template</w:t>
      </w:r>
    </w:p>
    <w:p>
      <w:pPr>
        <w:spacing w:after="120"/>
      </w:pPr>
      <w:r>
        <w:rPr>
          <w:rFonts w:ascii="Calibri" w:hAnsi="Calibri"/>
          <w:sz w:val="22"/>
        </w:rPr>
        <w:t>An occupational standard defines the competencies required for a specific occupation. It includes: occupational title and ISCO-08 code, qualification level (NQF Level 1–8), units of competency, performance criteria (observable behaviors), range of variables (conditions under which competence is demonstrated), evidence requirements, assessment methods (written test, practical demonstration, portfolio), and entry requirements.</w:t>
      </w:r>
    </w:p>
    <w:p>
      <w:pPr>
        <w:pStyle w:val="Heading2"/>
      </w:pPr>
      <w:r>
        <w:rPr>
          <w:color w:val="4472C4"/>
          <w:sz w:val="24"/>
        </w:rPr>
        <w:t>Annex B: Training Center Quality Checklist</w:t>
      </w:r>
    </w:p>
    <w:p>
      <w:pPr>
        <w:spacing w:after="120"/>
      </w:pPr>
      <w:r>
        <w:rPr>
          <w:rFonts w:ascii="Calibri" w:hAnsi="Calibri"/>
          <w:sz w:val="22"/>
        </w:rPr>
        <w:t>Infrastructure: Adequate classroom space (minimum 2 sq m per trainee), workshops/laboratories equipped to industry standard, accessible toilets (separate male/female/accessible), safe electrical and fire safety systems, internet connectivity (minimum 25 Mbps). Human Resources: Trainers with minimum 5 years relevant industry experience, trainer-to-trainee ratio within standards (maximum 1:20), female trainers for gender-inclusive programs. Learning and Assessment: Approved curricula, training materials, assessment tools and procedures, and assessment scheduling and record keeping.</w:t>
      </w:r>
    </w:p>
    <w:p>
      <w:pPr>
        <w:pStyle w:val="Heading2"/>
      </w:pPr>
      <w:r>
        <w:rPr>
          <w:color w:val="4472C4"/>
          <w:sz w:val="24"/>
        </w:rPr>
        <w:t>Annex C: Gender-Responsive Training Checklist</w:t>
      </w:r>
    </w:p>
    <w:p>
      <w:pPr>
        <w:spacing w:after="120"/>
      </w:pPr>
      <w:r>
        <w:rPr>
          <w:rFonts w:ascii="Calibri" w:hAnsi="Calibri"/>
          <w:sz w:val="22"/>
        </w:rPr>
        <w:t>Outreach: Community mobilization targets women and selection criteria do not disadvantage women. Training Environment: Female toilets and prayer spaces, secure transport or transport subsidy, childcare provision or subsidy, code of conduct against harassment with enforcement, female counselors available. Curriculum: Gender-neutral language in all materials, female role models and case studies, financial literacy and rights awareness, flexible scheduling to accommodate caregiving. Post-Training: Women's business network connections, gender-sensitive job placement support, access to women's financial products.</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