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Alberto Al Leiva</w:t>
      </w:r>
    </w:p>
    <w:bookmarkStart w:id="36" w:name="access-control-policy-template"/>
    <w:p>
      <w:pPr>
        <w:pStyle w:val="Heading1"/>
      </w:pPr>
      <w:r>
        <w:t xml:space="preserve">Access Control Policy Template</w:t>
      </w:r>
    </w:p>
    <w:p>
      <w:pPr>
        <w:pStyle w:val="BlockText"/>
      </w:pPr>
      <w:r>
        <w:t xml:space="preserve">Resolve all placeholders and review employment, privacy, monitoring, privileged-access, customer, and regulatory requirements before approval.</w:t>
      </w:r>
    </w:p>
    <w:bookmarkStart w:id="20" w:name="document-control"/>
    <w:p>
      <w:pPr>
        <w:pStyle w:val="Heading2"/>
      </w:pPr>
      <w:r>
        <w:t xml:space="preserve">Document control</w:t>
      </w:r>
    </w:p>
    <w:p>
      <w:pPr>
        <w:numPr>
          <w:ilvl w:val="0"/>
          <w:numId w:val="1001"/>
        </w:numPr>
        <w:pStyle w:val="Compact"/>
      </w:pPr>
      <w:r>
        <w:t xml:space="preserve">Policy ID:</w:t>
      </w:r>
      <w:r>
        <w:t xml:space="preserve"> </w:t>
      </w:r>
      <w:r>
        <w:rPr>
          <w:rStyle w:val="VerbatimChar"/>
        </w:rPr>
        <w:t xml:space="preserve">[POLICY ID]</w:t>
      </w:r>
    </w:p>
    <w:p>
      <w:pPr>
        <w:numPr>
          <w:ilvl w:val="0"/>
          <w:numId w:val="1001"/>
        </w:numPr>
        <w:pStyle w:val="Compact"/>
      </w:pPr>
      <w:r>
        <w:t xml:space="preserve">Owner:</w:t>
      </w:r>
      <w:r>
        <w:t xml:space="preserve"> </w:t>
      </w:r>
      <w:r>
        <w:rPr>
          <w:rStyle w:val="VerbatimChar"/>
        </w:rPr>
        <w:t xml:space="preserve">[POLICY OWNER]</w:t>
      </w:r>
    </w:p>
    <w:p>
      <w:pPr>
        <w:numPr>
          <w:ilvl w:val="0"/>
          <w:numId w:val="1001"/>
        </w:numPr>
        <w:pStyle w:val="Compact"/>
      </w:pPr>
      <w:r>
        <w:t xml:space="preserve">Approver:</w:t>
      </w:r>
      <w:r>
        <w:t xml:space="preserve"> </w:t>
      </w:r>
      <w:r>
        <w:rPr>
          <w:rStyle w:val="VerbatimChar"/>
        </w:rPr>
        <w:t xml:space="preserve">[APPROVING AUTHORITY]</w:t>
      </w:r>
    </w:p>
    <w:p>
      <w:pPr>
        <w:numPr>
          <w:ilvl w:val="0"/>
          <w:numId w:val="1001"/>
        </w:numPr>
        <w:pStyle w:val="Compact"/>
      </w:pPr>
      <w:r>
        <w:t xml:space="preserve">Effective date:</w:t>
      </w:r>
      <w:r>
        <w:t xml:space="preserve"> </w:t>
      </w:r>
      <w:r>
        <w:rPr>
          <w:rStyle w:val="VerbatimChar"/>
        </w:rPr>
        <w:t xml:space="preserve">[DATE]</w:t>
      </w:r>
    </w:p>
    <w:p>
      <w:pPr>
        <w:numPr>
          <w:ilvl w:val="0"/>
          <w:numId w:val="1001"/>
        </w:numPr>
        <w:pStyle w:val="Compact"/>
      </w:pPr>
      <w:r>
        <w:t xml:space="preserve">Review date:</w:t>
      </w:r>
      <w:r>
        <w:t xml:space="preserve"> </w:t>
      </w:r>
      <w:r>
        <w:rPr>
          <w:rStyle w:val="VerbatimChar"/>
        </w:rPr>
        <w:t xml:space="preserve">[DATE]</w:t>
      </w:r>
    </w:p>
    <w:bookmarkEnd w:id="20"/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establishes requirements for granting, using, reviewing, changing, and revoking access to</w:t>
      </w:r>
      <w:r>
        <w:t xml:space="preserve"> </w:t>
      </w:r>
      <w:r>
        <w:rPr>
          <w:rStyle w:val="VerbatimChar"/>
        </w:rPr>
        <w:t xml:space="preserve">[ORGANIZATION]</w:t>
      </w:r>
      <w:r>
        <w:t xml:space="preserve"> </w:t>
      </w:r>
      <w:r>
        <w:t xml:space="preserve">information, systems, services, facilities, and administrative functions.</w:t>
      </w:r>
    </w:p>
    <w:bookmarkEnd w:id="21"/>
    <w:bookmarkStart w:id="22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Applies to</w:t>
      </w:r>
      <w:r>
        <w:t xml:space="preserve"> </w:t>
      </w:r>
      <w:r>
        <w:rPr>
          <w:rStyle w:val="VerbatimChar"/>
        </w:rPr>
        <w:t xml:space="preserve">[USERS, WORKFORCE, CONTRACTORS, SERVICE ACCOUNTS, APPLICATIONS, DEVICES, THIRD PARTIES, CLOUD AND ON-PREMISES SYSTEMS]</w:t>
      </w:r>
      <w:r>
        <w:t xml:space="preserve">.</w:t>
      </w:r>
    </w:p>
    <w:bookmarkEnd w:id="22"/>
    <w:bookmarkStart w:id="32" w:name="requirements"/>
    <w:p>
      <w:pPr>
        <w:pStyle w:val="Heading2"/>
      </w:pPr>
      <w:r>
        <w:t xml:space="preserve">3. Requirements</w:t>
      </w:r>
    </w:p>
    <w:bookmarkStart w:id="23" w:name="identity"/>
    <w:p>
      <w:pPr>
        <w:pStyle w:val="Heading3"/>
      </w:pPr>
      <w:r>
        <w:t xml:space="preserve">3.1 Identity</w:t>
      </w:r>
    </w:p>
    <w:p>
      <w:pPr>
        <w:pStyle w:val="FirstParagraph"/>
      </w:pPr>
      <w:r>
        <w:t xml:space="preserve">Each user must use an approved unique identity unless a documented technical exception permits a controlled shared or functional account. Identity records must be traceable to an accountable owner.</w:t>
      </w:r>
    </w:p>
    <w:bookmarkEnd w:id="23"/>
    <w:bookmarkStart w:id="24" w:name="authorization"/>
    <w:p>
      <w:pPr>
        <w:pStyle w:val="Heading3"/>
      </w:pPr>
      <w:r>
        <w:t xml:space="preserve">3.2 Authorization</w:t>
      </w:r>
    </w:p>
    <w:p>
      <w:pPr>
        <w:pStyle w:val="FirstParagraph"/>
      </w:pPr>
      <w:r>
        <w:t xml:space="preserve">Access must be approved by</w:t>
      </w:r>
      <w:r>
        <w:t xml:space="preserve"> </w:t>
      </w:r>
      <w:r>
        <w:rPr>
          <w:rStyle w:val="VerbatimChar"/>
        </w:rPr>
        <w:t xml:space="preserve">[DATA/SYSTEM/PROCESS OWNER]</w:t>
      </w:r>
      <w:r>
        <w:t xml:space="preserve">, based on business need, least privilege, segregation of duties, and approved role definitions.</w:t>
      </w:r>
    </w:p>
    <w:bookmarkEnd w:id="24"/>
    <w:bookmarkStart w:id="25" w:name="authentication"/>
    <w:p>
      <w:pPr>
        <w:pStyle w:val="Heading3"/>
      </w:pPr>
      <w:r>
        <w:t xml:space="preserve">3.3 Authentication</w:t>
      </w:r>
    </w:p>
    <w:p>
      <w:pPr>
        <w:pStyle w:val="FirstParagraph"/>
      </w:pPr>
      <w:r>
        <w:t xml:space="preserve">Authentication strength must reflect risk. Multi-factor authentication is required for</w:t>
      </w:r>
      <w:r>
        <w:t xml:space="preserve"> </w:t>
      </w:r>
      <w:r>
        <w:rPr>
          <w:rStyle w:val="VerbatimChar"/>
        </w:rPr>
        <w:t xml:space="preserve">[DEFINED SYSTEMS, REMOTE ACCESS, PRIVILEGED ACCESS, AND OTHER USE CASES]</w:t>
      </w:r>
      <w:r>
        <w:t xml:space="preserve">, subject to approved alternatives and accessibility accommodations.</w:t>
      </w:r>
    </w:p>
    <w:bookmarkEnd w:id="25"/>
    <w:bookmarkStart w:id="26" w:name="privileged-access"/>
    <w:p>
      <w:pPr>
        <w:pStyle w:val="Heading3"/>
      </w:pPr>
      <w:r>
        <w:t xml:space="preserve">3.4 Privileged access</w:t>
      </w:r>
    </w:p>
    <w:p>
      <w:pPr>
        <w:pStyle w:val="FirstParagraph"/>
      </w:pPr>
      <w:r>
        <w:t xml:space="preserve">Privileged access must be separately authorized, limited, monitored, reviewed, and used only for approved administrative activity. Emergency access must be time-bound and reviewed after use.</w:t>
      </w:r>
    </w:p>
    <w:bookmarkEnd w:id="26"/>
    <w:bookmarkStart w:id="27" w:name="joiner-mover-and-leaver-controls"/>
    <w:p>
      <w:pPr>
        <w:pStyle w:val="Heading3"/>
      </w:pPr>
      <w:r>
        <w:t xml:space="preserve">3.5 Joiner, mover, and leaver controls</w:t>
      </w:r>
    </w:p>
    <w:p>
      <w:pPr>
        <w:pStyle w:val="FirstParagraph"/>
      </w:pPr>
      <w:r>
        <w:t xml:space="preserve">Access must be provisioned, modified, suspended, and revoked within</w:t>
      </w:r>
      <w:r>
        <w:t xml:space="preserve"> </w:t>
      </w:r>
      <w:r>
        <w:rPr>
          <w:rStyle w:val="VerbatimChar"/>
        </w:rPr>
        <w:t xml:space="preserve">[TIMEFRAMES]</w:t>
      </w:r>
      <w:r>
        <w:t xml:space="preserve"> </w:t>
      </w:r>
      <w:r>
        <w:t xml:space="preserve">based on authoritative workforce or contractual events. Exceptions and failed notifications must be reconciled and escalated.</w:t>
      </w:r>
    </w:p>
    <w:bookmarkEnd w:id="27"/>
    <w:bookmarkStart w:id="28" w:name="access-review"/>
    <w:p>
      <w:pPr>
        <w:pStyle w:val="Heading3"/>
      </w:pPr>
      <w:r>
        <w:t xml:space="preserve">3.6 Access review</w:t>
      </w:r>
    </w:p>
    <w:p>
      <w:pPr>
        <w:pStyle w:val="FirstParagraph"/>
      </w:pPr>
      <w:r>
        <w:t xml:space="preserve">Owners must review access at least</w:t>
      </w:r>
      <w:r>
        <w:t xml:space="preserve"> </w:t>
      </w:r>
      <w:r>
        <w:rPr>
          <w:rStyle w:val="VerbatimChar"/>
        </w:rPr>
        <w:t xml:space="preserve">[FREQUENCY]</w:t>
      </w:r>
      <w:r>
        <w:t xml:space="preserve"> </w:t>
      </w:r>
      <w:r>
        <w:t xml:space="preserve">and after material role, system, risk, or organizational changes. Reviews must cover privileged, dormant, service, third-party, and conflicting access.</w:t>
      </w:r>
    </w:p>
    <w:bookmarkEnd w:id="28"/>
    <w:bookmarkStart w:id="29" w:name="service-and-machine-identities"/>
    <w:p>
      <w:pPr>
        <w:pStyle w:val="Heading3"/>
      </w:pPr>
      <w:r>
        <w:t xml:space="preserve">3.7 Service and machine identities</w:t>
      </w:r>
    </w:p>
    <w:p>
      <w:pPr>
        <w:pStyle w:val="FirstParagraph"/>
      </w:pPr>
      <w:r>
        <w:t xml:space="preserve">Service accounts, API credentials, certificates, secrets, and machine identities must have owners, documented purpose, least privilege, secure storage, rotation, monitoring, and retirement controls.</w:t>
      </w:r>
    </w:p>
    <w:bookmarkEnd w:id="29"/>
    <w:bookmarkStart w:id="30" w:name="remote-and-third-party-access"/>
    <w:p>
      <w:pPr>
        <w:pStyle w:val="Heading3"/>
      </w:pPr>
      <w:r>
        <w:t xml:space="preserve">3.8 Remote and third-party access</w:t>
      </w:r>
    </w:p>
    <w:p>
      <w:pPr>
        <w:pStyle w:val="FirstParagraph"/>
      </w:pPr>
      <w:r>
        <w:t xml:space="preserve">Remote and third-party access must use approved methods, defined time periods, security controls, logging, and termination procedures.</w:t>
      </w:r>
    </w:p>
    <w:bookmarkEnd w:id="30"/>
    <w:bookmarkStart w:id="31" w:name="logging-and-monitoring"/>
    <w:p>
      <w:pPr>
        <w:pStyle w:val="Heading3"/>
      </w:pPr>
      <w:r>
        <w:t xml:space="preserve">3.9 Logging and monitoring</w:t>
      </w:r>
    </w:p>
    <w:p>
      <w:pPr>
        <w:pStyle w:val="FirstParagraph"/>
      </w:pPr>
      <w:r>
        <w:t xml:space="preserve">Authentication, authorization, privileged activity, access changes, and significant failures must be logged and monitored according to the Logging and Monitoring Policy and applicable privacy rules.</w:t>
      </w:r>
    </w:p>
    <w:bookmarkEnd w:id="31"/>
    <w:bookmarkEnd w:id="32"/>
    <w:bookmarkStart w:id="33" w:name="exceptions"/>
    <w:p>
      <w:pPr>
        <w:pStyle w:val="Heading2"/>
      </w:pPr>
      <w:r>
        <w:t xml:space="preserve">4. Exceptions</w:t>
      </w:r>
    </w:p>
    <w:p>
      <w:pPr>
        <w:pStyle w:val="FirstParagraph"/>
      </w:pPr>
      <w:r>
        <w:t xml:space="preserve">Exceptions require documented risk, compensating controls, owner, expiration, and approval by</w:t>
      </w:r>
      <w:r>
        <w:t xml:space="preserve"> </w:t>
      </w:r>
      <w:r>
        <w:rPr>
          <w:rStyle w:val="VerbatimChar"/>
        </w:rPr>
        <w:t xml:space="preserve">[AUTHORITY]</w:t>
      </w:r>
      <w:r>
        <w:t xml:space="preserve">.</w:t>
      </w:r>
    </w:p>
    <w:bookmarkEnd w:id="33"/>
    <w:bookmarkStart w:id="34" w:name="records"/>
    <w:p>
      <w:pPr>
        <w:pStyle w:val="Heading2"/>
      </w:pPr>
      <w:r>
        <w:t xml:space="preserve">5. Records</w:t>
      </w:r>
    </w:p>
    <w:p>
      <w:pPr>
        <w:pStyle w:val="FirstParagraph"/>
      </w:pPr>
      <w:r>
        <w:t xml:space="preserve">Retain requests, approvals, provisioning records, reviews, exceptions, logs, and revocation evidence according to</w:t>
      </w:r>
      <w:r>
        <w:t xml:space="preserve"> </w:t>
      </w:r>
      <w:r>
        <w:rPr>
          <w:rStyle w:val="VerbatimChar"/>
        </w:rPr>
        <w:t xml:space="preserve">[RETENTION REQUIREMENT]</w:t>
      </w:r>
      <w:r>
        <w:t xml:space="preserve">.</w:t>
      </w:r>
    </w:p>
    <w:bookmarkEnd w:id="34"/>
    <w:bookmarkStart w:id="35" w:name="enforcement-and-review"/>
    <w:p>
      <w:pPr>
        <w:pStyle w:val="Heading2"/>
      </w:pPr>
      <w:r>
        <w:t xml:space="preserve">6. Enforcement and review</w:t>
      </w:r>
    </w:p>
    <w:p>
      <w:pPr>
        <w:pStyle w:val="FirstParagraph"/>
      </w:pPr>
      <w:r>
        <w:t xml:space="preserve">Violations are handled under approved procedures and applicable law. This policy is reviewed at least</w:t>
      </w:r>
      <w:r>
        <w:t xml:space="preserve"> </w:t>
      </w:r>
      <w:r>
        <w:rPr>
          <w:rStyle w:val="VerbatimChar"/>
        </w:rPr>
        <w:t xml:space="preserve">[FREQUENCY]</w:t>
      </w:r>
      <w:r>
        <w:t xml:space="preserve"> </w:t>
      </w:r>
      <w:r>
        <w:t xml:space="preserve">and after material identity, technology, legal, or organizational change.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Alberto Al Leiva</dc:creator>
  <cp:keywords/>
  <dcterms:created xsi:type="dcterms:W3CDTF">2026-08-01T18:32:07Z</dcterms:created>
  <dcterms:modified xsi:type="dcterms:W3CDTF">2026-08-01T18:32:07Z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