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bookmarkStart w:id="33" w:name="X98410b0925197f576402eea010f91195cfab8b2"/>
    <w:p>
      <w:pPr>
        <w:pStyle w:val="Heading1"/>
      </w:pPr>
      <w:r>
        <w:t xml:space="preserve">Third-Party and Vendor Risk Policy Template</w:t>
      </w:r>
    </w:p>
    <w:p>
      <w:pPr>
        <w:pStyle w:val="BlockText"/>
      </w:pPr>
      <w:r>
        <w:t xml:space="preserve">Adapt procurement, competition, outsourcing, privacy, sector, sanctions, records, labor, financial, and contractual requirements before approval.</w:t>
      </w:r>
    </w:p>
    <w:bookmarkStart w:id="20" w:name="document-control"/>
    <w:p>
      <w:pPr>
        <w:pStyle w:val="Heading2"/>
      </w:pPr>
      <w:r>
        <w:t xml:space="preserve">Document control</w:t>
      </w:r>
    </w:p>
    <w:p>
      <w:pPr>
        <w:numPr>
          <w:ilvl w:val="0"/>
          <w:numId w:val="1001"/>
        </w:numPr>
        <w:pStyle w:val="Compact"/>
      </w:pPr>
      <w:r>
        <w:t xml:space="preserve">Policy ID:</w:t>
      </w:r>
      <w:r>
        <w:t xml:space="preserve"> </w:t>
      </w:r>
      <w:r>
        <w:rPr>
          <w:rStyle w:val="VerbatimChar"/>
        </w:rPr>
        <w:t xml:space="preserve">[POLICY ID]</w:t>
      </w:r>
    </w:p>
    <w:p>
      <w:pPr>
        <w:numPr>
          <w:ilvl w:val="0"/>
          <w:numId w:val="1001"/>
        </w:numPr>
        <w:pStyle w:val="Compact"/>
      </w:pPr>
      <w:r>
        <w:t xml:space="preserve">Owner:</w:t>
      </w:r>
      <w:r>
        <w:t xml:space="preserve"> </w:t>
      </w:r>
      <w:r>
        <w:rPr>
          <w:rStyle w:val="VerbatimChar"/>
        </w:rPr>
        <w:t xml:space="preserve">[POLICY OWNER]</w:t>
      </w:r>
    </w:p>
    <w:p>
      <w:pPr>
        <w:numPr>
          <w:ilvl w:val="0"/>
          <w:numId w:val="1001"/>
        </w:numPr>
        <w:pStyle w:val="Compact"/>
      </w:pPr>
      <w:r>
        <w:t xml:space="preserve">Approver:</w:t>
      </w:r>
      <w:r>
        <w:t xml:space="preserve"> </w:t>
      </w:r>
      <w:r>
        <w:rPr>
          <w:rStyle w:val="VerbatimChar"/>
        </w:rPr>
        <w:t xml:space="preserve">[APPROVING AUTHORITY]</w:t>
      </w:r>
    </w:p>
    <w:p>
      <w:pPr>
        <w:numPr>
          <w:ilvl w:val="0"/>
          <w:numId w:val="1001"/>
        </w:numPr>
        <w:pStyle w:val="Compact"/>
      </w:pPr>
      <w:r>
        <w:t xml:space="preserve">Effective date:</w:t>
      </w:r>
      <w:r>
        <w:t xml:space="preserve"> </w:t>
      </w:r>
      <w:r>
        <w:rPr>
          <w:rStyle w:val="VerbatimChar"/>
        </w:rPr>
        <w:t xml:space="preserve">[DATE]</w:t>
      </w:r>
    </w:p>
    <w:p>
      <w:pPr>
        <w:numPr>
          <w:ilvl w:val="0"/>
          <w:numId w:val="1001"/>
        </w:numPr>
        <w:pStyle w:val="Compact"/>
      </w:pPr>
      <w:r>
        <w:t xml:space="preserve">Review date:</w:t>
      </w:r>
      <w:r>
        <w:t xml:space="preserve"> </w:t>
      </w:r>
      <w:r>
        <w:rPr>
          <w:rStyle w:val="VerbatimChar"/>
        </w:rPr>
        <w:t xml:space="preserve">[DATE]</w:t>
      </w:r>
    </w:p>
    <w:bookmarkEnd w:id="20"/>
    <w:bookmarkStart w:id="21" w:name="purpose"/>
    <w:p>
      <w:pPr>
        <w:pStyle w:val="Heading2"/>
      </w:pPr>
      <w:r>
        <w:t xml:space="preserve">1. Purpose</w:t>
      </w:r>
    </w:p>
    <w:p>
      <w:pPr>
        <w:pStyle w:val="FirstParagraph"/>
      </w:pPr>
      <w:r>
        <w:t xml:space="preserve">This policy establishes requirements for identifying, assessing, approving, contracting, monitoring, changing, and terminating third-party relationships and associated supply-chain risks.</w:t>
      </w:r>
    </w:p>
    <w:bookmarkEnd w:id="21"/>
    <w:bookmarkStart w:id="22" w:name="scope"/>
    <w:p>
      <w:pPr>
        <w:pStyle w:val="Heading2"/>
      </w:pPr>
      <w:r>
        <w:t xml:space="preserve">2. Scope</w:t>
      </w:r>
    </w:p>
    <w:p>
      <w:pPr>
        <w:pStyle w:val="FirstParagraph"/>
      </w:pPr>
      <w:r>
        <w:t xml:space="preserve">Applies to</w:t>
      </w:r>
      <w:r>
        <w:t xml:space="preserve"> </w:t>
      </w:r>
      <w:r>
        <w:rPr>
          <w:rStyle w:val="VerbatimChar"/>
        </w:rPr>
        <w:t xml:space="preserve">[SUPPLIERS, CONTRACTORS, CONSULTANTS, CLOUD PROVIDERS, PROCESSORS, SUBPROCESSORS, OUTSOURCERS, PARTNERS, SOFTWARE, HARDWARE, DATA, AND OTHER THIRD PARTIES]</w:t>
      </w:r>
      <w:r>
        <w:t xml:space="preserve">.</w:t>
      </w:r>
    </w:p>
    <w:bookmarkEnd w:id="22"/>
    <w:bookmarkStart w:id="23" w:name="inventory-and-ownership"/>
    <w:p>
      <w:pPr>
        <w:pStyle w:val="Heading2"/>
      </w:pPr>
      <w:r>
        <w:t xml:space="preserve">3. Inventory and ownership</w:t>
      </w:r>
    </w:p>
    <w:p>
      <w:pPr>
        <w:pStyle w:val="FirstParagraph"/>
      </w:pPr>
      <w:r>
        <w:t xml:space="preserve">All in-scope relationships must be recorded in</w:t>
      </w:r>
      <w:r>
        <w:t xml:space="preserve"> </w:t>
      </w:r>
      <w:r>
        <w:rPr>
          <w:rStyle w:val="VerbatimChar"/>
        </w:rPr>
        <w:t xml:space="preserve">[AUTHORITATIVE REGISTER]</w:t>
      </w:r>
      <w:r>
        <w:t xml:space="preserve"> </w:t>
      </w:r>
      <w:r>
        <w:t xml:space="preserve">with a business owner, service description, data and system access, criticality, locations, subprocessors, contract dates, and exit dependencies.</w:t>
      </w:r>
    </w:p>
    <w:bookmarkEnd w:id="23"/>
    <w:bookmarkStart w:id="24" w:name="risk-classification"/>
    <w:p>
      <w:pPr>
        <w:pStyle w:val="Heading2"/>
      </w:pPr>
      <w:r>
        <w:t xml:space="preserve">4. Risk classification</w:t>
      </w:r>
    </w:p>
    <w:p>
      <w:pPr>
        <w:pStyle w:val="FirstParagraph"/>
      </w:pPr>
      <w:r>
        <w:t xml:space="preserve">Third parties must be tiered before commitment using criteria such as service criticality, information sensitivity, privileged access, operational dependency, concentration, financial exposure, geography, regulatory relevance, recoverability, and substitutability.</w:t>
      </w:r>
    </w:p>
    <w:bookmarkEnd w:id="24"/>
    <w:bookmarkStart w:id="25" w:name="due-diligence"/>
    <w:p>
      <w:pPr>
        <w:pStyle w:val="Heading2"/>
      </w:pPr>
      <w:r>
        <w:t xml:space="preserve">5. Due diligence</w:t>
      </w:r>
    </w:p>
    <w:p>
      <w:pPr>
        <w:pStyle w:val="FirstParagraph"/>
      </w:pPr>
      <w:r>
        <w:t xml:space="preserve">Due diligence must be proportionate to risk and may cover security, privacy, resilience, legal, compliance, financial, sanctions, insurance, ethics, accessibility, workforce, and fourth-party dependencies. Evidence limitations and unresolved findings must be documented.</w:t>
      </w:r>
    </w:p>
    <w:bookmarkEnd w:id="25"/>
    <w:bookmarkStart w:id="26" w:name="approval-and-risk-decisions"/>
    <w:p>
      <w:pPr>
        <w:pStyle w:val="Heading2"/>
      </w:pPr>
      <w:r>
        <w:t xml:space="preserve">6. Approval and risk decisions</w:t>
      </w:r>
    </w:p>
    <w:p>
      <w:pPr>
        <w:pStyle w:val="FirstParagraph"/>
      </w:pPr>
      <w:r>
        <w:t xml:space="preserve">The business owner, procurement, legal, privacy, security, compliance, and other required functions must approve according to</w:t>
      </w:r>
      <w:r>
        <w:t xml:space="preserve"> </w:t>
      </w:r>
      <w:r>
        <w:rPr>
          <w:rStyle w:val="VerbatimChar"/>
        </w:rPr>
        <w:t xml:space="preserve">[AUTHORITY MATRIX]</w:t>
      </w:r>
      <w:r>
        <w:t xml:space="preserve">. Residual risks and exceptions require accountable acceptance.</w:t>
      </w:r>
    </w:p>
    <w:bookmarkEnd w:id="26"/>
    <w:bookmarkStart w:id="27" w:name="contract-requirements"/>
    <w:p>
      <w:pPr>
        <w:pStyle w:val="Heading2"/>
      </w:pPr>
      <w:r>
        <w:t xml:space="preserve">7. Contract requirements</w:t>
      </w:r>
    </w:p>
    <w:p>
      <w:pPr>
        <w:pStyle w:val="FirstParagraph"/>
      </w:pPr>
      <w:r>
        <w:t xml:space="preserve">Contracts should address applicable requirements for security, privacy, confidentiality, use restrictions, audit and assurance, incident notification, cooperation, business continuity, subcontractors, location, data return or deletion, records, insurance, liability, termination, and transition.</w:t>
      </w:r>
    </w:p>
    <w:bookmarkEnd w:id="27"/>
    <w:bookmarkStart w:id="28" w:name="ongoing-monitoring"/>
    <w:p>
      <w:pPr>
        <w:pStyle w:val="Heading2"/>
      </w:pPr>
      <w:r>
        <w:t xml:space="preserve">8. Ongoing monitoring</w:t>
      </w:r>
    </w:p>
    <w:p>
      <w:pPr>
        <w:pStyle w:val="FirstParagraph"/>
      </w:pPr>
      <w:r>
        <w:t xml:space="preserve">Monitoring frequency and depth must reflect risk. Trigger reviews include incidents, control failures, material changes, acquisitions, financial deterioration, new subprocessors, location changes, regulatory action, and repeated service failures.</w:t>
      </w:r>
    </w:p>
    <w:bookmarkEnd w:id="28"/>
    <w:bookmarkStart w:id="29" w:name="access-and-data"/>
    <w:p>
      <w:pPr>
        <w:pStyle w:val="Heading2"/>
      </w:pPr>
      <w:r>
        <w:t xml:space="preserve">9. Access and data</w:t>
      </w:r>
    </w:p>
    <w:p>
      <w:pPr>
        <w:pStyle w:val="FirstParagraph"/>
      </w:pPr>
      <w:r>
        <w:t xml:space="preserve">Third-party access and data processing must be authorized, least-privileged, time-bound where possible, logged, reviewed, and revoked at termination. Data must be returned, transferred, retained, or securely deleted according to approved requirements.</w:t>
      </w:r>
    </w:p>
    <w:bookmarkEnd w:id="29"/>
    <w:bookmarkStart w:id="30" w:name="resilience-and-exit"/>
    <w:p>
      <w:pPr>
        <w:pStyle w:val="Heading2"/>
      </w:pPr>
      <w:r>
        <w:t xml:space="preserve">10. Resilience and exit</w:t>
      </w:r>
    </w:p>
    <w:p>
      <w:pPr>
        <w:pStyle w:val="FirstParagraph"/>
      </w:pPr>
      <w:r>
        <w:t xml:space="preserve">Critical relationships must have continuity, recovery, transition, and exit plans. Concentration, lock-in, knowledge transfer, data portability, and replacement lead time must be considered.</w:t>
      </w:r>
    </w:p>
    <w:bookmarkEnd w:id="30"/>
    <w:bookmarkStart w:id="31" w:name="records"/>
    <w:p>
      <w:pPr>
        <w:pStyle w:val="Heading2"/>
      </w:pPr>
      <w:r>
        <w:t xml:space="preserve">11. Records</w:t>
      </w:r>
    </w:p>
    <w:p>
      <w:pPr>
        <w:pStyle w:val="FirstParagraph"/>
      </w:pPr>
      <w:r>
        <w:t xml:space="preserve">Retain assessments, approvals, contracts, evidence, findings, monitoring, incidents, exceptions, termination, and deletion or return confirmation according to</w:t>
      </w:r>
      <w:r>
        <w:t xml:space="preserve"> </w:t>
      </w:r>
      <w:r>
        <w:rPr>
          <w:rStyle w:val="VerbatimChar"/>
        </w:rPr>
        <w:t xml:space="preserve">[RETENTION REQUIREMENT]</w:t>
      </w:r>
      <w:r>
        <w:t xml:space="preserve">.</w:t>
      </w:r>
    </w:p>
    <w:bookmarkEnd w:id="31"/>
    <w:bookmarkStart w:id="32" w:name="exceptions"/>
    <w:p>
      <w:pPr>
        <w:pStyle w:val="Heading2"/>
      </w:pPr>
      <w:r>
        <w:t xml:space="preserve">12. Exceptions</w:t>
      </w:r>
    </w:p>
    <w:p>
      <w:pPr>
        <w:pStyle w:val="FirstParagraph"/>
      </w:pPr>
      <w:r>
        <w:t xml:space="preserve">Exceptions require documented justification, risk, compensating controls, owner, duration, monitoring, and approval by</w:t>
      </w:r>
      <w:r>
        <w:t xml:space="preserve"> </w:t>
      </w:r>
      <w:r>
        <w:rPr>
          <w:rStyle w:val="VerbatimChar"/>
        </w:rPr>
        <w:t xml:space="preserve">[AUTHORITY]</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2026-08-01T18:32:08Z</dcterms:created>
  <dcterms:modified xsi:type="dcterms:W3CDTF">2026-08-01T18:32:08Z</dcterms:modified>
</cp:coreProperties>
</file>

<file path=docProps/custom.xml><?xml version="1.0" encoding="utf-8"?>
<Properties xmlns="http://schemas.openxmlformats.org/officeDocument/2006/custom-properties" xmlns:vt="http://schemas.openxmlformats.org/officeDocument/2006/docPropsVTypes"/>
</file>