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bookmarkStart w:id="33" w:name="change-management-policy-template"/>
    <w:p>
      <w:pPr>
        <w:pStyle w:val="Heading1"/>
      </w:pPr>
      <w:r>
        <w:t xml:space="preserve">Change Management Policy Template</w:t>
      </w:r>
    </w:p>
    <w:p>
      <w:pPr>
        <w:pStyle w:val="BlockText"/>
      </w:pPr>
      <w:r>
        <w:t xml:space="preserve">Adapt safety, regulated-system, software-development, operational-technology, segregation-of-duties, emergency-change, records, and customer requirements before approval.</w:t>
      </w:r>
    </w:p>
    <w:bookmarkStart w:id="20" w:name="document-control"/>
    <w:p>
      <w:pPr>
        <w:pStyle w:val="Heading2"/>
      </w:pPr>
      <w:r>
        <w:t xml:space="preserve">Document control</w:t>
      </w:r>
    </w:p>
    <w:p>
      <w:pPr>
        <w:numPr>
          <w:ilvl w:val="0"/>
          <w:numId w:val="1001"/>
        </w:numPr>
        <w:pStyle w:val="Compact"/>
      </w:pPr>
      <w:r>
        <w:t xml:space="preserve">Policy ID:</w:t>
      </w:r>
      <w:r>
        <w:t xml:space="preserve"> </w:t>
      </w:r>
      <w:r>
        <w:rPr>
          <w:rStyle w:val="VerbatimChar"/>
        </w:rPr>
        <w:t xml:space="preserve">[POLICY ID]</w:t>
      </w:r>
    </w:p>
    <w:p>
      <w:pPr>
        <w:numPr>
          <w:ilvl w:val="0"/>
          <w:numId w:val="1001"/>
        </w:numPr>
        <w:pStyle w:val="Compact"/>
      </w:pPr>
      <w:r>
        <w:t xml:space="preserve">Owner:</w:t>
      </w:r>
      <w:r>
        <w:t xml:space="preserve"> </w:t>
      </w:r>
      <w:r>
        <w:rPr>
          <w:rStyle w:val="VerbatimChar"/>
        </w:rPr>
        <w:t xml:space="preserve">[POLICY OWNER]</w:t>
      </w:r>
    </w:p>
    <w:p>
      <w:pPr>
        <w:numPr>
          <w:ilvl w:val="0"/>
          <w:numId w:val="1001"/>
        </w:numPr>
        <w:pStyle w:val="Compact"/>
      </w:pPr>
      <w:r>
        <w:t xml:space="preserve">Approver:</w:t>
      </w:r>
      <w:r>
        <w:t xml:space="preserve"> </w:t>
      </w:r>
      <w:r>
        <w:rPr>
          <w:rStyle w:val="VerbatimChar"/>
        </w:rPr>
        <w:t xml:space="preserve">[APPROVING AUTHORITY]</w:t>
      </w:r>
    </w:p>
    <w:p>
      <w:pPr>
        <w:numPr>
          <w:ilvl w:val="0"/>
          <w:numId w:val="1001"/>
        </w:numPr>
        <w:pStyle w:val="Compact"/>
      </w:pPr>
      <w:r>
        <w:t xml:space="preserve">Effective date:</w:t>
      </w:r>
      <w:r>
        <w:t xml:space="preserve"> </w:t>
      </w:r>
      <w:r>
        <w:rPr>
          <w:rStyle w:val="VerbatimChar"/>
        </w:rPr>
        <w:t xml:space="preserve">[DATE]</w:t>
      </w:r>
    </w:p>
    <w:p>
      <w:pPr>
        <w:numPr>
          <w:ilvl w:val="0"/>
          <w:numId w:val="1001"/>
        </w:numPr>
        <w:pStyle w:val="Compact"/>
      </w:pPr>
      <w:r>
        <w:t xml:space="preserve">Review date:</w:t>
      </w:r>
      <w:r>
        <w:t xml:space="preserve"> </w:t>
      </w:r>
      <w:r>
        <w:rPr>
          <w:rStyle w:val="VerbatimChar"/>
        </w:rPr>
        <w:t xml:space="preserve">[DATE]</w:t>
      </w:r>
    </w:p>
    <w:bookmarkEnd w:id="20"/>
    <w:bookmarkStart w:id="21" w:name="purpose"/>
    <w:p>
      <w:pPr>
        <w:pStyle w:val="Heading2"/>
      </w:pPr>
      <w:r>
        <w:t xml:space="preserve">1. Purpose</w:t>
      </w:r>
    </w:p>
    <w:p>
      <w:pPr>
        <w:pStyle w:val="FirstParagraph"/>
      </w:pPr>
      <w:r>
        <w:t xml:space="preserve">This policy establishes requirements for planning, assessing, authorizing, testing, implementing, documenting, reviewing, and reversing changes to</w:t>
      </w:r>
      <w:r>
        <w:t xml:space="preserve"> </w:t>
      </w:r>
      <w:r>
        <w:rPr>
          <w:rStyle w:val="VerbatimChar"/>
        </w:rPr>
        <w:t xml:space="preserve">[ORGANIZATION]</w:t>
      </w:r>
      <w:r>
        <w:t xml:space="preserve"> </w:t>
      </w:r>
      <w:r>
        <w:t xml:space="preserve">technology, information, services, facilities, configurations, and controlled processes.</w:t>
      </w:r>
    </w:p>
    <w:bookmarkEnd w:id="21"/>
    <w:bookmarkStart w:id="22" w:name="scope"/>
    <w:p>
      <w:pPr>
        <w:pStyle w:val="Heading2"/>
      </w:pPr>
      <w:r>
        <w:t xml:space="preserve">2. Scope</w:t>
      </w:r>
    </w:p>
    <w:p>
      <w:pPr>
        <w:pStyle w:val="FirstParagraph"/>
      </w:pPr>
      <w:r>
        <w:t xml:space="preserve">Applies to</w:t>
      </w:r>
      <w:r>
        <w:t xml:space="preserve"> </w:t>
      </w:r>
      <w:r>
        <w:rPr>
          <w:rStyle w:val="VerbatimChar"/>
        </w:rPr>
        <w:t xml:space="preserve">[APPLICATIONS, INFRASTRUCTURE, CLOUD, NETWORKS, SECURITY CONTROLS, DATA, OPERATIONAL TECHNOLOGY, FACILITIES, VENDORS, AND CONTROLLED BUSINESS PROCESSES]</w:t>
      </w:r>
      <w:r>
        <w:t xml:space="preserve">.</w:t>
      </w:r>
    </w:p>
    <w:bookmarkEnd w:id="22"/>
    <w:bookmarkStart w:id="23" w:name="change-categories"/>
    <w:p>
      <w:pPr>
        <w:pStyle w:val="Heading2"/>
      </w:pPr>
      <w:r>
        <w:t xml:space="preserve">3. Change categories</w:t>
      </w:r>
    </w:p>
    <w:p>
      <w:pPr>
        <w:pStyle w:val="FirstParagraph"/>
      </w:pPr>
      <w:r>
        <w:t xml:space="preserve">Changes must be classified as</w:t>
      </w:r>
      <w:r>
        <w:t xml:space="preserve"> </w:t>
      </w:r>
      <w:r>
        <w:rPr>
          <w:rStyle w:val="VerbatimChar"/>
        </w:rPr>
        <w:t xml:space="preserve">[STANDARD, NORMAL, EMERGENCY, MAJOR, OR OTHER APPROVED CATEGORIES]</w:t>
      </w:r>
      <w:r>
        <w:t xml:space="preserve"> </w:t>
      </w:r>
      <w:r>
        <w:t xml:space="preserve">using documented criteria. Classification must not be manipulated to avoid review.</w:t>
      </w:r>
    </w:p>
    <w:bookmarkEnd w:id="23"/>
    <w:bookmarkStart w:id="24" w:name="change-record"/>
    <w:p>
      <w:pPr>
        <w:pStyle w:val="Heading2"/>
      </w:pPr>
      <w:r>
        <w:t xml:space="preserve">4. Change record</w:t>
      </w:r>
    </w:p>
    <w:p>
      <w:pPr>
        <w:pStyle w:val="FirstParagraph"/>
      </w:pPr>
      <w:r>
        <w:t xml:space="preserve">Each non-exempt change must record:</w:t>
      </w:r>
    </w:p>
    <w:p>
      <w:pPr>
        <w:numPr>
          <w:ilvl w:val="0"/>
          <w:numId w:val="1002"/>
        </w:numPr>
        <w:pStyle w:val="Compact"/>
      </w:pPr>
      <w:r>
        <w:t xml:space="preserve">requester, owner, and implementer;</w:t>
      </w:r>
    </w:p>
    <w:p>
      <w:pPr>
        <w:numPr>
          <w:ilvl w:val="0"/>
          <w:numId w:val="1002"/>
        </w:numPr>
        <w:pStyle w:val="Compact"/>
      </w:pPr>
      <w:r>
        <w:t xml:space="preserve">business purpose and affected services;</w:t>
      </w:r>
    </w:p>
    <w:p>
      <w:pPr>
        <w:numPr>
          <w:ilvl w:val="0"/>
          <w:numId w:val="1002"/>
        </w:numPr>
        <w:pStyle w:val="Compact"/>
      </w:pPr>
      <w:r>
        <w:t xml:space="preserve">scope, dependencies, and schedule;</w:t>
      </w:r>
    </w:p>
    <w:p>
      <w:pPr>
        <w:numPr>
          <w:ilvl w:val="0"/>
          <w:numId w:val="1002"/>
        </w:numPr>
        <w:pStyle w:val="Compact"/>
      </w:pPr>
      <w:r>
        <w:t xml:space="preserve">security, privacy, resilience, data, customer, and regulatory impact;</w:t>
      </w:r>
    </w:p>
    <w:p>
      <w:pPr>
        <w:numPr>
          <w:ilvl w:val="0"/>
          <w:numId w:val="1002"/>
        </w:numPr>
        <w:pStyle w:val="Compact"/>
      </w:pPr>
      <w:r>
        <w:t xml:space="preserve">testing and acceptance criteria;</w:t>
      </w:r>
    </w:p>
    <w:p>
      <w:pPr>
        <w:numPr>
          <w:ilvl w:val="0"/>
          <w:numId w:val="1002"/>
        </w:numPr>
        <w:pStyle w:val="Compact"/>
      </w:pPr>
      <w:r>
        <w:t xml:space="preserve">implementation and rollback plan;</w:t>
      </w:r>
    </w:p>
    <w:p>
      <w:pPr>
        <w:numPr>
          <w:ilvl w:val="0"/>
          <w:numId w:val="1002"/>
        </w:numPr>
        <w:pStyle w:val="Compact"/>
      </w:pPr>
      <w:r>
        <w:t xml:space="preserve">approvals;</w:t>
      </w:r>
    </w:p>
    <w:p>
      <w:pPr>
        <w:numPr>
          <w:ilvl w:val="0"/>
          <w:numId w:val="1002"/>
        </w:numPr>
        <w:pStyle w:val="Compact"/>
      </w:pPr>
      <w:r>
        <w:t xml:space="preserve">communications;</w:t>
      </w:r>
    </w:p>
    <w:p>
      <w:pPr>
        <w:numPr>
          <w:ilvl w:val="0"/>
          <w:numId w:val="1002"/>
        </w:numPr>
        <w:pStyle w:val="Compact"/>
      </w:pPr>
      <w:r>
        <w:t xml:space="preserve">result, exceptions, and post-implementation review.</w:t>
      </w:r>
    </w:p>
    <w:bookmarkEnd w:id="24"/>
    <w:bookmarkStart w:id="25" w:name="risk-assessment-and-approval"/>
    <w:p>
      <w:pPr>
        <w:pStyle w:val="Heading2"/>
      </w:pPr>
      <w:r>
        <w:t xml:space="preserve">5. Risk assessment and approval</w:t>
      </w:r>
    </w:p>
    <w:p>
      <w:pPr>
        <w:pStyle w:val="FirstParagraph"/>
      </w:pPr>
      <w:r>
        <w:t xml:space="preserve">Review depth and approval authority must reflect risk, criticality, segregation of duties, and potential impact. Required reviewers may include business, technology, security, privacy, continuity, architecture, data, supplier, legal, and compliance functions.</w:t>
      </w:r>
    </w:p>
    <w:bookmarkEnd w:id="25"/>
    <w:bookmarkStart w:id="26" w:name="testing"/>
    <w:p>
      <w:pPr>
        <w:pStyle w:val="Heading2"/>
      </w:pPr>
      <w:r>
        <w:t xml:space="preserve">6. Testing</w:t>
      </w:r>
    </w:p>
    <w:p>
      <w:pPr>
        <w:pStyle w:val="FirstParagraph"/>
      </w:pPr>
      <w:r>
        <w:t xml:space="preserve">Changes must be tested in an appropriate environment before production unless an approved emergency process applies. Test data must be authorized and protected. Results and unresolved limitations must be documented.</w:t>
      </w:r>
    </w:p>
    <w:bookmarkEnd w:id="26"/>
    <w:bookmarkStart w:id="27" w:name="segregation-of-duties"/>
    <w:p>
      <w:pPr>
        <w:pStyle w:val="Heading2"/>
      </w:pPr>
      <w:r>
        <w:t xml:space="preserve">7. Segregation of duties</w:t>
      </w:r>
    </w:p>
    <w:p>
      <w:pPr>
        <w:pStyle w:val="FirstParagraph"/>
      </w:pPr>
      <w:r>
        <w:t xml:space="preserve">Development, approval, and production implementation responsibilities must be separated where feasible and proportionate to risk. Conflicts require monitoring and approval.</w:t>
      </w:r>
    </w:p>
    <w:bookmarkEnd w:id="27"/>
    <w:bookmarkStart w:id="28" w:name="emergency-changes"/>
    <w:p>
      <w:pPr>
        <w:pStyle w:val="Heading2"/>
      </w:pPr>
      <w:r>
        <w:t xml:space="preserve">8. Emergency changes</w:t>
      </w:r>
    </w:p>
    <w:p>
      <w:pPr>
        <w:pStyle w:val="FirstParagraph"/>
      </w:pPr>
      <w:r>
        <w:t xml:space="preserve">Emergency changes may use accelerated approval only to address urgent risk or service need. They must be documented, authorized by</w:t>
      </w:r>
      <w:r>
        <w:t xml:space="preserve"> </w:t>
      </w:r>
      <w:r>
        <w:rPr>
          <w:rStyle w:val="VerbatimChar"/>
        </w:rPr>
        <w:t xml:space="preserve">[EMERGENCY AUTHORITY]</w:t>
      </w:r>
      <w:r>
        <w:t xml:space="preserve">, monitored, and retrospectively reviewed within</w:t>
      </w:r>
      <w:r>
        <w:t xml:space="preserve"> </w:t>
      </w:r>
      <w:r>
        <w:rPr>
          <w:rStyle w:val="VerbatimChar"/>
        </w:rPr>
        <w:t xml:space="preserve">[TIMEFRAME]</w:t>
      </w:r>
      <w:r>
        <w:t xml:space="preserve">.</w:t>
      </w:r>
    </w:p>
    <w:bookmarkEnd w:id="28"/>
    <w:bookmarkStart w:id="29" w:name="standard-changes"/>
    <w:p>
      <w:pPr>
        <w:pStyle w:val="Heading2"/>
      </w:pPr>
      <w:r>
        <w:t xml:space="preserve">9. Standard changes</w:t>
      </w:r>
    </w:p>
    <w:p>
      <w:pPr>
        <w:pStyle w:val="FirstParagraph"/>
      </w:pPr>
      <w:r>
        <w:t xml:space="preserve">Pre-authorized standard changes must be low-risk, repeatable, documented, tested, monitored, and periodically reviewed. Failed or changed conditions require reclassification.</w:t>
      </w:r>
    </w:p>
    <w:bookmarkEnd w:id="29"/>
    <w:bookmarkStart w:id="30" w:name="post-implementation-review"/>
    <w:p>
      <w:pPr>
        <w:pStyle w:val="Heading2"/>
      </w:pPr>
      <w:r>
        <w:t xml:space="preserve">10. Post-implementation review</w:t>
      </w:r>
    </w:p>
    <w:p>
      <w:pPr>
        <w:pStyle w:val="FirstParagraph"/>
      </w:pPr>
      <w:r>
        <w:t xml:space="preserve">Major, failed, emergency, security-sensitive, or high-risk changes require review of results, incidents, rollback, control impact, documentation, and lessons.</w:t>
      </w:r>
    </w:p>
    <w:bookmarkEnd w:id="30"/>
    <w:bookmarkStart w:id="31" w:name="unauthorized-changes"/>
    <w:p>
      <w:pPr>
        <w:pStyle w:val="Heading2"/>
      </w:pPr>
      <w:r>
        <w:t xml:space="preserve">11. Unauthorized changes</w:t>
      </w:r>
    </w:p>
    <w:p>
      <w:pPr>
        <w:pStyle w:val="FirstParagraph"/>
      </w:pPr>
      <w:r>
        <w:t xml:space="preserve">Unauthorized or undocumented changes must be investigated, contained where necessary, reported, and addressed through corrective action.</w:t>
      </w:r>
    </w:p>
    <w:bookmarkEnd w:id="31"/>
    <w:bookmarkStart w:id="32" w:name="records-metrics-and-exceptions"/>
    <w:p>
      <w:pPr>
        <w:pStyle w:val="Heading2"/>
      </w:pPr>
      <w:r>
        <w:t xml:space="preserve">12. Records, metrics, and exceptions</w:t>
      </w:r>
    </w:p>
    <w:p>
      <w:pPr>
        <w:pStyle w:val="FirstParagraph"/>
      </w:pPr>
      <w:r>
        <w:t xml:space="preserve">Retain change records according to</w:t>
      </w:r>
      <w:r>
        <w:t xml:space="preserve"> </w:t>
      </w:r>
      <w:r>
        <w:rPr>
          <w:rStyle w:val="VerbatimChar"/>
        </w:rPr>
        <w:t xml:space="preserve">[RETENTION REQUIREMENT]</w:t>
      </w:r>
      <w:r>
        <w:t xml:space="preserve">. Monitor failed changes, emergency changes, unauthorized changes, rollback, incidents, and overdue reviews. Exceptions require documented risk, controls, duration, and approval by</w:t>
      </w:r>
      <w:r>
        <w:t xml:space="preserve"> </w:t>
      </w:r>
      <w:r>
        <w:rPr>
          <w:rStyle w:val="VerbatimChar"/>
        </w:rPr>
        <w:t xml:space="preserve">[AUTHORITY]</w:t>
      </w:r>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cp:keywords/>
  <dcterms:created xsi:type="dcterms:W3CDTF">2026-08-01T18:32:08Z</dcterms:created>
  <dcterms:modified xsi:type="dcterms:W3CDTF">2026-08-01T18:32:08Z</dcterms:modified>
</cp:coreProperties>
</file>

<file path=docProps/custom.xml><?xml version="1.0" encoding="utf-8"?>
<Properties xmlns="http://schemas.openxmlformats.org/officeDocument/2006/custom-properties" xmlns:vt="http://schemas.openxmlformats.org/officeDocument/2006/docPropsVTypes"/>
</file>