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Alberto Al Leiva</w:t>
      </w:r>
    </w:p>
    <w:bookmarkStart w:id="34" w:name="X1b155a956e8c2abc5992ee666b65d27947ce99f"/>
    <w:p>
      <w:pPr>
        <w:pStyle w:val="Heading1"/>
      </w:pPr>
      <w:r>
        <w:t xml:space="preserve">Vulnerability and Patch Management Policy Template</w:t>
      </w:r>
    </w:p>
    <w:p>
      <w:pPr>
        <w:pStyle w:val="BlockText"/>
      </w:pPr>
      <w:r>
        <w:t xml:space="preserve">Adapt product-safety, medical, industrial, operational-technology, cloud, supplier, contractual, end-of-life, and regulatory requirements before approval.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numPr>
          <w:ilvl w:val="0"/>
          <w:numId w:val="1001"/>
        </w:numPr>
        <w:pStyle w:val="Compact"/>
      </w:pPr>
      <w:r>
        <w:t xml:space="preserve">Policy ID:</w:t>
      </w:r>
      <w:r>
        <w:t xml:space="preserve"> </w:t>
      </w:r>
      <w:r>
        <w:rPr>
          <w:rStyle w:val="VerbatimChar"/>
        </w:rPr>
        <w:t xml:space="preserve">[POLICY ID]</w:t>
      </w:r>
    </w:p>
    <w:p>
      <w:pPr>
        <w:numPr>
          <w:ilvl w:val="0"/>
          <w:numId w:val="1001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[POLICY OWNER]</w:t>
      </w:r>
    </w:p>
    <w:p>
      <w:pPr>
        <w:numPr>
          <w:ilvl w:val="0"/>
          <w:numId w:val="1001"/>
        </w:numPr>
        <w:pStyle w:val="Compact"/>
      </w:pPr>
      <w:r>
        <w:t xml:space="preserve">Approver:</w:t>
      </w:r>
      <w:r>
        <w:t xml:space="preserve"> </w:t>
      </w:r>
      <w:r>
        <w:rPr>
          <w:rStyle w:val="VerbatimChar"/>
        </w:rPr>
        <w:t xml:space="preserve">[APPROVING AUTHORITY]</w:t>
      </w:r>
    </w:p>
    <w:p>
      <w:pPr>
        <w:numPr>
          <w:ilvl w:val="0"/>
          <w:numId w:val="1001"/>
        </w:numPr>
        <w:pStyle w:val="Compact"/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[DATE]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identifying, assessing, prioritizing, treating, validating, and reporting vulnerabilities and security updates affecting</w:t>
      </w:r>
      <w:r>
        <w:t xml:space="preserve"> </w:t>
      </w:r>
      <w:r>
        <w:rPr>
          <w:rStyle w:val="VerbatimChar"/>
        </w:rPr>
        <w:t xml:space="preserve">[ORGANIZATION]</w:t>
      </w:r>
      <w:r>
        <w:t xml:space="preserve"> </w:t>
      </w:r>
      <w:r>
        <w:t xml:space="preserve">assets and services.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rStyle w:val="VerbatimChar"/>
        </w:rPr>
        <w:t xml:space="preserve">[HARDWARE, SOFTWARE, FIRMWARE, CLOUD, APPLICATIONS, NETWORKS, ENDPOINTS, CONTAINERS, OPERATIONAL TECHNOLOGY, MOBILE, THIRD-PARTY SERVICES, AND INTERNET-FACING ASSETS]</w:t>
      </w:r>
      <w:r>
        <w:t xml:space="preserve">.</w:t>
      </w:r>
    </w:p>
    <w:bookmarkEnd w:id="22"/>
    <w:bookmarkStart w:id="23" w:name="asset-and-ownership-prerequisites"/>
    <w:p>
      <w:pPr>
        <w:pStyle w:val="Heading2"/>
      </w:pPr>
      <w:r>
        <w:t xml:space="preserve">3. Asset and ownership prerequisites</w:t>
      </w:r>
    </w:p>
    <w:p>
      <w:pPr>
        <w:pStyle w:val="FirstParagraph"/>
      </w:pPr>
      <w:r>
        <w:t xml:space="preserve">In-scope assets must be inventoried with owner, criticality, exposure, technology, support status, and business service. Unknown assets and ownership gaps must be reported and addressed.</w:t>
      </w:r>
    </w:p>
    <w:bookmarkEnd w:id="23"/>
    <w:bookmarkStart w:id="24" w:name="vulnerability-identification"/>
    <w:p>
      <w:pPr>
        <w:pStyle w:val="Heading2"/>
      </w:pPr>
      <w:r>
        <w:t xml:space="preserve">4. Vulnerability identification</w:t>
      </w:r>
    </w:p>
    <w:p>
      <w:pPr>
        <w:pStyle w:val="FirstParagraph"/>
      </w:pPr>
      <w:r>
        <w:rPr>
          <w:rStyle w:val="VerbatimChar"/>
        </w:rPr>
        <w:t xml:space="preserve">[ORGANIZATION]</w:t>
      </w:r>
      <w:r>
        <w:t xml:space="preserve"> </w:t>
      </w:r>
      <w:r>
        <w:t xml:space="preserve">must use approved sources and methods such as authenticated scanning, application testing, cloud assessment, supplier notifications, threat intelligence, configuration review, penetration testing, code analysis, and coordinated disclosure.</w:t>
      </w:r>
    </w:p>
    <w:p>
      <w:pPr>
        <w:pStyle w:val="BodyText"/>
      </w:pPr>
      <w:r>
        <w:t xml:space="preserve">Testing must be authorized, safely planned, and appropriate to the environment.</w:t>
      </w:r>
    </w:p>
    <w:bookmarkEnd w:id="24"/>
    <w:bookmarkStart w:id="25" w:name="prioritization"/>
    <w:p>
      <w:pPr>
        <w:pStyle w:val="Heading2"/>
      </w:pPr>
      <w:r>
        <w:t xml:space="preserve">5. Prioritization</w:t>
      </w:r>
    </w:p>
    <w:p>
      <w:pPr>
        <w:pStyle w:val="FirstParagraph"/>
      </w:pPr>
      <w:r>
        <w:t xml:space="preserve">Treatment priority must consider more than a technical score. Criteria include exploitation evidence, exposure, asset criticality, data, privilege, attack path, compensating controls, business impact, safety, recoverability, and supplier guidance.</w:t>
      </w:r>
    </w:p>
    <w:bookmarkEnd w:id="25"/>
    <w:bookmarkStart w:id="26" w:name="treatment-timeframes"/>
    <w:p>
      <w:pPr>
        <w:pStyle w:val="Heading2"/>
      </w:pPr>
      <w:r>
        <w:t xml:space="preserve">6. Treatment timeframes</w:t>
      </w:r>
    </w:p>
    <w:p>
      <w:pPr>
        <w:pStyle w:val="FirstParagraph"/>
      </w:pPr>
      <w:r>
        <w:t xml:space="preserve">Approved treatment targets are</w:t>
      </w:r>
      <w:r>
        <w:t xml:space="preserve"> </w:t>
      </w:r>
      <w:r>
        <w:rPr>
          <w:rStyle w:val="VerbatimChar"/>
        </w:rPr>
        <w:t xml:space="preserve">[DEFINE BY SEVERITY AND CONTEXT]</w:t>
      </w:r>
      <w:r>
        <w:t xml:space="preserve">. Timeframes begin at</w:t>
      </w:r>
      <w:r>
        <w:t xml:space="preserve"> </w:t>
      </w:r>
      <w:r>
        <w:rPr>
          <w:rStyle w:val="VerbatimChar"/>
        </w:rPr>
        <w:t xml:space="preserve">[DEFINED EVENT]</w:t>
      </w:r>
      <w:r>
        <w:t xml:space="preserve"> </w:t>
      </w:r>
      <w:r>
        <w:t xml:space="preserve">and may be shortened for active exploitation, internet exposure, critical services, or regulatory duties.</w:t>
      </w:r>
    </w:p>
    <w:bookmarkEnd w:id="26"/>
    <w:bookmarkStart w:id="27" w:name="treatment-options"/>
    <w:p>
      <w:pPr>
        <w:pStyle w:val="Heading2"/>
      </w:pPr>
      <w:r>
        <w:t xml:space="preserve">7. Treatment options</w:t>
      </w:r>
    </w:p>
    <w:p>
      <w:pPr>
        <w:pStyle w:val="FirstParagraph"/>
      </w:pPr>
      <w:r>
        <w:t xml:space="preserve">Treatment may include patching, configuration change, upgrade, removal, isolation, compensating control, service restriction, risk acceptance, or replacement. Decisions must address root exposure and be documented.</w:t>
      </w:r>
    </w:p>
    <w:bookmarkEnd w:id="27"/>
    <w:bookmarkStart w:id="28" w:name="testing-and-deployment"/>
    <w:p>
      <w:pPr>
        <w:pStyle w:val="Heading2"/>
      </w:pPr>
      <w:r>
        <w:t xml:space="preserve">8. Testing and deployment</w:t>
      </w:r>
    </w:p>
    <w:p>
      <w:pPr>
        <w:pStyle w:val="FirstParagraph"/>
      </w:pPr>
      <w:r>
        <w:t xml:space="preserve">Updates must be tested proportionate to risk and deployed through approved change management. Emergency treatment may use accelerated procedures. Rollback, backup, compatibility, and service continuity must be considered.</w:t>
      </w:r>
    </w:p>
    <w:bookmarkEnd w:id="28"/>
    <w:bookmarkStart w:id="29" w:name="exceptions-and-risk-acceptance"/>
    <w:p>
      <w:pPr>
        <w:pStyle w:val="Heading2"/>
      </w:pPr>
      <w:r>
        <w:t xml:space="preserve">9. Exceptions and risk acceptance</w:t>
      </w:r>
    </w:p>
    <w:p>
      <w:pPr>
        <w:pStyle w:val="FirstParagraph"/>
      </w:pPr>
      <w:r>
        <w:t xml:space="preserve">Missed treatment targets require documented risk, business and technical justification, interim controls, owner, expiration, monitoring, and approval by</w:t>
      </w:r>
      <w:r>
        <w:t xml:space="preserve"> </w:t>
      </w:r>
      <w:r>
        <w:rPr>
          <w:rStyle w:val="VerbatimChar"/>
        </w:rPr>
        <w:t xml:space="preserve">[AUTHORITY]</w:t>
      </w:r>
      <w:r>
        <w:t xml:space="preserve">. Repeated extensions require escalation.</w:t>
      </w:r>
    </w:p>
    <w:bookmarkEnd w:id="29"/>
    <w:bookmarkStart w:id="30" w:name="validation"/>
    <w:p>
      <w:pPr>
        <w:pStyle w:val="Heading2"/>
      </w:pPr>
      <w:r>
        <w:t xml:space="preserve">10. Validation</w:t>
      </w:r>
    </w:p>
    <w:p>
      <w:pPr>
        <w:pStyle w:val="FirstParagraph"/>
      </w:pPr>
      <w:r>
        <w:t xml:space="preserve">Closure requires evidence that the vulnerability is remediated or otherwise treated. Rescanning, configuration verification, version confirmation, or equivalent validation must be independent of unsupported owner assertion.</w:t>
      </w:r>
    </w:p>
    <w:bookmarkEnd w:id="30"/>
    <w:bookmarkStart w:id="31" w:name="suppliers-and-unsupported-technology"/>
    <w:p>
      <w:pPr>
        <w:pStyle w:val="Heading2"/>
      </w:pPr>
      <w:r>
        <w:t xml:space="preserve">11. Suppliers and unsupported technology</w:t>
      </w:r>
    </w:p>
    <w:p>
      <w:pPr>
        <w:pStyle w:val="FirstParagraph"/>
      </w:pPr>
      <w:r>
        <w:t xml:space="preserve">Supplier-managed vulnerabilities, end-of-life assets, and unavailable patches require documented coordination, contractual action, compensating controls, migration, and escalation.</w:t>
      </w:r>
    </w:p>
    <w:bookmarkEnd w:id="31"/>
    <w:bookmarkStart w:id="32" w:name="disclosure-and-reporting"/>
    <w:p>
      <w:pPr>
        <w:pStyle w:val="Heading2"/>
      </w:pPr>
      <w:r>
        <w:t xml:space="preserve">12. Disclosure and reporting</w:t>
      </w:r>
    </w:p>
    <w:p>
      <w:pPr>
        <w:pStyle w:val="FirstParagraph"/>
      </w:pPr>
      <w:r>
        <w:t xml:space="preserve">External vulnerability reports must follow</w:t>
      </w:r>
      <w:r>
        <w:t xml:space="preserve"> </w:t>
      </w:r>
      <w:r>
        <w:rPr>
          <w:rStyle w:val="VerbatimChar"/>
        </w:rPr>
        <w:t xml:space="preserve">[DISCLOSURE PROCESS]</w:t>
      </w:r>
      <w:r>
        <w:t xml:space="preserve">. Internal metrics must cover coverage, age, overdue exposure, active exploitation, exceptions, recurrence, unsupported assets, and validation failures.</w:t>
      </w:r>
    </w:p>
    <w:bookmarkEnd w:id="32"/>
    <w:bookmarkStart w:id="33" w:name="records-and-review"/>
    <w:p>
      <w:pPr>
        <w:pStyle w:val="Heading2"/>
      </w:pPr>
      <w:r>
        <w:t xml:space="preserve">13. Records and review</w:t>
      </w:r>
    </w:p>
    <w:p>
      <w:pPr>
        <w:pStyle w:val="FirstParagraph"/>
      </w:pPr>
      <w:r>
        <w:t xml:space="preserve">Retain inventories, scan results, tickets, approvals, exceptions, validation, supplier correspondence, and metrics according to</w:t>
      </w:r>
      <w:r>
        <w:t xml:space="preserve"> </w:t>
      </w:r>
      <w:r>
        <w:rPr>
          <w:rStyle w:val="VerbatimChar"/>
        </w:rPr>
        <w:t xml:space="preserve">[RETENTION REQUIREMENT]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Al Leiva</dc:creator>
  <cp:keywords/>
  <dcterms:created xsi:type="dcterms:W3CDTF">2026-08-01T18:32:08Z</dcterms:created>
  <dcterms:modified xsi:type="dcterms:W3CDTF">2026-08-01T18:32:08Z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