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51 — Governança, segurança e responsabilidade humana para IA agêntica</w:t>
      </w:r>
    </w:p>
    <w:p>
      <w:pPr>
        <w:spacing w:after="120"/>
      </w:pPr>
      <w:r>
        <w:t>Fonte controlada de publicação</w:t>
      </w:r>
    </w:p>
    <w:p>
      <w:pPr>
        <w:spacing w:after="120"/>
      </w:pPr>
      <w:r>
        <w:t>Linha de base de vigência: 1 de setembro de 2026</w:t>
      </w:r>
    </w:p>
    <w:p>
      <w:pPr>
        <w:spacing w:after="120"/>
      </w:pPr>
      <w:r>
        <w:t>Regra de status normativo: materiais da IMDA, NIST e OWASP são usados conforme seu status real; este manual não transforma orientação voluntária, rascunhos, documentos conceituais ou guias comunitários em lei ou certificação.</w:t>
      </w:r>
    </w:p>
    <w:p>
      <w:pPr>
        <w:pStyle w:val="Heading2"/>
      </w:pPr>
      <w:r>
        <w:t>Finalidade</w:t>
      </w:r>
    </w:p>
    <w:p>
      <w:pPr>
        <w:spacing w:after="120"/>
      </w:pPr>
      <w:r>
        <w:t>Este manual estabelece um modelo prático de governança e segurança para agentes de IA capazes de planejar, invocar ferramentas, acessar dados corporativos, manter memória, delegar a outros agentes e executar ações com consequências. O princípio central é governar a IA agêntica pelas consequências de suas ações, e não apenas pela qualidade do texto gerado.</w:t>
      </w:r>
    </w:p>
    <w:p>
      <w:pPr>
        <w:pStyle w:val="Heading2"/>
      </w:pPr>
      <w:r>
        <w:t>Linha de base das fontes</w:t>
      </w:r>
    </w:p>
    <w:p>
      <w:pPr>
        <w:pStyle w:val="ListBullet"/>
      </w:pPr>
      <w:r>
        <w:t>O Model AI Governance Framework for Agentic AI v1.0 da IMDA, publicado em 22 de janeiro de 2026, é tratado como orientação governamental para facilitar a responsabilidade humana.</w:t>
      </w:r>
    </w:p>
    <w:p>
      <w:pPr>
        <w:pStyle w:val="ListBullet"/>
      </w:pPr>
      <w:r>
        <w:t>NIST AI RMF 1.0 e NIST AI 600-1 permanecem orientação voluntária de gestão de riscos.</w:t>
      </w:r>
    </w:p>
    <w:p>
      <w:pPr>
        <w:pStyle w:val="ListBullet"/>
      </w:pPr>
      <w:r>
        <w:t>O documento conceitual do NIST de fevereiro de 2026 sobre identidade e autorização de agentes de software e IA continua conceitual, não um padrão obrigatório final.</w:t>
      </w:r>
    </w:p>
    <w:p>
      <w:pPr>
        <w:pStyle w:val="ListBullet"/>
      </w:pPr>
      <w:r>
        <w:t>A atualização pública do NIST de agosto de 2026 reforça identidades atribuíveis, privilégio mínimo e autorização robusta.</w:t>
      </w:r>
    </w:p>
    <w:p>
      <w:pPr>
        <w:pStyle w:val="ListBullet"/>
      </w:pPr>
      <w:r>
        <w:t>OWASP Top 10 for Agentic Applications 2026 e State of Agentic AI Security and Governance 2.01 são tratados como orientação comunitária de segurança.</w:t>
      </w:r>
    </w:p>
    <w:p>
      <w:pPr>
        <w:pStyle w:val="Heading2"/>
      </w:pPr>
      <w:r>
        <w:t>Arquitetura de controles agênticos</w:t>
      </w:r>
    </w:p>
    <w:p>
      <w:pPr>
        <w:pStyle w:val="Heading3"/>
      </w:pPr>
      <w:r>
        <w:t>AG-01 Identidade do agente</w:t>
      </w:r>
    </w:p>
    <w:p>
      <w:pPr>
        <w:spacing w:after="120"/>
      </w:pPr>
      <w:r>
        <w:t>Todo agente de produção com acesso a recursos corporativos deve possuir identidade atribuível, proprietário responsável, finalidade e ambiente registrados.</w:t>
      </w:r>
    </w:p>
    <w:p>
      <w:pPr>
        <w:pStyle w:val="Heading3"/>
      </w:pPr>
      <w:r>
        <w:t>AG-02 Autenticação e credenciais</w:t>
      </w:r>
    </w:p>
    <w:p>
      <w:pPr>
        <w:spacing w:after="120"/>
      </w:pPr>
      <w:r>
        <w:t>Agentes usam credenciais controladas; contas humanas compartilhadas, segredos embutidos e tokens de longa duração devem ser evitados sem controles compensatórios documentados.</w:t>
      </w:r>
    </w:p>
    <w:p>
      <w:pPr>
        <w:pStyle w:val="Heading3"/>
      </w:pPr>
      <w:r>
        <w:t>AG-03 Autorização e privilégio mínimo</w:t>
      </w:r>
    </w:p>
    <w:p>
      <w:pPr>
        <w:spacing w:after="120"/>
      </w:pPr>
      <w:r>
        <w:t>Conceder apenas ferramentas, dados e ações necessários ao caso de uso aprovado. A autorização deve ser aplicada por controles técnicos e não apenas por instruções em prompts.</w:t>
      </w:r>
    </w:p>
    <w:p>
      <w:pPr>
        <w:pStyle w:val="Heading3"/>
      </w:pPr>
      <w:r>
        <w:t>AG-04 Limites de capacidade e autonomia</w:t>
      </w:r>
    </w:p>
    <w:p>
      <w:pPr>
        <w:spacing w:after="120"/>
      </w:pPr>
      <w:r>
        <w:t>Documentar objetivos permitidos, ações, ferramentas, domínios de dados, limites transacionais, comunicação externa, execução de código e atividades proibidas.</w:t>
      </w:r>
    </w:p>
    <w:p>
      <w:pPr>
        <w:pStyle w:val="Heading3"/>
      </w:pPr>
      <w:r>
        <w:t>AG-05 Pontos humanos significativos</w:t>
      </w:r>
    </w:p>
    <w:p>
      <w:pPr>
        <w:spacing w:after="120"/>
      </w:pPr>
      <w:r>
        <w:t>Definir aprovação humana antes de ações legais, financeiras, de segurança, emprego, controle de acesso, comunicação externa ou ações irreversíveis. O aprovador deve poder rejeitar e o sistema deve impedir a execução após a rejeição.</w:t>
      </w:r>
    </w:p>
    <w:p>
      <w:pPr>
        <w:pStyle w:val="Heading3"/>
      </w:pPr>
      <w:r>
        <w:t>AG-06 Fronteiras de confiança de ferramentas, MCP e APIs</w:t>
      </w:r>
    </w:p>
    <w:p>
      <w:pPr>
        <w:spacing w:after="120"/>
      </w:pPr>
      <w:r>
        <w:t>Tratar ferramentas, servidores MCP, APIs, plugins e conectores como fronteiras de segurança com inventário, classificação de confiança, validação de esquema, escopos e listas permitidas.</w:t>
      </w:r>
    </w:p>
    <w:p>
      <w:pPr>
        <w:pStyle w:val="Heading3"/>
      </w:pPr>
      <w:r>
        <w:t>AG-07 Limites de dados e memória</w:t>
      </w:r>
    </w:p>
    <w:p>
      <w:pPr>
        <w:spacing w:after="120"/>
      </w:pPr>
      <w:r>
        <w:t>Controlar leitura, retenção, recuperação, escrita e divulgação em memória de sessão, memória persistente, RAG e serviços externos.</w:t>
      </w:r>
    </w:p>
    <w:p>
      <w:pPr>
        <w:pStyle w:val="Heading3"/>
      </w:pPr>
      <w:r>
        <w:t>AG-08 Integridade de instruções e prompts</w:t>
      </w:r>
    </w:p>
    <w:p>
      <w:pPr>
        <w:spacing w:after="120"/>
      </w:pPr>
      <w:r>
        <w:t>Separar instruções confiáveis de conteúdo não confiável, mitigar prompt injection indireta e validar argumentos antes de executar ferramentas.</w:t>
      </w:r>
    </w:p>
    <w:p>
      <w:pPr>
        <w:pStyle w:val="Heading3"/>
      </w:pPr>
      <w:r>
        <w:t>AG-09 Proveniência de ações</w:t>
      </w:r>
    </w:p>
    <w:p>
      <w:pPr>
        <w:spacing w:after="120"/>
      </w:pPr>
      <w:r>
        <w:t>Toda ação material deve ser reconstruível: solicitante/contexto, identidade e versão do agente, decisão de política, ferramenta, aprovação ou rejeição, resultado e efeito posterior.</w:t>
      </w:r>
    </w:p>
    <w:p>
      <w:pPr>
        <w:pStyle w:val="Heading3"/>
      </w:pPr>
      <w:r>
        <w:t>AG-10 Delegação multiagente</w:t>
      </w:r>
    </w:p>
    <w:p>
      <w:pPr>
        <w:spacing w:after="120"/>
      </w:pPr>
      <w:r>
        <w:t>Definir quais agentes podem delegar, qual autoridade é transferida e como memória, credenciais e ferramentas permanecem limitadas para evitar ampliação de privilégios.</w:t>
      </w:r>
    </w:p>
    <w:p>
      <w:pPr>
        <w:pStyle w:val="Heading3"/>
      </w:pPr>
      <w:r>
        <w:t>AG-11 Terceiros e provedores</w:t>
      </w:r>
    </w:p>
    <w:p>
      <w:pPr>
        <w:spacing w:after="120"/>
      </w:pPr>
      <w:r>
        <w:t>Avaliar modelos, agentes, plugins e ferramentas externos quanto a dados, permissões, mudanças, incidentes, continuidade, concentração e saída.</w:t>
      </w:r>
    </w:p>
    <w:p>
      <w:pPr>
        <w:pStyle w:val="Heading3"/>
      </w:pPr>
      <w:r>
        <w:t>AG-12 Monitoramento e anomalias</w:t>
      </w:r>
    </w:p>
    <w:p>
      <w:pPr>
        <w:spacing w:after="120"/>
      </w:pPr>
      <w:r>
        <w:t>Monitorar uso incomum de ferramentas, mudanças de privilégios, velocidade de ações, negações de política, delegação inesperada, acesso sensível e efeitos anômalos.</w:t>
      </w:r>
    </w:p>
    <w:p>
      <w:pPr>
        <w:pStyle w:val="Heading3"/>
      </w:pPr>
      <w:r>
        <w:t>AG-13 Contenção e capacidade de interrupção</w:t>
      </w:r>
    </w:p>
    <w:p>
      <w:pPr>
        <w:spacing w:after="120"/>
      </w:pPr>
      <w:r>
        <w:t>Fornecer e testar mecanismos para parar o agente, revogar credenciais, desabilitar ferramentas, isolar ambientes e evitar novas ações prejudiciais.</w:t>
      </w:r>
    </w:p>
    <w:p>
      <w:pPr>
        <w:pStyle w:val="Heading3"/>
      </w:pPr>
      <w:r>
        <w:t>AG-14 Resposta a incidentes</w:t>
      </w:r>
    </w:p>
    <w:p>
      <w:pPr>
        <w:spacing w:after="120"/>
      </w:pPr>
      <w:r>
        <w:t>Integrar incidentes agênticos ao processo corporativo, preservando instruções, identidades, rastros, chamadas de ferramentas, aprovações, versões e políticas.</w:t>
      </w:r>
    </w:p>
    <w:p>
      <w:pPr>
        <w:pStyle w:val="Heading3"/>
      </w:pPr>
      <w:r>
        <w:t>AG-15 Mudança e revalidação</w:t>
      </w:r>
    </w:p>
    <w:p>
      <w:pPr>
        <w:spacing w:after="120"/>
      </w:pPr>
      <w:r>
        <w:t>Mudanças materiais de modelo, instruções, ferramentas, permissões, autonomia, provedor, dados, RAG, memória, geografia ou finalidade exigem reavaliação e revalidação proporcional.</w:t>
      </w:r>
    </w:p>
    <w:p>
      <w:pPr>
        <w:pStyle w:val="Heading3"/>
      </w:pPr>
      <w:r>
        <w:t>AG-16 Testes e avaliação adversarial</w:t>
      </w:r>
    </w:p>
    <w:p>
      <w:pPr>
        <w:spacing w:after="120"/>
      </w:pPr>
      <w:r>
        <w:t>Testar uso não autorizado de ferramentas, prompt injection, escalonamento de privilégios, manipulação entre agentes, vazamento de dados, autonomia insegura, ferramenta falsa, memória contaminada e resposta de contenção.</w:t>
      </w:r>
    </w:p>
    <w:p>
      <w:pPr>
        <w:pStyle w:val="Heading3"/>
      </w:pPr>
      <w:r>
        <w:t>AG-17 Competência humana e viés de automação</w:t>
      </w:r>
    </w:p>
    <w:p>
      <w:pPr>
        <w:spacing w:after="120"/>
      </w:pPr>
      <w:r>
        <w:t>Pessoas supervisoras devem compreender limites, evidências e caminhos de escalonamento e manter julgamento independente quando houver responsabilidade humana.</w:t>
      </w:r>
    </w:p>
    <w:p>
      <w:pPr>
        <w:pStyle w:val="Heading3"/>
      </w:pPr>
      <w:r>
        <w:t>AG-18 Transparência ao usuário</w:t>
      </w:r>
    </w:p>
    <w:p>
      <w:pPr>
        <w:spacing w:after="120"/>
      </w:pPr>
      <w:r>
        <w:t>Quando aplicável, informar que há interação com um agente, sua função, limitações, ações possíveis e canais para contestar ou escalar problemas.</w:t>
      </w:r>
    </w:p>
    <w:p>
      <w:pPr>
        <w:pStyle w:val="Heading3"/>
      </w:pPr>
      <w:r>
        <w:t>AG-19 Governança e aceitação de risco</w:t>
      </w:r>
    </w:p>
    <w:p>
      <w:pPr>
        <w:spacing w:after="120"/>
      </w:pPr>
      <w:r>
        <w:t>Implantar, restringir, suspender ou retirar capacidades agênticas conforme risco documentado, testes, risco residual e aprovação responsável.</w:t>
      </w:r>
    </w:p>
    <w:p>
      <w:pPr>
        <w:pStyle w:val="Heading3"/>
      </w:pPr>
      <w:r>
        <w:t>AG-20 Auditabilidade e garantia contínua</w:t>
      </w:r>
    </w:p>
    <w:p>
      <w:pPr>
        <w:spacing w:after="120"/>
      </w:pPr>
      <w:r>
        <w:t>Manter evidência suficiente para verificar periodicamente a eficácia dos controles à medida que modelos, ferramentas, permissões e dependências evoluem.</w:t>
      </w:r>
    </w:p>
    <w:p>
      <w:pPr>
        <w:pStyle w:val="Heading2"/>
      </w:pPr>
      <w:r>
        <w:t>Classes de autonomia</w:t>
      </w:r>
    </w:p>
    <w:p>
      <w:pPr>
        <w:pStyle w:val="ListBullet"/>
      </w:pPr>
      <w:r>
        <w:t>**Classe A — somente observação:** recomendações sem efeito externo.</w:t>
      </w:r>
    </w:p>
    <w:p>
      <w:pPr>
        <w:pStyle w:val="ListBullet"/>
      </w:pPr>
      <w:r>
        <w:t>**Classe B — ação reversível e limitada:** autonomia dentro de limites técnicos e monitoramento contínuo.</w:t>
      </w:r>
    </w:p>
    <w:p>
      <w:pPr>
        <w:pStyle w:val="ListBullet"/>
      </w:pPr>
      <w:r>
        <w:t>**Classe C — ação material:** aprovação humana antes da execução, salvo política de emergência documentada.</w:t>
      </w:r>
    </w:p>
    <w:p>
      <w:pPr>
        <w:pStyle w:val="ListBullet"/>
      </w:pPr>
      <w:r>
        <w:t>**Classe D — ação irreversível ou de alto impacto:** controle duplo ou aprovação responsável designada, com evidência reforçada.</w:t>
      </w:r>
    </w:p>
    <w:p>
      <w:pPr>
        <w:pStyle w:val="Heading2"/>
      </w:pPr>
      <w:r>
        <w:t>Modelo de evidência</w:t>
      </w:r>
    </w:p>
    <w:p>
      <w:pPr>
        <w:spacing w:after="120"/>
      </w:pPr>
      <w:r>
        <w:t>A evidência mínima inclui inventário do agente; especificação dos limites de ação; desenho de identidade e autorização; lista permitida de ferramentas e dados; matriz de responsabilidade humana; proveniência de ações; avaliação de segurança; mudança/revalidação; monitoramento; teste de contenção; incidente; avaliação de terceiros; exceções e garantia independente.</w:t>
      </w:r>
    </w:p>
    <w:p>
      <w:pPr>
        <w:spacing w:after="120"/>
      </w:pPr>
      <w:r>
        <w:t>Cadeia mínima para ações consequenciais:</w:t>
      </w:r>
    </w:p>
    <w:p>
      <w:pPr>
        <w:spacing w:after="120"/>
      </w:pPr>
      <w:r>
        <w:t>solicitante/contexto → identidade/versão do agente → avaliação de autorização/política → ferramenta/ação solicitada → aprovação ou negação → resultado da execução → efeito posterior → monitoramento ou incidente</w:t>
      </w:r>
    </w:p>
    <w:p>
      <w:pPr>
        <w:pStyle w:val="Heading2"/>
      </w:pPr>
      <w:r>
        <w:t>Cenários práticos</w:t>
      </w:r>
    </w:p>
    <w:p>
      <w:pPr>
        <w:pStyle w:val="Heading3"/>
      </w:pPr>
      <w:r>
        <w:t>Agente de compras</w:t>
      </w:r>
    </w:p>
    <w:p>
      <w:pPr>
        <w:spacing w:after="120"/>
      </w:pPr>
      <w:r>
        <w:t>Pode consultar fornecedores aprovados e preparar solicitações, mas a execução é separada por escopo. Limites de valor e fornecedores não aprovados exigem autorização humana ou negação técnica.</w:t>
      </w:r>
    </w:p>
    <w:p>
      <w:pPr>
        <w:pStyle w:val="Heading3"/>
      </w:pPr>
      <w:r>
        <w:t>Cadeia multiagente de publicação</w:t>
      </w:r>
    </w:p>
    <w:p>
      <w:pPr>
        <w:spacing w:after="120"/>
      </w:pPr>
      <w:r>
        <w:t>Separar pesquisa, resumo, redação e publicação. Cada delegação deve ser atribuível e a publicação externa deve ficar atrás de uma fronteira controlada.</w:t>
      </w:r>
    </w:p>
    <w:p>
      <w:pPr>
        <w:pStyle w:val="Heading3"/>
      </w:pPr>
      <w:r>
        <w:t>Mudança de ferramenta de terceiro</w:t>
      </w:r>
    </w:p>
    <w:p>
      <w:pPr>
        <w:spacing w:after="120"/>
      </w:pPr>
      <w:r>
        <w:t>Mudanças de versão acionam revisão de esquema, reavaliação do fornecedor, testes de regressão e revalidação antes de aceitar permissões ou saídas ampliadas.</w:t>
      </w:r>
    </w:p>
    <w:p>
      <w:pPr>
        <w:pStyle w:val="Heading3"/>
      </w:pPr>
      <w:r>
        <w:t>Exportação proibida de dados</w:t>
      </w:r>
    </w:p>
    <w:p>
      <w:pPr>
        <w:spacing w:after="120"/>
      </w:pPr>
      <w:r>
        <w:t>Uma solicitação para enviar dados restritos a destino não aprovado deve ser bloqueada antes da execução da ferramenta, preservando identidade, regra, classificação, destino e resultado da investigação.</w:t>
      </w:r>
    </w:p>
    <w:p>
      <w:pPr>
        <w:pStyle w:val="Heading3"/>
      </w:pPr>
      <w:r>
        <w:t>Remediação autônoma de segurança</w:t>
      </w:r>
    </w:p>
    <w:p>
      <w:pPr>
        <w:spacing w:after="120"/>
      </w:pPr>
      <w:r>
        <w:t>Observar pode ser autônomo; contenção reversível pode ser limitada; revogações ou isolamento de alto impacto exigem aprovação mais forte conforme impacto e política de emergência.</w:t>
      </w:r>
    </w:p>
    <w:p>
      <w:pPr>
        <w:pStyle w:val="Heading3"/>
      </w:pPr>
      <w:r>
        <w:t>Deriva de privilégios</w:t>
      </w:r>
    </w:p>
    <w:p>
      <w:pPr>
        <w:spacing w:after="120"/>
      </w:pPr>
      <w:r>
        <w:t>Mudanças cumulativas de permissões são revistas como delta consolidado. Combinações tóxicas e nova autoridade de delegação acionam revalidação.</w:t>
      </w:r>
    </w:p>
    <w:p>
      <w:pPr>
        <w:pStyle w:val="Heading2"/>
      </w:pPr>
      <w:r>
        <w:t>Regra de responsabilidade humana</w:t>
      </w:r>
    </w:p>
    <w:p>
      <w:pPr>
        <w:spacing w:after="120"/>
      </w:pPr>
      <w:r>
        <w:t>Supervisão não é satisfeita apenas por inserir uma pessoa nominalmente no fluxo. O ponto de controle só é eficaz quando a pessoa é identificável, competente, informada, autorizada a rejeitar, recebe contexto suficiente e consegue tecnicamente impedir a ação antes do efeito relevante.</w:t>
      </w:r>
    </w:p>
    <w:p>
      <w:pPr>
        <w:pStyle w:val="Heading2"/>
      </w:pPr>
      <w:r>
        <w:t>Uso entre frameworks</w:t>
      </w:r>
    </w:p>
    <w:p>
      <w:pPr>
        <w:spacing w:after="120"/>
      </w:pPr>
      <w:r>
        <w:t>A IMDA oferece orientação de governança; o NIST oferece gestão de risco e considerações emergentes de identidade/autorização; a OWASP oferece ameaças e mitigações práticas. Podem apoiar o mesmo controle empresarial sem serem equivalentes. Nenhum mapeamento pode afirmar que adotar uma fonte comprova conformidade com outra.</w:t>
      </w:r>
    </w:p>
    <w:p>
      <w:pPr>
        <w:pStyle w:val="Heading2"/>
      </w:pPr>
      <w:r>
        <w:t>Gate de implantação</w:t>
      </w:r>
    </w:p>
    <w:p>
      <w:pPr>
        <w:spacing w:after="120"/>
      </w:pPr>
      <w:r>
        <w:t>Antes da produção, confirmar: finalidade e proprietário; inventário; classe de autonomia; identidade; privilégio mínimo; limites de ferramentas e dados; pontos humanos; proveniência; testes adversariais; teste de contenção; revisão de terceiros; monitoramento; resposta a incidentes; gatilhos de revalidação; decisão de risco residual; e retenção de evidências.</w:t>
      </w:r>
    </w:p>
    <w:p>
      <w:pPr>
        <w:pStyle w:val="Heading2"/>
      </w:pPr>
      <w:r>
        <w:t>Critério final de publicação</w:t>
      </w:r>
    </w:p>
    <w:p>
      <w:pPr>
        <w:spacing w:after="120"/>
      </w:pPr>
      <w:r>
        <w:t>O manual está pronto quando AG-01 a AG-20 aparecem nas fontes controladas trilíngues, seis artefatos DOCX/PDF são gerados, passam os testes de texto visível e renderização, hashes e tamanhos exatos são congelados, registros de publicação são reconciliados, a segurança dos workflows permanece limpa, o Manual 50 está publicado e não existe defeito substantivo ou técnico não resolvido.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