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p>
      <w:pPr>
        <w:pStyle w:val="BodyText"/>
      </w:pP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2"/>
    <w:bookmarkStart w:id="43"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3"/>
    <w:bookmarkStart w:id="44"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10"/>
        </w:numPr>
      </w:pPr>
      <w:r>
        <w:t xml:space="preserve">¿El Grupo de Implementación seleccionado sigue siendo apropiado para los datos sensibles, los servicios críticos, la exposición a amenazas, las obligaciones, la escala y las capacidades disponibles?</w:t>
      </w:r>
    </w:p>
    <w:p>
      <w:pPr>
        <w:numPr>
          <w:ilvl w:val="0"/>
          <w:numId w:val="1010"/>
        </w:numPr>
      </w:pPr>
      <w:r>
        <w:t xml:space="preserve">¿Las poblaciones fundamentales están completas, actualizadas, tienen un responsable y se concilian con fuentes independientes de descubrimiento?</w:t>
      </w:r>
    </w:p>
    <w:p>
      <w:pPr>
        <w:numPr>
          <w:ilvl w:val="0"/>
          <w:numId w:val="1010"/>
        </w:numPr>
      </w:pPr>
      <w:r>
        <w:t xml:space="preserve">¿Qué Salvaguardas de IG1 presentan cobertura incompleta, revisiones vencidas, datos de entrada poco fiables o excepciones recurrentes?</w:t>
      </w:r>
    </w:p>
    <w:p>
      <w:pPr>
        <w:numPr>
          <w:ilvl w:val="0"/>
          <w:numId w:val="1010"/>
        </w:numPr>
      </w:pPr>
      <w:r>
        <w:t xml:space="preserve">¿Se escalan el acceso administrativo, los sistemas expuestos externamente, el software sin soporte, las vulnerabilidades críticas y los fallos de recuperación?</w:t>
      </w:r>
    </w:p>
    <w:p>
      <w:pPr>
        <w:numPr>
          <w:ilvl w:val="0"/>
          <w:numId w:val="1010"/>
        </w:numPr>
      </w:pPr>
      <w:r>
        <w:t xml:space="preserve">¿Las alertas generan investigación y respuesta, o solo volumen en los tableros?</w:t>
      </w:r>
    </w:p>
    <w:p>
      <w:pPr>
        <w:numPr>
          <w:ilvl w:val="0"/>
          <w:numId w:val="1010"/>
        </w:numPr>
      </w:pPr>
      <w:r>
        <w:t xml:space="preserve">¿Se comprenden las responsabilidades de los proveedores de servicios, la evidencia, las obligaciones ante incidentes, los subcontratistas y los planes de salida?</w:t>
      </w:r>
    </w:p>
    <w:p>
      <w:pPr>
        <w:numPr>
          <w:ilvl w:val="0"/>
          <w:numId w:val="1010"/>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10"/>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4"/>
    <w:bookmarkStart w:id="46"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p>
      <w:pPr>
        <w:pStyle w:val="BodyText"/>
      </w:pP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5" w:name="trabajo-típico-de-nivel-junior"/>
    <w:p>
      <w:pPr>
        <w:pStyle w:val="Heading2"/>
      </w:pPr>
      <w:r>
        <w:t xml:space="preserve">26.1 Trabajo típico de nivel junior</w:t>
      </w:r>
    </w:p>
    <w:p>
      <w:pPr>
        <w:numPr>
          <w:ilvl w:val="0"/>
          <w:numId w:val="1011"/>
        </w:numPr>
      </w:pPr>
      <w:r>
        <w:t xml:space="preserve">Mantener inventarios de activos, software, datos, cuentas, sistemas de red, proveedores, aplicaciones, hallazgos y evidencia.</w:t>
      </w:r>
    </w:p>
    <w:p>
      <w:pPr>
        <w:numPr>
          <w:ilvl w:val="0"/>
          <w:numId w:val="1011"/>
        </w:numPr>
      </w:pPr>
      <w:r>
        <w:t xml:space="preserve">Recopilar evidencia sin alterar los registros fuente y validar la integridad de las poblaciones.</w:t>
      </w:r>
    </w:p>
    <w:p>
      <w:pPr>
        <w:numPr>
          <w:ilvl w:val="0"/>
          <w:numId w:val="1011"/>
        </w:numPr>
      </w:pPr>
      <w:r>
        <w:t xml:space="preserve">Mapear Salvaguardas con responsables, sistemas, procedimientos, configuraciones, evidencia, métricas, excepciones y acciones.</w:t>
      </w:r>
    </w:p>
    <w:p>
      <w:pPr>
        <w:numPr>
          <w:ilvl w:val="0"/>
          <w:numId w:val="1011"/>
        </w:numPr>
      </w:pPr>
      <w:r>
        <w:t xml:space="preserve">Ejecutar herramientas autorizadas de descubrimiento, configuración, vulnerabilidades, registros o seguridad de aplicaciones conforme a procedimientos aprobados.</w:t>
      </w:r>
    </w:p>
    <w:p>
      <w:pPr>
        <w:numPr>
          <w:ilvl w:val="0"/>
          <w:numId w:val="1011"/>
        </w:numPr>
      </w:pPr>
      <w:r>
        <w:t xml:space="preserve">Calcular métricas de cobertura y excepciones mediante la estructura oficial de evaluación.</w:t>
      </w:r>
    </w:p>
    <w:p>
      <w:pPr>
        <w:numPr>
          <w:ilvl w:val="0"/>
          <w:numId w:val="1011"/>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11"/>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5"/>
    <w:bookmarkEnd w:id="46"/>
    <w:bookmarkStart w:id="47"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12"/>
        </w:numPr>
      </w:pPr>
      <w:r>
        <w:t xml:space="preserve">Cree una empresa ficticia de 50 personas con portátiles, servidores, servicios en la nube, una aplicación web, personal remoto y cinco proveedores.</w:t>
      </w:r>
    </w:p>
    <w:p>
      <w:pPr>
        <w:numPr>
          <w:ilvl w:val="0"/>
          <w:numId w:val="1012"/>
        </w:numPr>
      </w:pPr>
      <w:r>
        <w:t xml:space="preserve">Seleccione IG1 y documente tres adiciones basadas en riesgos provenientes de IG2 o IG3.</w:t>
      </w:r>
    </w:p>
    <w:p>
      <w:pPr>
        <w:numPr>
          <w:ilvl w:val="0"/>
          <w:numId w:val="1012"/>
        </w:numPr>
      </w:pPr>
      <w:r>
        <w:t xml:space="preserve">Cree inventarios de activos empresariales, software, datos, cuentas, sistemas de autenticación, red, proveedores, aplicaciones y fuentes de registros.</w:t>
      </w:r>
    </w:p>
    <w:p>
      <w:pPr>
        <w:numPr>
          <w:ilvl w:val="0"/>
          <w:numId w:val="1012"/>
        </w:numPr>
      </w:pPr>
      <w:r>
        <w:t xml:space="preserve">Utilice Nmap y osquery en un laboratorio aislado para conciliar los inventarios de activos y software.</w:t>
      </w:r>
    </w:p>
    <w:p>
      <w:pPr>
        <w:numPr>
          <w:ilvl w:val="0"/>
          <w:numId w:val="1012"/>
        </w:numPr>
      </w:pPr>
      <w:r>
        <w:t xml:space="preserve">Utilice OpenSCAP o Lynis en un equipo de laboratorio; documente hallazgos de configuración, excepciones, correcciones y reevaluación.</w:t>
      </w:r>
    </w:p>
    <w:p>
      <w:pPr>
        <w:numPr>
          <w:ilvl w:val="0"/>
          <w:numId w:val="1012"/>
        </w:numPr>
      </w:pPr>
      <w:r>
        <w:t xml:space="preserve">Utilice Greenbone en objetivos de laboratorio aprobados; valide la cobertura, los hallazgos, la remediación y el nuevo escaneo.</w:t>
      </w:r>
    </w:p>
    <w:p>
      <w:pPr>
        <w:numPr>
          <w:ilvl w:val="0"/>
          <w:numId w:val="1012"/>
        </w:numPr>
      </w:pPr>
      <w:r>
        <w:t xml:space="preserve">Utilice Wazuh o Suricata para generar e investigar una alerta de prueba segura.</w:t>
      </w:r>
    </w:p>
    <w:p>
      <w:pPr>
        <w:numPr>
          <w:ilvl w:val="0"/>
          <w:numId w:val="1012"/>
        </w:numPr>
      </w:pPr>
      <w:r>
        <w:t xml:space="preserve">Utilice Trivy o ZAP sobre un repositorio o una aplicación de capacitación y registre la corrección y la repetición de pruebas.</w:t>
      </w:r>
    </w:p>
    <w:p>
      <w:pPr>
        <w:numPr>
          <w:ilvl w:val="0"/>
          <w:numId w:val="1012"/>
        </w:numPr>
      </w:pPr>
      <w:r>
        <w:t xml:space="preserve">Redacte una prueba de restauración de copias de seguridad y un registro de ejercicio de mesa para incidentes.</w:t>
      </w:r>
    </w:p>
    <w:p>
      <w:pPr>
        <w:numPr>
          <w:ilvl w:val="0"/>
          <w:numId w:val="1012"/>
        </w:numPr>
      </w:pPr>
      <w:r>
        <w:t xml:space="preserve">Cree cinco documentos de trabajo basados en la Especificación para la Evaluación de Controles CIS, con entradas, operaciones, medidas, métricas, listas de excepciones y conclusiones.</w:t>
      </w:r>
    </w:p>
    <w:p>
      <w:pPr>
        <w:numPr>
          <w:ilvl w:val="0"/>
          <w:numId w:val="1012"/>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47"/>
    <w:bookmarkStart w:id="48"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48"/>
    <w:bookmarkStart w:id="57"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49"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9"/>
    <w:bookmarkStart w:id="50"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0"/>
    <w:bookmarkStart w:id="51"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1"/>
    <w:bookmarkStart w:id="52"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2"/>
    <w:bookmarkStart w:id="53"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3"/>
    <w:bookmarkStart w:id="54"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4"/>
    <w:bookmarkStart w:id="55"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5"/>
    <w:bookmarkStart w:id="56"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6"/>
    <w:bookmarkEnd w:id="57"/>
    <w:bookmarkStart w:id="67" w:name="plantillas-glosario-índice-y-referencias"/>
    <w:p>
      <w:pPr>
        <w:pStyle w:val="Heading1"/>
      </w:pPr>
      <w:r>
        <w:t xml:space="preserve">30. Plantillas, Glosario, Índice y Referencias</w:t>
      </w:r>
    </w:p>
    <w:p>
      <w:pPr>
        <w:numPr>
          <w:ilvl w:val="0"/>
          <w:numId w:val="1013"/>
        </w:numPr>
        <w:pStyle w:val="Compact"/>
      </w:pPr>
      <w:r>
        <w:t xml:space="preserve">Estructuras de trabajo reutilizables, términos importantes y puntos de partida autorizados.*</w:t>
      </w:r>
    </w:p>
    <w:bookmarkStart w:id="58"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8"/>
    <w:bookmarkStart w:id="59"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9"/>
    <w:bookmarkStart w:id="60"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0"/>
    <w:bookmarkStart w:id="61"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1"/>
    <w:bookmarkStart w:id="66"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2">
        <w:r>
          <w:rPr>
            <w:rStyle w:val="Hyperlink"/>
          </w:rPr>
          <w:t xml:space="preserve">Nota de Controles CIS</w:t>
        </w:r>
      </w:hyperlink>
    </w:p>
    <w:p>
      <w:pPr>
        <w:pStyle w:val="BodyText"/>
      </w:pPr>
      <w:r>
        <w:t xml:space="preserve">[ ]](https://www.cisecurity.org/controls/implementation-groups)</w:t>
      </w:r>
    </w:p>
    <w:p>
      <w:pPr>
        <w:pStyle w:val="BodyText"/>
      </w:pPr>
      <w:hyperlink r:id="rId63">
        <w:r>
          <w:rPr>
            <w:rStyle w:val="Hyperlink"/>
          </w:rPr>
          <w:t xml:space="preserve">Seguido</w:t>
        </w:r>
      </w:hyperlink>
    </w:p>
    <w:p>
      <w:pPr>
        <w:pStyle w:val="BodyText"/>
      </w:pPr>
      <w:hyperlink r:id="rId64">
        <w:r>
          <w:rPr>
            <w:rStyle w:val="Hyperlink"/>
          </w:rPr>
          <w:t xml:space="preserve">Seguido</w:t>
        </w:r>
      </w:hyperlink>
    </w:p>
    <w:p>
      <w:pPr>
        <w:pStyle w:val="BodyText"/>
      </w:pPr>
      <w:hyperlink r:id="rId65">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4" Target="https://cas.docs.cisecurity.org/en/latest/" TargetMode="External" /><Relationship Type="http://schemas.openxmlformats.org/officeDocument/2006/relationships/hyperlink" Id="rId63" Target="https://www.cisecurity.org/controls/cis-controls-assessment-specification" TargetMode="External" /><Relationship Type="http://schemas.openxmlformats.org/officeDocument/2006/relationships/hyperlink" Id="rId62" Target="https://www.cisecurity.org/controls/cis-controls-list" TargetMode="External" /><Relationship Type="http://schemas.openxmlformats.org/officeDocument/2006/relationships/hyperlink" Id="rId65"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4" Target="https://cas.docs.cisecurity.org/en/latest/" TargetMode="External" /><Relationship Type="http://schemas.openxmlformats.org/officeDocument/2006/relationships/hyperlink" Id="rId63" Target="https://www.cisecurity.org/controls/cis-controls-assessment-specification" TargetMode="External" /><Relationship Type="http://schemas.openxmlformats.org/officeDocument/2006/relationships/hyperlink" Id="rId62" Target="https://www.cisecurity.org/controls/cis-controls-list" TargetMode="External" /><Relationship Type="http://schemas.openxmlformats.org/officeDocument/2006/relationships/hyperlink" Id="rId65"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2026-07-31T00:16:06Z</dcterms:created>
  <dcterms:modified xsi:type="dcterms:W3CDTF">2026-07-31T00:16:06Z</dcterms:modified>
</cp:coreProperties>
</file>

<file path=docProps/custom.xml><?xml version="1.0" encoding="utf-8"?>
<Properties xmlns="http://schemas.openxmlformats.org/officeDocument/2006/custom-properties" xmlns:vt="http://schemas.openxmlformats.org/officeDocument/2006/docPropsVTypes"/>
</file>