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28" w:name="nist-csf-2.0-foundations"/>
    <w:p>
      <w:pPr>
        <w:pStyle w:val="Heading1"/>
      </w:pPr>
      <w:r>
        <w:t xml:space="preserve">1. NIST CSF 2.0 Foundations</w:t>
      </w:r>
    </w:p>
    <w:p>
      <w:pPr>
        <w:pStyle w:val="FirstParagraph"/>
      </w:pPr>
      <w:r>
        <w:rPr>
          <w:iCs/>
          <w:i/>
        </w:rPr>
        <w:t xml:space="preserve">Qué marco es, qué cambió, y lo que no reclama.</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Govern, Identificar, Proteger, Detectar, Responder y Recuperar el trabajo como un sistema conectado.</w:t>
      </w:r>
      <w:r>
        <w:t xml:space="preserve">”</w:t>
      </w:r>
      <w:r>
        <w:t xml:space="preserve"> </w:t>
      </w:r>
      <w:r>
        <w:t xml:space="preserve">/</w:t>
      </w:r>
    </w:p>
    <w:p>
      <w:pPr>
        <w:pStyle w:val="BodyText"/>
      </w:pPr>
      <w:r>
        <w:t xml:space="preserve">Figura 1. Las seis funciones NIST CSF 2.0</w:t>
      </w:r>
    </w:p>
    <w:bookmarkStart w:id="25"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5"/>
    <w:bookmarkStart w:id="26"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6"/>
    <w:bookmarkStart w:id="27"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27"/>
    <w:bookmarkEnd w:id="28"/>
    <w:bookmarkStart w:id="51"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p>
      <w:pPr>
        <w:pStyle w:val="BodyText"/>
      </w:pPr>
      <w:r>
        <w:t xml:space="preserve">■img src=</w:t>
      </w:r>
      <w:r>
        <w:t xml:space="preserve">“</w:t>
      </w:r>
      <w:r>
        <w:t xml:space="preserve">media/image2.png</w:t>
      </w:r>
      <w:r>
        <w:t xml:space="preserve">”</w:t>
      </w:r>
      <w:r>
        <w:t xml:space="preserve"> </w:t>
      </w:r>
      <w:r>
        <w:t xml:space="preserve">style=</w:t>
      </w:r>
      <w:r>
        <w:t xml:space="preserve">“</w:t>
      </w:r>
      <w:r>
        <w:t xml:space="preserve">width:6.15in;height:2.6593in</w:t>
      </w:r>
      <w:r>
        <w:t xml:space="preserve">”</w:t>
      </w:r>
      <w:r>
        <w:t xml:space="preserve"> </w:t>
      </w:r>
      <w:r>
        <w:t xml:space="preserve">alt=</w:t>
      </w:r>
      <w:r>
        <w:t xml:space="preserve">“</w:t>
      </w:r>
      <w:r>
        <w:t xml:space="preserve">Las fusiones contienen Categorías, que contienen Subcategorías específicas centradas en el resultado.</w:t>
      </w:r>
      <w:r>
        <w:t xml:space="preserve">”</w:t>
      </w:r>
      <w:r>
        <w:t xml:space="preserve"> </w:t>
      </w:r>
      <w:r>
        <w:t xml:space="preserve">/</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29"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29"/>
    <w:bookmarkStart w:id="30"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0"/>
    <w:bookmarkStart w:id="31"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1"/>
    <w:bookmarkStart w:id="32"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2"/>
    <w:bookmarkStart w:id="33"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3"/>
    <w:bookmarkStart w:id="34"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34"/>
    <w:bookmarkStart w:id="35"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37"/>
    <w:bookmarkStart w:id="38"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0"/>
    <w:bookmarkStart w:id="41"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2"/>
    <w:bookmarkStart w:id="43"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3"/>
    <w:bookmarkStart w:id="44"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44"/>
    <w:bookmarkStart w:id="45"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48"/>
    <w:bookmarkStart w:id="49"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0"/>
    <w:bookmarkEnd w:id="51"/>
    <w:bookmarkStart w:id="55"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A Target Profile es útil cuando sus brechas se convierten en acción de propiedad, financiada y basada en el riesgo.</w:t>
      </w:r>
      <w:r>
        <w:t xml:space="preserve">”</w:t>
      </w:r>
    </w:p>
    <w:p>
      <w:pPr>
        <w:pStyle w:val="BodyText"/>
      </w:pPr>
      <w:r>
        <w:t xml:space="preserve">Gráfico 3 Perfil actual del plan de acción</w:t>
      </w:r>
    </w:p>
    <w:bookmarkStart w:id="52"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52"/>
    <w:bookmarkStart w:id="53"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53"/>
    <w:bookmarkStart w:id="54"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54"/>
    <w:bookmarkEnd w:id="55"/>
    <w:bookmarkStart w:id="56"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56"/>
    <w:bookmarkStart w:id="59"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57"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57"/>
    <w:bookmarkStart w:id="58"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p>
      <w:pPr>
        <w:pStyle w:val="FirstParagraph"/>
      </w:pPr>
      <w:r>
        <w:t xml:space="preserve">יimg src=</w:t>
      </w:r>
      <w:r>
        <w:t xml:space="preserve">“</w:t>
      </w:r>
      <w:r>
        <w:t xml:space="preserve">media/image5.png</w:t>
      </w:r>
      <w:r>
        <w:t xml:space="preserve">”</w:t>
      </w:r>
      <w:r>
        <w:t xml:space="preserve"> </w:t>
      </w:r>
      <w:r>
        <w:t xml:space="preserve">style=</w:t>
      </w:r>
      <w:r>
        <w:t xml:space="preserve">“</w:t>
      </w:r>
      <w:r>
        <w:t xml:space="preserve">width:6.15in;height:3.21373in</w:t>
      </w:r>
      <w:r>
        <w:t xml:space="preserve">”</w:t>
      </w:r>
      <w:r>
        <w:t xml:space="preserve"> </w:t>
      </w:r>
      <w:r>
        <w:t xml:space="preserve">alt=</w:t>
      </w:r>
      <w:r>
        <w:t xml:space="preserve">“</w:t>
      </w:r>
      <w:r>
        <w:t xml:space="preserve">Plan, select, contract, monitor, y salida con responsabilidades de seguridad definidas</w:t>
      </w:r>
      <w:r>
        <w:t xml:space="preserve">”</w:t>
      </w:r>
      <w:r>
        <w:t xml:space="preserve">.</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58"/>
    <w:bookmarkEnd w:id="59"/>
    <w:bookmarkStart w:id="61"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60"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60"/>
    <w:bookmarkEnd w:id="61"/>
    <w:bookmarkStart w:id="101"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62"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62"/>
    <w:bookmarkStart w:id="63"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Autorización, validación, acción correctiva, y retesting convierten la producción técnica en evidencia útil.</w:t>
      </w:r>
      <w:r>
        <w:t xml:space="preserve">”</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63"/>
    <w:bookmarkStart w:id="64"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64"/>
    <w:bookmarkStart w:id="66"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65"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65"/>
    <w:bookmarkEnd w:id="66"/>
    <w:bookmarkStart w:id="67"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67"/>
    <w:bookmarkStart w:id="69"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68"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68"/>
    <w:bookmarkEnd w:id="69"/>
    <w:bookmarkStart w:id="70"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0"/>
    <w:bookmarkStart w:id="72"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71"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71"/>
    <w:bookmarkEnd w:id="72"/>
    <w:bookmarkStart w:id="73"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3"/>
    <w:bookmarkStart w:id="75"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74"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74"/>
    <w:bookmarkEnd w:id="75"/>
    <w:bookmarkStart w:id="76"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6"/>
    <w:bookmarkStart w:id="78"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77"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77"/>
    <w:bookmarkEnd w:id="78"/>
    <w:bookmarkStart w:id="79"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9"/>
    <w:bookmarkStart w:id="81"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80"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80"/>
    <w:bookmarkEnd w:id="81"/>
    <w:bookmarkStart w:id="82"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83"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83"/>
    <w:bookmarkEnd w:id="84"/>
    <w:bookmarkStart w:id="85"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86"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86"/>
    <w:bookmarkEnd w:id="87"/>
    <w:bookmarkStart w:id="88"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89"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89"/>
    <w:bookmarkEnd w:id="90"/>
    <w:bookmarkStart w:id="92"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91"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91"/>
    <w:bookmarkEnd w:id="92"/>
    <w:bookmarkStart w:id="93"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3"/>
    <w:bookmarkStart w:id="95"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94"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94"/>
    <w:bookmarkEnd w:id="95"/>
    <w:bookmarkStart w:id="96"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6"/>
    <w:bookmarkStart w:id="98"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97"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97"/>
    <w:bookmarkEnd w:id="98"/>
    <w:bookmarkStart w:id="99"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9"/>
    <w:bookmarkStart w:id="100"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00"/>
    <w:bookmarkEnd w:id="101"/>
    <w:bookmarkStart w:id="105"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02"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02"/>
    <w:bookmarkStart w:id="103"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03"/>
    <w:bookmarkStart w:id="104"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04"/>
    <w:bookmarkEnd w:id="105"/>
    <w:bookmarkStart w:id="126"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Ancho:6.15in; Altura:3.20335in</w:t>
      </w:r>
      <w:r>
        <w:t xml:space="preserve">”</w:t>
      </w:r>
      <w:r>
        <w:t xml:space="preserve"> </w:t>
      </w:r>
      <w:r>
        <w:t xml:space="preserve">alt=</w:t>
      </w:r>
      <w:r>
        <w:t xml:space="preserve">“</w:t>
      </w:r>
      <w:r>
        <w:t xml:space="preserve">Aprender, mapa, test, reportar y aplicar con evidencia de cartera honesta.</w:t>
      </w:r>
      <w:r>
        <w:t xml:space="preserve">”</w:t>
      </w:r>
      <w:r>
        <w:t xml:space="preserve"> </w:t>
      </w:r>
      <w:r>
        <w:t xml:space="preserve">/</w:t>
      </w:r>
    </w:p>
    <w:p>
      <w:pPr>
        <w:pStyle w:val="BodyText"/>
      </w:pPr>
      <w:r>
        <w:t xml:space="preserve">Figura 8. Vía de analista junior</w:t>
      </w:r>
    </w:p>
    <w:bookmarkStart w:id="106"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06"/>
    <w:bookmarkStart w:id="107"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07"/>
    <w:bookmarkStart w:id="108"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08"/>
    <w:bookmarkStart w:id="109"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09"/>
    <w:bookmarkStart w:id="110"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10"/>
    <w:bookmarkStart w:id="111" w:name="project-4-profiles"/>
    <w:p>
      <w:pPr>
        <w:pStyle w:val="Heading2"/>
      </w:pPr>
      <w:r>
        <w:t xml:space="preserve">Project 4 — Profiles</w:t>
      </w:r>
    </w:p>
    <w:p>
      <w:pPr>
        <w:pStyle w:val="FirstParagraph"/>
      </w:pPr>
      <w:r>
        <w:t xml:space="preserve">Cree perfiles de objetivos actuales y basados en riesgos.</w:t>
      </w:r>
    </w:p>
    <w:bookmarkEnd w:id="111"/>
    <w:bookmarkStart w:id="112"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12"/>
    <w:bookmarkStart w:id="113"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13"/>
    <w:bookmarkStart w:id="114"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14"/>
    <w:bookmarkStart w:id="115"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15"/>
    <w:bookmarkStart w:id="116"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16"/>
    <w:bookmarkStart w:id="117" w:name="cuáles-son-las-seis-funciones"/>
    <w:p>
      <w:pPr>
        <w:pStyle w:val="Heading2"/>
      </w:pPr>
      <w:r>
        <w:t xml:space="preserve">¿Cuáles son las seis Funciones?</w:t>
      </w:r>
    </w:p>
    <w:p>
      <w:pPr>
        <w:pStyle w:val="FirstParagraph"/>
      </w:pPr>
      <w:r>
        <w:t xml:space="preserve">Govern, Identificar, Proteger, Detectar, Responder y Recover.</w:t>
      </w:r>
    </w:p>
    <w:bookmarkEnd w:id="117"/>
    <w:bookmarkStart w:id="118"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18"/>
    <w:bookmarkStart w:id="119"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19"/>
    <w:bookmarkStart w:id="120"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20"/>
    <w:bookmarkStart w:id="121"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21"/>
    <w:bookmarkStart w:id="122"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22"/>
    <w:bookmarkStart w:id="123"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23"/>
    <w:bookmarkStart w:id="124"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24"/>
    <w:bookmarkStart w:id="125"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25"/>
    <w:bookmarkEnd w:id="126"/>
    <w:bookmarkStart w:id="132"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27"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27"/>
    <w:bookmarkStart w:id="128"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28"/>
    <w:bookmarkStart w:id="129"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29"/>
    <w:bookmarkStart w:id="130"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30"/>
    <w:bookmarkStart w:id="131"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31"/>
    <w:bookmarkEnd w:id="132"/>
    <w:bookmarkStart w:id="134"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33"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33"/>
    <w:bookmarkEnd w:id="134"/>
    <w:bookmarkStart w:id="138"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35">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36">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37">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2026-07-27T07:42:49Z</dcterms:created>
  <dcterms:modified xsi:type="dcterms:W3CDTF">2026-07-27T07:42:49Z</dcterms:modified>
</cp:coreProperties>
</file>

<file path=docProps/custom.xml><?xml version="1.0" encoding="utf-8"?>
<Properties xmlns="http://schemas.openxmlformats.org/officeDocument/2006/custom-properties" xmlns:vt="http://schemas.openxmlformats.org/officeDocument/2006/docPropsVTypes"/>
</file>