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2"/>
    <w:bookmarkStart w:id="24" w:name="uso-ético-e-autorizado"/>
    <w:p>
      <w:pPr>
        <w:pStyle w:val="Heading1"/>
      </w:pPr>
      <w:r>
        <w:t xml:space="preserve"># 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HIPAA Playbook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Compliance and investigations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hipaa-playbook-do-gerente"/>
    <w:p>
      <w:pPr>
        <w:pStyle w:val="Heading1"/>
      </w:pPr>
      <w:r>
        <w:t xml:space="preserve">13. HIPAA Playbook do gerente</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Scoping □ Covered-entity and business-associate role memo</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HHS/ONC Security Risk Assessment Tool:</w:t>
      </w:r>
      <w:r>
        <w:t xml:space="preserve"> </w:t>
      </w:r>
      <w:hyperlink r:id="rId127">
        <w:r>
          <w:rPr>
            <w:rStyle w:val="Hyperlink"/>
          </w:rPr>
          <w:t xml:space="preserve">Open the official SRA Tool page</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HIPAA Audit Protocol</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2026-07-27T07:43:04Z</dcterms:created>
  <dcterms:modified xsi:type="dcterms:W3CDTF">2026-07-27T07:43:04Z</dcterms:modified>
</cp:coreProperties>
</file>

<file path=docProps/custom.xml><?xml version="1.0" encoding="utf-8"?>
<Properties xmlns="http://schemas.openxmlformats.org/officeDocument/2006/custom-properties" xmlns:vt="http://schemas.openxmlformats.org/officeDocument/2006/docPropsVTypes"/>
</file>